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550A" w14:textId="0175F75C" w:rsidR="00032C72" w:rsidRPr="005527C7" w:rsidRDefault="00FB6247">
      <w:pPr>
        <w:rPr>
          <w:rFonts w:ascii="標楷體" w:eastAsia="標楷體" w:hAnsi="標楷體"/>
          <w:sz w:val="28"/>
          <w:szCs w:val="24"/>
        </w:rPr>
      </w:pPr>
      <w:r w:rsidRPr="005527C7">
        <w:rPr>
          <w:rFonts w:ascii="標楷體" w:eastAsia="標楷體" w:hAnsi="標楷體" w:hint="eastAsia"/>
          <w:sz w:val="28"/>
          <w:szCs w:val="24"/>
        </w:rPr>
        <w:t>首先執行程式的資料夾放置了四個</w:t>
      </w:r>
      <w:proofErr w:type="spellStart"/>
      <w:r w:rsidR="005527C7" w:rsidRPr="005527C7">
        <w:rPr>
          <w:rFonts w:ascii="標楷體" w:eastAsia="標楷體" w:hAnsi="標楷體" w:hint="eastAsia"/>
          <w:sz w:val="28"/>
          <w:szCs w:val="24"/>
        </w:rPr>
        <w:t>p</w:t>
      </w:r>
      <w:r w:rsidR="005527C7" w:rsidRPr="005527C7">
        <w:rPr>
          <w:rFonts w:ascii="標楷體" w:eastAsia="標楷體" w:hAnsi="標楷體"/>
          <w:sz w:val="28"/>
          <w:szCs w:val="24"/>
        </w:rPr>
        <w:t>y</w:t>
      </w:r>
      <w:proofErr w:type="spellEnd"/>
      <w:r w:rsidR="005527C7" w:rsidRPr="005527C7">
        <w:rPr>
          <w:rFonts w:ascii="標楷體" w:eastAsia="標楷體" w:hAnsi="標楷體" w:hint="eastAsia"/>
          <w:sz w:val="28"/>
          <w:szCs w:val="24"/>
        </w:rPr>
        <w:t>檔</w:t>
      </w:r>
      <w:r w:rsidRPr="005527C7">
        <w:rPr>
          <w:rFonts w:ascii="標楷體" w:eastAsia="標楷體" w:hAnsi="標楷體" w:hint="eastAsia"/>
          <w:sz w:val="28"/>
          <w:szCs w:val="24"/>
        </w:rPr>
        <w:t>，</w:t>
      </w:r>
      <w:r w:rsidR="005527C7" w:rsidRPr="005527C7">
        <w:rPr>
          <w:rFonts w:ascii="標楷體" w:eastAsia="標楷體" w:hAnsi="標楷體" w:hint="eastAsia"/>
          <w:sz w:val="28"/>
          <w:szCs w:val="24"/>
        </w:rPr>
        <w:t>分別是:</w:t>
      </w:r>
    </w:p>
    <w:p w14:paraId="1EE68903" w14:textId="60BB61FC" w:rsidR="005527C7" w:rsidRDefault="005527C7" w:rsidP="005527C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27C7">
        <w:rPr>
          <w:rFonts w:ascii="標楷體" w:eastAsia="標楷體" w:hAnsi="標楷體" w:hint="eastAsia"/>
          <w:sz w:val="28"/>
          <w:szCs w:val="24"/>
        </w:rPr>
        <w:t>M</w:t>
      </w:r>
      <w:r w:rsidRPr="005527C7">
        <w:rPr>
          <w:rFonts w:ascii="標楷體" w:eastAsia="標楷體" w:hAnsi="標楷體"/>
          <w:sz w:val="28"/>
          <w:szCs w:val="24"/>
        </w:rPr>
        <w:t>ain</w:t>
      </w:r>
    </w:p>
    <w:p w14:paraId="0FAAE52E" w14:textId="6489F507" w:rsidR="005527C7" w:rsidRPr="005527C7" w:rsidRDefault="005527C7" w:rsidP="005527C7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為主要執行的程式</w:t>
      </w:r>
      <w:r>
        <w:rPr>
          <w:rFonts w:ascii="新細明體" w:eastAsia="新細明體" w:hAnsi="新細明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藉由更改變數c</w:t>
      </w:r>
      <w:r>
        <w:rPr>
          <w:rFonts w:ascii="標楷體" w:eastAsia="標楷體" w:hAnsi="標楷體"/>
          <w:sz w:val="28"/>
          <w:szCs w:val="24"/>
        </w:rPr>
        <w:t>ompany</w:t>
      </w:r>
      <w:r w:rsidRPr="005527C7">
        <w:rPr>
          <w:rFonts w:ascii="標楷體" w:eastAsia="標楷體" w:hAnsi="標楷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來得到指定台灣50中所想預測推薦的進場股價(分別是對應7、8、9%的殖利率)</w:t>
      </w:r>
      <w:r w:rsidRPr="005527C7">
        <w:rPr>
          <w:rFonts w:ascii="標楷體" w:eastAsia="標楷體" w:hAnsi="標楷體" w:hint="eastAsia"/>
          <w:sz w:val="28"/>
          <w:szCs w:val="24"/>
        </w:rPr>
        <w:t xml:space="preserve"> </w:t>
      </w:r>
      <w:r w:rsidR="00C65540">
        <w:rPr>
          <w:rFonts w:ascii="標楷體" w:eastAsia="標楷體" w:hAnsi="標楷體" w:hint="eastAsia"/>
          <w:sz w:val="28"/>
          <w:szCs w:val="24"/>
        </w:rPr>
        <w:t>。而一開始的兩個函式</w:t>
      </w:r>
      <w:proofErr w:type="spellStart"/>
      <w:r w:rsidR="00C65540" w:rsidRPr="00C65540">
        <w:rPr>
          <w:rFonts w:ascii="標楷體" w:eastAsia="標楷體" w:hAnsi="標楷體"/>
          <w:sz w:val="28"/>
          <w:szCs w:val="24"/>
        </w:rPr>
        <w:t>company_split</w:t>
      </w:r>
      <w:proofErr w:type="spellEnd"/>
      <w:r w:rsidR="00C65540">
        <w:rPr>
          <w:rFonts w:ascii="標楷體" w:eastAsia="標楷體" w:hAnsi="標楷體" w:hint="eastAsia"/>
          <w:sz w:val="28"/>
          <w:szCs w:val="24"/>
        </w:rPr>
        <w:t>()及</w:t>
      </w:r>
      <w:proofErr w:type="spellStart"/>
      <w:r w:rsidR="00C65540" w:rsidRPr="00C65540">
        <w:rPr>
          <w:rFonts w:ascii="標楷體" w:eastAsia="標楷體" w:hAnsi="標楷體"/>
          <w:sz w:val="28"/>
          <w:szCs w:val="24"/>
        </w:rPr>
        <w:t>company_para</w:t>
      </w:r>
      <w:proofErr w:type="spellEnd"/>
      <w:r w:rsidR="00C65540">
        <w:rPr>
          <w:rFonts w:ascii="標楷體" w:eastAsia="標楷體" w:hAnsi="標楷體" w:hint="eastAsia"/>
          <w:sz w:val="28"/>
          <w:szCs w:val="24"/>
        </w:rPr>
        <w:t>()</w:t>
      </w:r>
      <w:r w:rsidR="00C65540">
        <w:rPr>
          <w:rFonts w:ascii="新細明體" w:eastAsia="新細明體" w:hAnsi="新細明體" w:hint="eastAsia"/>
          <w:sz w:val="28"/>
          <w:szCs w:val="24"/>
        </w:rPr>
        <w:t>，</w:t>
      </w:r>
      <w:r w:rsidR="00C65540">
        <w:rPr>
          <w:rFonts w:ascii="標楷體" w:eastAsia="標楷體" w:hAnsi="標楷體" w:hint="eastAsia"/>
          <w:sz w:val="28"/>
          <w:szCs w:val="24"/>
        </w:rPr>
        <w:t>分別是抓取傳入公司代碼所對應的歷史資料</w:t>
      </w:r>
      <w:r w:rsidR="0068504D">
        <w:rPr>
          <w:rFonts w:ascii="標楷體" w:eastAsia="標楷體" w:hAnsi="標楷體" w:hint="eastAsia"/>
          <w:sz w:val="28"/>
          <w:szCs w:val="24"/>
        </w:rPr>
        <w:t>和股權數</w:t>
      </w:r>
      <w:r w:rsidR="00C65540">
        <w:rPr>
          <w:rFonts w:ascii="標楷體" w:eastAsia="標楷體" w:hAnsi="標楷體" w:hint="eastAsia"/>
          <w:sz w:val="28"/>
          <w:szCs w:val="24"/>
        </w:rPr>
        <w:t>以及此模型</w:t>
      </w:r>
      <w:r w:rsidR="0068504D">
        <w:rPr>
          <w:rFonts w:ascii="標楷體" w:eastAsia="標楷體" w:hAnsi="標楷體" w:hint="eastAsia"/>
          <w:sz w:val="28"/>
          <w:szCs w:val="24"/>
        </w:rPr>
        <w:t>對應</w:t>
      </w:r>
      <w:r w:rsidR="00C65540">
        <w:rPr>
          <w:rFonts w:ascii="標楷體" w:eastAsia="標楷體" w:hAnsi="標楷體" w:hint="eastAsia"/>
          <w:sz w:val="28"/>
          <w:szCs w:val="24"/>
        </w:rPr>
        <w:t>的參數</w:t>
      </w:r>
      <w:r w:rsidR="00C65540" w:rsidRPr="00C65540">
        <w:rPr>
          <w:rFonts w:ascii="標楷體" w:eastAsia="標楷體" w:hAnsi="標楷體" w:hint="eastAsia"/>
          <w:sz w:val="28"/>
          <w:szCs w:val="24"/>
        </w:rPr>
        <w:t>，</w:t>
      </w:r>
      <w:r w:rsidR="00C65540">
        <w:rPr>
          <w:rFonts w:ascii="標楷體" w:eastAsia="標楷體" w:hAnsi="標楷體" w:hint="eastAsia"/>
          <w:sz w:val="28"/>
          <w:szCs w:val="24"/>
        </w:rPr>
        <w:t>再</w:t>
      </w:r>
      <w:r w:rsidR="0056016F">
        <w:rPr>
          <w:rFonts w:ascii="標楷體" w:eastAsia="標楷體" w:hAnsi="標楷體" w:hint="eastAsia"/>
          <w:sz w:val="28"/>
          <w:szCs w:val="24"/>
        </w:rPr>
        <w:t>來將歷史資料與參數投入</w:t>
      </w:r>
      <w:proofErr w:type="spellStart"/>
      <w:r w:rsidR="0056016F">
        <w:rPr>
          <w:rFonts w:ascii="標楷體" w:eastAsia="標楷體" w:hAnsi="標楷體" w:hint="eastAsia"/>
          <w:sz w:val="28"/>
          <w:szCs w:val="24"/>
        </w:rPr>
        <w:t>x</w:t>
      </w:r>
      <w:r w:rsidR="0056016F">
        <w:rPr>
          <w:rFonts w:ascii="標楷體" w:eastAsia="標楷體" w:hAnsi="標楷體"/>
          <w:sz w:val="28"/>
          <w:szCs w:val="24"/>
        </w:rPr>
        <w:t>gboost</w:t>
      </w:r>
      <w:proofErr w:type="spellEnd"/>
      <w:r w:rsidR="0056016F">
        <w:rPr>
          <w:rFonts w:ascii="標楷體" w:eastAsia="標楷體" w:hAnsi="標楷體" w:hint="eastAsia"/>
          <w:sz w:val="28"/>
          <w:szCs w:val="24"/>
        </w:rPr>
        <w:t>這支副程式裡去執行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輸出為預測的下個月營收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而後再將此月營收做為f</w:t>
      </w:r>
      <w:r w:rsidR="0056016F">
        <w:rPr>
          <w:rFonts w:ascii="標楷體" w:eastAsia="標楷體" w:hAnsi="標楷體"/>
          <w:sz w:val="28"/>
          <w:szCs w:val="24"/>
        </w:rPr>
        <w:t>eature</w:t>
      </w:r>
      <w:r w:rsidR="0056016F">
        <w:rPr>
          <w:rFonts w:ascii="標楷體" w:eastAsia="標楷體" w:hAnsi="標楷體" w:hint="eastAsia"/>
          <w:sz w:val="28"/>
          <w:szCs w:val="24"/>
        </w:rPr>
        <w:t>副程式的輸入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輸出利用此月營收所計算的下個月的f</w:t>
      </w:r>
      <w:r w:rsidR="0056016F">
        <w:rPr>
          <w:rFonts w:ascii="標楷體" w:eastAsia="標楷體" w:hAnsi="標楷體"/>
          <w:sz w:val="28"/>
          <w:szCs w:val="24"/>
        </w:rPr>
        <w:t>eature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利用迴圈重複這個過程直到預測到12月的營收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就可以加總出預測的季營收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再將此季營收丟入l</w:t>
      </w:r>
      <w:r w:rsidR="0056016F">
        <w:rPr>
          <w:rFonts w:ascii="標楷體" w:eastAsia="標楷體" w:hAnsi="標楷體"/>
          <w:sz w:val="28"/>
          <w:szCs w:val="24"/>
        </w:rPr>
        <w:t>inear</w:t>
      </w:r>
      <w:r w:rsidR="0056016F">
        <w:rPr>
          <w:rFonts w:ascii="標楷體" w:eastAsia="標楷體" w:hAnsi="標楷體" w:hint="eastAsia"/>
          <w:sz w:val="28"/>
          <w:szCs w:val="24"/>
        </w:rPr>
        <w:t>副程式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56016F">
        <w:rPr>
          <w:rFonts w:ascii="標楷體" w:eastAsia="標楷體" w:hAnsi="標楷體" w:hint="eastAsia"/>
          <w:sz w:val="28"/>
          <w:szCs w:val="24"/>
        </w:rPr>
        <w:t>輸出預測的現金股利</w:t>
      </w:r>
      <w:r w:rsidR="0056016F" w:rsidRPr="00C65540">
        <w:rPr>
          <w:rFonts w:ascii="標楷體" w:eastAsia="標楷體" w:hAnsi="標楷體" w:hint="eastAsia"/>
          <w:sz w:val="28"/>
          <w:szCs w:val="24"/>
        </w:rPr>
        <w:t>，</w:t>
      </w:r>
      <w:r w:rsidR="00FB2345">
        <w:rPr>
          <w:rFonts w:ascii="標楷體" w:eastAsia="標楷體" w:hAnsi="標楷體" w:hint="eastAsia"/>
          <w:sz w:val="28"/>
          <w:szCs w:val="24"/>
        </w:rPr>
        <w:t>如果想預測其他殖利率所對應的股價</w:t>
      </w:r>
      <w:r w:rsidR="00FB2345" w:rsidRPr="005527C7">
        <w:rPr>
          <w:rFonts w:ascii="標楷體" w:eastAsia="標楷體" w:hAnsi="標楷體" w:hint="eastAsia"/>
          <w:sz w:val="28"/>
          <w:szCs w:val="24"/>
        </w:rPr>
        <w:t>，</w:t>
      </w:r>
      <w:r w:rsidR="00FB2345">
        <w:rPr>
          <w:rFonts w:ascii="標楷體" w:eastAsia="標楷體" w:hAnsi="標楷體" w:hint="eastAsia"/>
          <w:sz w:val="28"/>
          <w:szCs w:val="24"/>
        </w:rPr>
        <w:t>就可以利用這個現金股利去新增計算</w:t>
      </w:r>
      <w:r w:rsidR="00FB2345" w:rsidRPr="00C65540">
        <w:rPr>
          <w:rFonts w:ascii="標楷體" w:eastAsia="標楷體" w:hAnsi="標楷體" w:hint="eastAsia"/>
          <w:sz w:val="28"/>
          <w:szCs w:val="24"/>
        </w:rPr>
        <w:t>，</w:t>
      </w:r>
      <w:r w:rsidR="00FB2345">
        <w:rPr>
          <w:rFonts w:ascii="標楷體" w:eastAsia="標楷體" w:hAnsi="標楷體" w:hint="eastAsia"/>
          <w:sz w:val="28"/>
          <w:szCs w:val="24"/>
        </w:rPr>
        <w:t>詳細操作會在程式中註解</w:t>
      </w:r>
    </w:p>
    <w:p w14:paraId="79524009" w14:textId="7AA5BDEB" w:rsidR="005527C7" w:rsidRDefault="005527C7" w:rsidP="005527C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27C7">
        <w:rPr>
          <w:rFonts w:ascii="標楷體" w:eastAsia="標楷體" w:hAnsi="標楷體" w:hint="eastAsia"/>
          <w:sz w:val="28"/>
          <w:szCs w:val="24"/>
        </w:rPr>
        <w:t>F</w:t>
      </w:r>
      <w:r w:rsidRPr="005527C7">
        <w:rPr>
          <w:rFonts w:ascii="標楷體" w:eastAsia="標楷體" w:hAnsi="標楷體"/>
          <w:sz w:val="28"/>
          <w:szCs w:val="24"/>
        </w:rPr>
        <w:t>eature</w:t>
      </w:r>
    </w:p>
    <w:p w14:paraId="4373CC0B" w14:textId="1988BD96" w:rsidR="00FB2345" w:rsidRDefault="00FB2345" w:rsidP="00FB2345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輸入對應月分、月營收、公司股權數</w:t>
      </w:r>
      <w:r w:rsidRPr="00C65540">
        <w:rPr>
          <w:rFonts w:ascii="標楷體" w:eastAsia="標楷體" w:hAnsi="標楷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就可以輸出一個帶有f</w:t>
      </w:r>
      <w:r>
        <w:rPr>
          <w:rFonts w:ascii="標楷體" w:eastAsia="標楷體" w:hAnsi="標楷體"/>
          <w:sz w:val="28"/>
          <w:szCs w:val="24"/>
        </w:rPr>
        <w:t>eature</w:t>
      </w:r>
      <w:r>
        <w:rPr>
          <w:rFonts w:ascii="標楷體" w:eastAsia="標楷體" w:hAnsi="標楷體" w:hint="eastAsia"/>
          <w:sz w:val="28"/>
          <w:szCs w:val="24"/>
        </w:rPr>
        <w:t>的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d</w:t>
      </w:r>
      <w:r>
        <w:rPr>
          <w:rFonts w:ascii="標楷體" w:eastAsia="標楷體" w:hAnsi="標楷體"/>
          <w:sz w:val="28"/>
          <w:szCs w:val="24"/>
        </w:rPr>
        <w:t>ataframe</w:t>
      </w:r>
      <w:proofErr w:type="spellEnd"/>
      <w:r w:rsidRPr="00C65540">
        <w:rPr>
          <w:rFonts w:ascii="標楷體" w:eastAsia="標楷體" w:hAnsi="標楷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f</w:t>
      </w:r>
      <w:r>
        <w:rPr>
          <w:rFonts w:ascii="標楷體" w:eastAsia="標楷體" w:hAnsi="標楷體"/>
          <w:sz w:val="28"/>
          <w:szCs w:val="24"/>
        </w:rPr>
        <w:t>eature</w:t>
      </w:r>
      <w:r>
        <w:rPr>
          <w:rFonts w:ascii="標楷體" w:eastAsia="標楷體" w:hAnsi="標楷體" w:hint="eastAsia"/>
          <w:sz w:val="28"/>
          <w:szCs w:val="24"/>
        </w:rPr>
        <w:t>如下</w:t>
      </w:r>
    </w:p>
    <w:p w14:paraId="2DDDDB17" w14:textId="658A2B6B" w:rsidR="00FB2345" w:rsidRPr="005527C7" w:rsidRDefault="00FB2345" w:rsidP="00FB2345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 w:rsidRPr="00FB2345">
        <w:rPr>
          <w:rFonts w:ascii="標楷體" w:eastAsia="標楷體" w:hAnsi="標楷體"/>
          <w:noProof/>
          <w:sz w:val="28"/>
          <w:szCs w:val="24"/>
        </w:rPr>
        <w:lastRenderedPageBreak/>
        <w:drawing>
          <wp:inline distT="0" distB="0" distL="0" distR="0" wp14:anchorId="00B0A11C" wp14:editId="13215E9B">
            <wp:extent cx="3677163" cy="29341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F32F" w14:textId="023712F7" w:rsidR="005527C7" w:rsidRDefault="005527C7" w:rsidP="005527C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proofErr w:type="spellStart"/>
      <w:r w:rsidRPr="005527C7">
        <w:rPr>
          <w:rFonts w:ascii="標楷體" w:eastAsia="標楷體" w:hAnsi="標楷體" w:hint="eastAsia"/>
          <w:sz w:val="28"/>
          <w:szCs w:val="24"/>
        </w:rPr>
        <w:t>X</w:t>
      </w:r>
      <w:r w:rsidRPr="005527C7">
        <w:rPr>
          <w:rFonts w:ascii="標楷體" w:eastAsia="標楷體" w:hAnsi="標楷體"/>
          <w:sz w:val="28"/>
          <w:szCs w:val="24"/>
        </w:rPr>
        <w:t>gboost</w:t>
      </w:r>
      <w:proofErr w:type="spellEnd"/>
    </w:p>
    <w:p w14:paraId="15DF449E" w14:textId="6DBA43A7" w:rsidR="00FB2345" w:rsidRPr="005527C7" w:rsidRDefault="00A42335" w:rsidP="00FB2345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輸入歷史資料s</w:t>
      </w:r>
      <w:r>
        <w:rPr>
          <w:rFonts w:ascii="標楷體" w:eastAsia="標楷體" w:hAnsi="標楷體"/>
          <w:sz w:val="28"/>
          <w:szCs w:val="24"/>
        </w:rPr>
        <w:t>tock</w:t>
      </w:r>
      <w:r>
        <w:rPr>
          <w:rFonts w:ascii="標楷體" w:eastAsia="標楷體" w:hAnsi="標楷體" w:hint="eastAsia"/>
          <w:sz w:val="28"/>
          <w:szCs w:val="24"/>
        </w:rPr>
        <w:t>及對應參數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d</w:t>
      </w:r>
      <w:r>
        <w:rPr>
          <w:rFonts w:ascii="標楷體" w:eastAsia="標楷體" w:hAnsi="標楷體"/>
          <w:sz w:val="28"/>
          <w:szCs w:val="24"/>
        </w:rPr>
        <w:t>f</w:t>
      </w:r>
      <w:proofErr w:type="spellEnd"/>
      <w:r w:rsidRPr="00C65540">
        <w:rPr>
          <w:rFonts w:ascii="標楷體" w:eastAsia="標楷體" w:hAnsi="標楷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並切分歷史資料為</w:t>
      </w:r>
      <w:r w:rsidR="00E71148">
        <w:rPr>
          <w:rFonts w:ascii="標楷體" w:eastAsia="標楷體" w:hAnsi="標楷體" w:hint="eastAsia"/>
          <w:sz w:val="28"/>
          <w:szCs w:val="24"/>
        </w:rPr>
        <w:t>訓練資料及測試資料來測試模型(切分比例可以利用</w:t>
      </w:r>
      <w:proofErr w:type="spellStart"/>
      <w:r w:rsidR="00E71148" w:rsidRPr="00E71148">
        <w:rPr>
          <w:rFonts w:ascii="標楷體" w:eastAsia="標楷體" w:hAnsi="標楷體"/>
          <w:sz w:val="28"/>
          <w:szCs w:val="24"/>
        </w:rPr>
        <w:t>test_size</w:t>
      </w:r>
      <w:proofErr w:type="spellEnd"/>
      <w:r w:rsidR="00E71148">
        <w:rPr>
          <w:rFonts w:ascii="標楷體" w:eastAsia="標楷體" w:hAnsi="標楷體" w:hint="eastAsia"/>
          <w:sz w:val="28"/>
          <w:szCs w:val="24"/>
        </w:rPr>
        <w:t>自行調整)最後輸出預測的下個月營收</w:t>
      </w:r>
    </w:p>
    <w:p w14:paraId="4E2C2147" w14:textId="648E5EC2" w:rsidR="005527C7" w:rsidRDefault="00E71148" w:rsidP="005527C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27C7">
        <w:rPr>
          <w:rFonts w:ascii="標楷體" w:eastAsia="標楷體" w:hAnsi="標楷體"/>
          <w:sz w:val="28"/>
          <w:szCs w:val="24"/>
        </w:rPr>
        <w:t>L</w:t>
      </w:r>
      <w:r w:rsidR="005527C7" w:rsidRPr="005527C7">
        <w:rPr>
          <w:rFonts w:ascii="標楷體" w:eastAsia="標楷體" w:hAnsi="標楷體"/>
          <w:sz w:val="28"/>
          <w:szCs w:val="24"/>
        </w:rPr>
        <w:t>inear</w:t>
      </w:r>
    </w:p>
    <w:p w14:paraId="15082892" w14:textId="3195EDCB" w:rsidR="00C84872" w:rsidRDefault="00E71148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輸入股票代號、</w:t>
      </w:r>
      <w:r w:rsidR="00C84872">
        <w:rPr>
          <w:rFonts w:ascii="標楷體" w:eastAsia="標楷體" w:hAnsi="標楷體" w:hint="eastAsia"/>
          <w:sz w:val="28"/>
          <w:szCs w:val="24"/>
        </w:rPr>
        <w:t>季營收、股權數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首先利用財報狗網站爬取此股票的季稅後淨利率、季營收、單季e</w:t>
      </w:r>
      <w:r w:rsidR="00C84872">
        <w:rPr>
          <w:rFonts w:ascii="標楷體" w:eastAsia="標楷體" w:hAnsi="標楷體"/>
          <w:sz w:val="28"/>
          <w:szCs w:val="24"/>
        </w:rPr>
        <w:t>ps</w:t>
      </w:r>
      <w:r w:rsidR="00C84872">
        <w:rPr>
          <w:rFonts w:ascii="標楷體" w:eastAsia="標楷體" w:hAnsi="標楷體" w:hint="eastAsia"/>
          <w:sz w:val="28"/>
          <w:szCs w:val="24"/>
        </w:rPr>
        <w:t>、股利發放率為等等計算現金股利之用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再來依次將季稅後淨利率與季營收以季為單位分為四季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並依所輸入季營收的季分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作為l</w:t>
      </w:r>
      <w:r w:rsidR="00C84872">
        <w:rPr>
          <w:rFonts w:ascii="標楷體" w:eastAsia="標楷體" w:hAnsi="標楷體"/>
          <w:sz w:val="28"/>
          <w:szCs w:val="24"/>
        </w:rPr>
        <w:t>asso</w:t>
      </w:r>
      <w:r w:rsidR="00C84872">
        <w:rPr>
          <w:rFonts w:ascii="標楷體" w:eastAsia="標楷體" w:hAnsi="標楷體" w:hint="eastAsia"/>
          <w:sz w:val="28"/>
          <w:szCs w:val="24"/>
        </w:rPr>
        <w:t>模型的輸入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預測出此對應季營收的季稅後淨利率為多少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再利用公式算出季e</w:t>
      </w:r>
      <w:r w:rsidR="00C84872">
        <w:rPr>
          <w:rFonts w:ascii="標楷體" w:eastAsia="標楷體" w:hAnsi="標楷體"/>
          <w:sz w:val="28"/>
          <w:szCs w:val="24"/>
        </w:rPr>
        <w:t>ps</w:t>
      </w:r>
      <w:r w:rsidR="00C84872" w:rsidRPr="00C65540">
        <w:rPr>
          <w:rFonts w:ascii="標楷體" w:eastAsia="標楷體" w:hAnsi="標楷體" w:hint="eastAsia"/>
          <w:sz w:val="28"/>
          <w:szCs w:val="24"/>
        </w:rPr>
        <w:t>，</w:t>
      </w:r>
      <w:r w:rsidR="00C84872">
        <w:rPr>
          <w:rFonts w:ascii="標楷體" w:eastAsia="標楷體" w:hAnsi="標楷體" w:hint="eastAsia"/>
          <w:sz w:val="28"/>
          <w:szCs w:val="24"/>
        </w:rPr>
        <w:t>加總得到</w:t>
      </w:r>
      <w:r w:rsidR="00B33781">
        <w:rPr>
          <w:rFonts w:ascii="標楷體" w:eastAsia="標楷體" w:hAnsi="標楷體" w:hint="eastAsia"/>
          <w:sz w:val="28"/>
          <w:szCs w:val="24"/>
        </w:rPr>
        <w:t>年e</w:t>
      </w:r>
      <w:r w:rsidR="00B33781">
        <w:rPr>
          <w:rFonts w:ascii="標楷體" w:eastAsia="標楷體" w:hAnsi="標楷體"/>
          <w:sz w:val="28"/>
          <w:szCs w:val="24"/>
        </w:rPr>
        <w:t>ps</w:t>
      </w:r>
      <w:r w:rsidR="00B33781" w:rsidRPr="00C65540">
        <w:rPr>
          <w:rFonts w:ascii="標楷體" w:eastAsia="標楷體" w:hAnsi="標楷體" w:hint="eastAsia"/>
          <w:sz w:val="28"/>
          <w:szCs w:val="24"/>
        </w:rPr>
        <w:t>，</w:t>
      </w:r>
      <w:r w:rsidR="00B33781">
        <w:rPr>
          <w:rFonts w:ascii="標楷體" w:eastAsia="標楷體" w:hAnsi="標楷體" w:hint="eastAsia"/>
          <w:sz w:val="28"/>
          <w:szCs w:val="24"/>
        </w:rPr>
        <w:t>並配合所抓取的歷史股利發放率資料</w:t>
      </w:r>
      <w:r w:rsidR="00B33781" w:rsidRPr="00C65540">
        <w:rPr>
          <w:rFonts w:ascii="標楷體" w:eastAsia="標楷體" w:hAnsi="標楷體" w:hint="eastAsia"/>
          <w:sz w:val="28"/>
          <w:szCs w:val="24"/>
        </w:rPr>
        <w:t>，</w:t>
      </w:r>
      <w:r w:rsidR="00B33781">
        <w:rPr>
          <w:rFonts w:ascii="標楷體" w:eastAsia="標楷體" w:hAnsi="標楷體" w:hint="eastAsia"/>
          <w:sz w:val="28"/>
          <w:szCs w:val="24"/>
        </w:rPr>
        <w:t>就能算出對應的現金股利</w:t>
      </w:r>
      <w:r w:rsidR="00B33781" w:rsidRPr="00C65540">
        <w:rPr>
          <w:rFonts w:ascii="標楷體" w:eastAsia="標楷體" w:hAnsi="標楷體" w:hint="eastAsia"/>
          <w:sz w:val="28"/>
          <w:szCs w:val="24"/>
        </w:rPr>
        <w:t>，</w:t>
      </w:r>
      <w:r w:rsidR="00B33781">
        <w:rPr>
          <w:rFonts w:ascii="標楷體" w:eastAsia="標楷體" w:hAnsi="標楷體" w:hint="eastAsia"/>
          <w:sz w:val="28"/>
          <w:szCs w:val="24"/>
        </w:rPr>
        <w:t>並作為最終輸出</w:t>
      </w:r>
    </w:p>
    <w:p w14:paraId="5FD04D20" w14:textId="49B2A2D1" w:rsidR="00B33781" w:rsidRDefault="00B33781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 w:rsidRPr="00B33781">
        <w:rPr>
          <w:rFonts w:ascii="標楷體" w:eastAsia="標楷體" w:hAnsi="標楷體" w:hint="eastAsia"/>
          <w:sz w:val="28"/>
          <w:szCs w:val="24"/>
          <w:highlight w:val="yellow"/>
        </w:rPr>
        <w:t>以上的詳細操作都會打在註解裡</w:t>
      </w:r>
    </w:p>
    <w:p w14:paraId="651D1A4B" w14:textId="2B762E3F" w:rsidR="001C6D77" w:rsidRDefault="001C6D77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而資料夾檔中的</w:t>
      </w:r>
      <w:r w:rsidR="00CA588B">
        <w:rPr>
          <w:rFonts w:ascii="標楷體" w:eastAsia="標楷體" w:hAnsi="標楷體" w:hint="eastAsia"/>
          <w:sz w:val="28"/>
          <w:szCs w:val="24"/>
        </w:rPr>
        <w:t>c</w:t>
      </w:r>
      <w:r w:rsidR="00CA588B">
        <w:rPr>
          <w:rFonts w:ascii="標楷體" w:eastAsia="標楷體" w:hAnsi="標楷體"/>
          <w:sz w:val="28"/>
          <w:szCs w:val="24"/>
        </w:rPr>
        <w:t>sv</w:t>
      </w:r>
      <w:r>
        <w:rPr>
          <w:rFonts w:ascii="標楷體" w:eastAsia="標楷體" w:hAnsi="標楷體" w:hint="eastAsia"/>
          <w:sz w:val="28"/>
          <w:szCs w:val="24"/>
        </w:rPr>
        <w:t>資料分別有:</w:t>
      </w:r>
    </w:p>
    <w:p w14:paraId="1F2FC623" w14:textId="29EBE913" w:rsidR="001C6D77" w:rsidRDefault="001C6D77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全50 </w:t>
      </w:r>
      <w:r>
        <w:rPr>
          <w:rFonts w:ascii="標楷體" w:eastAsia="標楷體" w:hAnsi="標楷體"/>
          <w:sz w:val="28"/>
          <w:szCs w:val="24"/>
        </w:rPr>
        <w:t>—</w:t>
      </w:r>
      <w:r>
        <w:rPr>
          <w:rFonts w:ascii="標楷體" w:eastAsia="標楷體" w:hAnsi="標楷體" w:hint="eastAsia"/>
          <w:sz w:val="28"/>
          <w:szCs w:val="24"/>
        </w:rPr>
        <w:t xml:space="preserve"> 台灣50的歷史資料</w:t>
      </w:r>
      <w:r w:rsidRPr="00C65540">
        <w:rPr>
          <w:rFonts w:ascii="標楷體" w:eastAsia="標楷體" w:hAnsi="標楷體" w:hint="eastAsia"/>
          <w:sz w:val="28"/>
          <w:szCs w:val="24"/>
        </w:rPr>
        <w:t>，</w:t>
      </w:r>
      <w:r>
        <w:rPr>
          <w:rFonts w:ascii="標楷體" w:eastAsia="標楷體" w:hAnsi="標楷體" w:hint="eastAsia"/>
          <w:sz w:val="28"/>
          <w:szCs w:val="24"/>
        </w:rPr>
        <w:t>從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ej</w:t>
      </w:r>
      <w:proofErr w:type="spellEnd"/>
      <w:r>
        <w:rPr>
          <w:rFonts w:ascii="標楷體" w:eastAsia="標楷體" w:hAnsi="標楷體" w:hint="eastAsia"/>
          <w:sz w:val="28"/>
          <w:szCs w:val="24"/>
        </w:rPr>
        <w:t>資料庫中獲取</w:t>
      </w:r>
      <w:r w:rsidR="00CA588B" w:rsidRPr="00C65540">
        <w:rPr>
          <w:rFonts w:ascii="標楷體" w:eastAsia="標楷體" w:hAnsi="標楷體" w:hint="eastAsia"/>
          <w:sz w:val="28"/>
          <w:szCs w:val="24"/>
        </w:rPr>
        <w:t>，</w:t>
      </w:r>
      <w:r w:rsidR="00CA588B">
        <w:rPr>
          <w:rFonts w:ascii="標楷體" w:eastAsia="標楷體" w:hAnsi="標楷體" w:hint="eastAsia"/>
          <w:sz w:val="28"/>
          <w:szCs w:val="24"/>
        </w:rPr>
        <w:t>目前最新的資料只抓到2022年的10月</w:t>
      </w:r>
      <w:r w:rsidR="00CA588B" w:rsidRPr="00C65540">
        <w:rPr>
          <w:rFonts w:ascii="標楷體" w:eastAsia="標楷體" w:hAnsi="標楷體" w:hint="eastAsia"/>
          <w:sz w:val="28"/>
          <w:szCs w:val="24"/>
        </w:rPr>
        <w:t>，</w:t>
      </w:r>
      <w:r w:rsidR="00CA588B">
        <w:rPr>
          <w:rFonts w:ascii="標楷體" w:eastAsia="標楷體" w:hAnsi="標楷體" w:hint="eastAsia"/>
          <w:sz w:val="28"/>
          <w:szCs w:val="24"/>
        </w:rPr>
        <w:t>如有新資料釋出</w:t>
      </w:r>
      <w:r w:rsidR="00CA588B" w:rsidRPr="00C65540">
        <w:rPr>
          <w:rFonts w:ascii="標楷體" w:eastAsia="標楷體" w:hAnsi="標楷體" w:hint="eastAsia"/>
          <w:sz w:val="28"/>
          <w:szCs w:val="24"/>
        </w:rPr>
        <w:t>，</w:t>
      </w:r>
      <w:r w:rsidR="00CA588B">
        <w:rPr>
          <w:rFonts w:ascii="標楷體" w:eastAsia="標楷體" w:hAnsi="標楷體" w:hint="eastAsia"/>
          <w:sz w:val="28"/>
          <w:szCs w:val="24"/>
        </w:rPr>
        <w:t>可予以做更新</w:t>
      </w:r>
    </w:p>
    <w:p w14:paraId="7401B0A6" w14:textId="7A87ABED" w:rsidR="001C6D77" w:rsidRDefault="001C6D77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股權數 </w:t>
      </w:r>
      <w:r>
        <w:rPr>
          <w:rFonts w:ascii="標楷體" w:eastAsia="標楷體" w:hAnsi="標楷體"/>
          <w:sz w:val="28"/>
          <w:szCs w:val="24"/>
        </w:rPr>
        <w:t>—</w:t>
      </w:r>
      <w:r>
        <w:rPr>
          <w:rFonts w:ascii="標楷體" w:eastAsia="標楷體" w:hAnsi="標楷體" w:hint="eastAsia"/>
          <w:sz w:val="28"/>
          <w:szCs w:val="24"/>
        </w:rPr>
        <w:t xml:space="preserve"> 台灣50各家公司最新的股權數</w:t>
      </w:r>
    </w:p>
    <w:p w14:paraId="5AF513D9" w14:textId="724832D8" w:rsidR="001C6D77" w:rsidRDefault="001C6D77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參數</w:t>
      </w:r>
      <w:r w:rsidR="00CA588B">
        <w:rPr>
          <w:rFonts w:ascii="標楷體" w:eastAsia="標楷體" w:hAnsi="標楷體" w:hint="eastAsia"/>
          <w:sz w:val="28"/>
          <w:szCs w:val="24"/>
        </w:rPr>
        <w:t xml:space="preserve"> </w:t>
      </w:r>
      <w:r>
        <w:rPr>
          <w:rFonts w:ascii="標楷體" w:eastAsia="標楷體" w:hAnsi="標楷體"/>
          <w:sz w:val="28"/>
          <w:szCs w:val="24"/>
        </w:rPr>
        <w:t>—</w:t>
      </w:r>
      <w:r w:rsidR="00CA588B">
        <w:rPr>
          <w:rFonts w:ascii="標楷體" w:eastAsia="標楷體" w:hAnsi="標楷體" w:hint="eastAsia"/>
          <w:sz w:val="28"/>
          <w:szCs w:val="24"/>
        </w:rPr>
        <w:t xml:space="preserve"> </w:t>
      </w:r>
      <w:r>
        <w:rPr>
          <w:rFonts w:ascii="標楷體" w:eastAsia="標楷體" w:hAnsi="標楷體" w:hint="eastAsia"/>
          <w:sz w:val="28"/>
          <w:szCs w:val="24"/>
        </w:rPr>
        <w:t>台灣50公司每家對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x</w:t>
      </w:r>
      <w:r>
        <w:rPr>
          <w:rFonts w:ascii="標楷體" w:eastAsia="標楷體" w:hAnsi="標楷體"/>
          <w:sz w:val="28"/>
          <w:szCs w:val="24"/>
        </w:rPr>
        <w:t>gboos</w:t>
      </w:r>
      <w:r>
        <w:rPr>
          <w:rFonts w:ascii="標楷體" w:eastAsia="標楷體" w:hAnsi="標楷體" w:hint="eastAsia"/>
          <w:sz w:val="28"/>
          <w:szCs w:val="24"/>
        </w:rPr>
        <w:t>t</w:t>
      </w:r>
      <w:proofErr w:type="spellEnd"/>
      <w:r>
        <w:rPr>
          <w:rFonts w:ascii="標楷體" w:eastAsia="標楷體" w:hAnsi="標楷體" w:hint="eastAsia"/>
          <w:sz w:val="28"/>
          <w:szCs w:val="24"/>
        </w:rPr>
        <w:t>對應的參數</w:t>
      </w:r>
    </w:p>
    <w:p w14:paraId="56D36F7E" w14:textId="01C5D066" w:rsidR="00CA588B" w:rsidRPr="001C6D77" w:rsidRDefault="00CA588B" w:rsidP="00C84872">
      <w:pPr>
        <w:pStyle w:val="a3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輸出 </w:t>
      </w:r>
      <w:r>
        <w:rPr>
          <w:rFonts w:ascii="標楷體" w:eastAsia="標楷體" w:hAnsi="標楷體"/>
          <w:sz w:val="28"/>
          <w:szCs w:val="24"/>
        </w:rPr>
        <w:t>—</w:t>
      </w:r>
      <w:r>
        <w:rPr>
          <w:rFonts w:ascii="標楷體" w:eastAsia="標楷體" w:hAnsi="標楷體" w:hint="eastAsia"/>
          <w:sz w:val="28"/>
          <w:szCs w:val="24"/>
        </w:rPr>
        <w:t xml:space="preserve"> 台灣50中所預測每家殖利率7 8 9%下推薦的股價</w:t>
      </w:r>
    </w:p>
    <w:sectPr w:rsidR="00CA588B" w:rsidRPr="001C6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12F0"/>
    <w:multiLevelType w:val="hybridMultilevel"/>
    <w:tmpl w:val="0E9A7FA4"/>
    <w:lvl w:ilvl="0" w:tplc="79CE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8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7"/>
    <w:rsid w:val="00032C72"/>
    <w:rsid w:val="00086725"/>
    <w:rsid w:val="001C6D77"/>
    <w:rsid w:val="005527C7"/>
    <w:rsid w:val="0056016F"/>
    <w:rsid w:val="0068504D"/>
    <w:rsid w:val="00A42335"/>
    <w:rsid w:val="00B33781"/>
    <w:rsid w:val="00C65540"/>
    <w:rsid w:val="00C84872"/>
    <w:rsid w:val="00CA588B"/>
    <w:rsid w:val="00E71148"/>
    <w:rsid w:val="00FB2345"/>
    <w:rsid w:val="00FB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9212"/>
  <w15:chartTrackingRefBased/>
  <w15:docId w15:val="{9E929294-D1C8-4D91-B8C5-9A35F103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7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林冠廷</dc:creator>
  <cp:keywords/>
  <dc:description/>
  <cp:lastModifiedBy>林冠廷</cp:lastModifiedBy>
  <cp:revision>5</cp:revision>
  <dcterms:created xsi:type="dcterms:W3CDTF">2022-12-22T13:19:00Z</dcterms:created>
  <dcterms:modified xsi:type="dcterms:W3CDTF">2022-12-22T15:08:00Z</dcterms:modified>
</cp:coreProperties>
</file>