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669E97" w14:textId="737EDA16" w:rsidR="00BD69C1" w:rsidRDefault="003C4B0C" w:rsidP="00530E02">
      <w:pPr>
        <w:spacing w:line="240" w:lineRule="auto"/>
        <w:rPr>
          <w:rFonts w:cs="Times New Roman"/>
          <w:b/>
          <w:bCs/>
        </w:rPr>
      </w:pPr>
      <w:r w:rsidRPr="003C4B0C">
        <w:rPr>
          <w:rFonts w:cs="Times New Roman"/>
          <w:b/>
          <w:bCs/>
        </w:rPr>
        <w:t>Island-Wide Photovoltaic Infrastructure Detection on Oahu, Hawai'i Using SAM3 and High-Performance Computing</w:t>
      </w:r>
    </w:p>
    <w:p w14:paraId="208D4671" w14:textId="77D58913" w:rsidR="00530E02" w:rsidRPr="00EA46FB" w:rsidRDefault="00530E02" w:rsidP="00530E02">
      <w:pPr>
        <w:spacing w:line="240" w:lineRule="auto"/>
        <w:rPr>
          <w:rFonts w:cs="Times New Roman"/>
          <w:lang w:val="en-US"/>
        </w:rPr>
      </w:pPr>
      <w:r w:rsidRPr="2B741738">
        <w:rPr>
          <w:rFonts w:cs="Times New Roman"/>
          <w:lang w:val="en-US"/>
        </w:rPr>
        <w:t>Flynn, C.</w:t>
      </w:r>
      <w:r w:rsidRPr="2B741738">
        <w:rPr>
          <w:rFonts w:cs="Times New Roman"/>
          <w:sz w:val="32"/>
          <w:szCs w:val="32"/>
          <w:vertAlign w:val="superscript"/>
          <w:lang w:val="en-US"/>
        </w:rPr>
        <w:t>1,2,3,4</w:t>
      </w:r>
      <w:r>
        <w:rPr>
          <w:rFonts w:cs="Times New Roman"/>
          <w:sz w:val="32"/>
          <w:szCs w:val="32"/>
          <w:vertAlign w:val="superscript"/>
          <w:lang w:val="en-US"/>
        </w:rPr>
        <w:t>, 5</w:t>
      </w:r>
      <w:r w:rsidRPr="2B741738">
        <w:rPr>
          <w:rFonts w:cs="Times New Roman"/>
          <w:lang w:val="en-US"/>
        </w:rPr>
        <w:t xml:space="preserve">, </w:t>
      </w:r>
      <w:r>
        <w:rPr>
          <w:rFonts w:cs="Times New Roman"/>
          <w:lang w:val="en-US"/>
        </w:rPr>
        <w:t>Wooton</w:t>
      </w:r>
      <w:r w:rsidRPr="2B741738">
        <w:rPr>
          <w:rFonts w:cs="Times New Roman"/>
          <w:lang w:val="en-US"/>
        </w:rPr>
        <w:t>, B.</w:t>
      </w:r>
      <w:r w:rsidRPr="2B741738">
        <w:rPr>
          <w:rFonts w:cs="Times New Roman"/>
          <w:sz w:val="32"/>
          <w:szCs w:val="32"/>
          <w:vertAlign w:val="superscript"/>
          <w:lang w:val="en-US"/>
        </w:rPr>
        <w:t xml:space="preserve"> 1,2,4</w:t>
      </w:r>
      <w:r w:rsidRPr="2B741738">
        <w:rPr>
          <w:rFonts w:cs="Times New Roman"/>
          <w:lang w:val="en-US"/>
        </w:rPr>
        <w:t xml:space="preserve">, </w:t>
      </w:r>
      <w:r w:rsidR="00366426">
        <w:rPr>
          <w:rFonts w:cs="Times New Roman"/>
          <w:lang w:val="en-US"/>
        </w:rPr>
        <w:t xml:space="preserve">Delacruz, V. </w:t>
      </w:r>
      <w:r w:rsidR="00366426">
        <w:rPr>
          <w:rFonts w:cs="Times New Roman"/>
          <w:sz w:val="32"/>
          <w:szCs w:val="32"/>
          <w:vertAlign w:val="superscript"/>
          <w:lang w:val="en-US"/>
        </w:rPr>
        <w:t>2,3,5,6</w:t>
      </w:r>
      <w:r w:rsidR="00366426" w:rsidRPr="2B741738">
        <w:rPr>
          <w:rFonts w:cs="Times New Roman"/>
          <w:lang w:val="en-US"/>
        </w:rPr>
        <w:t xml:space="preserve">, </w:t>
      </w:r>
      <w:r w:rsidR="00366426">
        <w:rPr>
          <w:rFonts w:cs="Times New Roman"/>
          <w:lang w:val="en-US"/>
        </w:rPr>
        <w:t xml:space="preserve">Camp A. </w:t>
      </w:r>
      <w:r w:rsidR="00366426">
        <w:rPr>
          <w:rFonts w:cs="Times New Roman"/>
          <w:sz w:val="32"/>
          <w:szCs w:val="32"/>
          <w:vertAlign w:val="superscript"/>
          <w:lang w:val="en-US"/>
        </w:rPr>
        <w:t>3</w:t>
      </w:r>
      <w:r w:rsidR="00366426" w:rsidRPr="2B741738">
        <w:rPr>
          <w:rFonts w:cs="Times New Roman"/>
          <w:lang w:val="en-US"/>
        </w:rPr>
        <w:t xml:space="preserve">, </w:t>
      </w:r>
      <w:r w:rsidR="00366426">
        <w:rPr>
          <w:rFonts w:cs="Times New Roman"/>
          <w:lang w:val="en-US"/>
        </w:rPr>
        <w:t>Holen</w:t>
      </w:r>
      <w:r>
        <w:rPr>
          <w:rFonts w:cs="Times New Roman"/>
          <w:lang w:val="en-US"/>
        </w:rPr>
        <w:t>, A.</w:t>
      </w:r>
      <w:r>
        <w:rPr>
          <w:rFonts w:cs="Times New Roman"/>
          <w:vertAlign w:val="superscript"/>
          <w:lang w:val="en-US"/>
        </w:rPr>
        <w:t>3</w:t>
      </w:r>
      <w:r w:rsidRPr="006B3C17">
        <w:rPr>
          <w:rFonts w:cs="Times New Roman"/>
          <w:lang w:val="en-US"/>
        </w:rPr>
        <w:t>,</w:t>
      </w:r>
      <w:r>
        <w:rPr>
          <w:rFonts w:cs="Times New Roman"/>
          <w:vertAlign w:val="superscript"/>
          <w:lang w:val="en-US"/>
        </w:rPr>
        <w:t xml:space="preserve"> </w:t>
      </w:r>
      <w:r>
        <w:rPr>
          <w:rFonts w:cs="Times New Roman"/>
          <w:lang w:val="en-US"/>
        </w:rPr>
        <w:t>Greb</w:t>
      </w:r>
      <w:r w:rsidRPr="2B741738">
        <w:rPr>
          <w:rFonts w:cs="Times New Roman"/>
          <w:lang w:val="en-US"/>
        </w:rPr>
        <w:t xml:space="preserve">, </w:t>
      </w:r>
      <w:r>
        <w:rPr>
          <w:rFonts w:cs="Times New Roman"/>
          <w:lang w:val="en-US"/>
        </w:rPr>
        <w:t>A</w:t>
      </w:r>
      <w:r w:rsidRPr="2B741738">
        <w:rPr>
          <w:rFonts w:cs="Times New Roman"/>
          <w:lang w:val="en-US"/>
        </w:rPr>
        <w:t>.</w:t>
      </w:r>
      <w:r>
        <w:rPr>
          <w:rFonts w:cs="Times New Roman"/>
          <w:sz w:val="32"/>
          <w:szCs w:val="32"/>
          <w:vertAlign w:val="superscript"/>
          <w:lang w:val="en-US"/>
        </w:rPr>
        <w:t>3</w:t>
      </w:r>
      <w:r w:rsidRPr="2B741738">
        <w:rPr>
          <w:rFonts w:cs="Times New Roman"/>
          <w:lang w:val="en-US"/>
        </w:rPr>
        <w:t>,</w:t>
      </w:r>
      <w:r>
        <w:rPr>
          <w:rFonts w:cs="Times New Roman"/>
          <w:lang w:val="en-US"/>
        </w:rPr>
        <w:t xml:space="preserve"> </w:t>
      </w:r>
      <w:r w:rsidR="008C046D">
        <w:rPr>
          <w:rFonts w:cs="Times New Roman"/>
          <w:lang w:val="en-US"/>
        </w:rPr>
        <w:t xml:space="preserve">Wong, K. </w:t>
      </w:r>
      <w:r w:rsidR="008C046D">
        <w:rPr>
          <w:rFonts w:cs="Times New Roman"/>
          <w:sz w:val="32"/>
          <w:szCs w:val="32"/>
          <w:vertAlign w:val="superscript"/>
          <w:lang w:val="en-US"/>
        </w:rPr>
        <w:t>3</w:t>
      </w:r>
      <w:r w:rsidR="008C046D" w:rsidRPr="2B741738">
        <w:rPr>
          <w:rFonts w:cs="Times New Roman"/>
          <w:lang w:val="en-US"/>
        </w:rPr>
        <w:t>,</w:t>
      </w:r>
      <w:r w:rsidR="008C046D">
        <w:rPr>
          <w:rFonts w:cs="Times New Roman"/>
          <w:sz w:val="32"/>
          <w:szCs w:val="32"/>
          <w:vertAlign w:val="superscript"/>
          <w:lang w:val="en-US"/>
        </w:rPr>
        <w:t xml:space="preserve"> </w:t>
      </w:r>
      <w:r>
        <w:rPr>
          <w:rFonts w:cs="Times New Roman"/>
          <w:lang w:val="en-US"/>
        </w:rPr>
        <w:t>Stokes</w:t>
      </w:r>
      <w:r w:rsidRPr="2B741738">
        <w:rPr>
          <w:rFonts w:cs="Times New Roman"/>
          <w:lang w:val="en-US"/>
        </w:rPr>
        <w:t>, A.J.</w:t>
      </w:r>
      <w:r w:rsidRPr="2B741738">
        <w:rPr>
          <w:rFonts w:cs="Times New Roman"/>
          <w:sz w:val="32"/>
          <w:szCs w:val="32"/>
          <w:vertAlign w:val="superscript"/>
          <w:lang w:val="en-US"/>
        </w:rPr>
        <w:t>4</w:t>
      </w:r>
      <w:r w:rsidRPr="2B741738">
        <w:rPr>
          <w:rFonts w:cs="Times New Roman"/>
          <w:lang w:val="en-US"/>
        </w:rPr>
        <w:t>, and Turner, H</w:t>
      </w:r>
      <w:r w:rsidRPr="2B741738">
        <w:rPr>
          <w:rFonts w:cs="Times New Roman"/>
          <w:sz w:val="32"/>
          <w:szCs w:val="32"/>
          <w:vertAlign w:val="superscript"/>
          <w:lang w:val="en-US"/>
        </w:rPr>
        <w:t>1,2,3,4,</w:t>
      </w:r>
      <w:r>
        <w:rPr>
          <w:rFonts w:cs="Times New Roman"/>
          <w:sz w:val="32"/>
          <w:szCs w:val="32"/>
          <w:vertAlign w:val="superscript"/>
          <w:lang w:val="en-US"/>
        </w:rPr>
        <w:t>5</w:t>
      </w:r>
      <w:r w:rsidRPr="2B741738">
        <w:rPr>
          <w:rFonts w:cs="Times New Roman"/>
          <w:lang w:val="en-US"/>
        </w:rPr>
        <w:t xml:space="preserve"> *</w:t>
      </w:r>
    </w:p>
    <w:p w14:paraId="66D42C66" w14:textId="77777777" w:rsidR="00530E02" w:rsidRPr="001E6364" w:rsidRDefault="00530E02" w:rsidP="00530E02">
      <w:pPr>
        <w:spacing w:line="240" w:lineRule="auto"/>
        <w:ind w:left="360"/>
        <w:rPr>
          <w:rFonts w:cs="Times New Roman"/>
        </w:rPr>
      </w:pPr>
      <w:r>
        <w:rPr>
          <w:rFonts w:cs="Times New Roman"/>
        </w:rPr>
        <w:t xml:space="preserve">1. </w:t>
      </w:r>
      <w:r w:rsidRPr="001E6364">
        <w:rPr>
          <w:rFonts w:cs="Times New Roman"/>
        </w:rPr>
        <w:t xml:space="preserve">Laboratory of Pharmacology and Analytics, School of Natural Sciences and Mathematics, Chaminade University, Honolulu, </w:t>
      </w:r>
      <w:proofErr w:type="gramStart"/>
      <w:r>
        <w:rPr>
          <w:rFonts w:cs="Times New Roman"/>
        </w:rPr>
        <w:t>Hawai‘</w:t>
      </w:r>
      <w:proofErr w:type="gramEnd"/>
      <w:r>
        <w:rPr>
          <w:rFonts w:cs="Times New Roman"/>
        </w:rPr>
        <w:t xml:space="preserve">i </w:t>
      </w:r>
    </w:p>
    <w:p w14:paraId="74B82C9A" w14:textId="77777777" w:rsidR="00530E02" w:rsidRPr="001E6364" w:rsidRDefault="00530E02" w:rsidP="00530E02">
      <w:pPr>
        <w:spacing w:line="240" w:lineRule="auto"/>
        <w:ind w:left="360"/>
        <w:rPr>
          <w:rFonts w:cs="Times New Roman"/>
        </w:rPr>
      </w:pPr>
      <w:r>
        <w:rPr>
          <w:rFonts w:cs="Times New Roman"/>
        </w:rPr>
        <w:t xml:space="preserve">2. </w:t>
      </w:r>
      <w:r w:rsidRPr="001E6364">
        <w:rPr>
          <w:rFonts w:cs="Times New Roman"/>
        </w:rPr>
        <w:t xml:space="preserve">Data Analytics Research Team, UN CIFAL Honolulu, Chaminade University, Honolulu, </w:t>
      </w:r>
      <w:proofErr w:type="gramStart"/>
      <w:r>
        <w:rPr>
          <w:rFonts w:cs="Times New Roman"/>
        </w:rPr>
        <w:t>Hawai‘</w:t>
      </w:r>
      <w:proofErr w:type="gramEnd"/>
      <w:r>
        <w:rPr>
          <w:rFonts w:cs="Times New Roman"/>
        </w:rPr>
        <w:t xml:space="preserve">i </w:t>
      </w:r>
    </w:p>
    <w:p w14:paraId="58941132" w14:textId="77777777" w:rsidR="00530E02" w:rsidRPr="001E6364" w:rsidRDefault="00530E02" w:rsidP="00530E02">
      <w:pPr>
        <w:spacing w:line="240" w:lineRule="auto"/>
        <w:ind w:left="360"/>
        <w:rPr>
          <w:rFonts w:cs="Times New Roman"/>
        </w:rPr>
      </w:pPr>
      <w:r>
        <w:rPr>
          <w:rFonts w:cs="Times New Roman"/>
        </w:rPr>
        <w:t xml:space="preserve">3. </w:t>
      </w:r>
      <w:r w:rsidRPr="001E6364">
        <w:rPr>
          <w:rFonts w:cs="Times New Roman"/>
        </w:rPr>
        <w:t xml:space="preserve">Data Science Program, School of Natural Sciences and Mathematics, Chaminade University, Honolulu, </w:t>
      </w:r>
      <w:proofErr w:type="gramStart"/>
      <w:r>
        <w:rPr>
          <w:rFonts w:cs="Times New Roman"/>
        </w:rPr>
        <w:t>Hawai‘</w:t>
      </w:r>
      <w:proofErr w:type="gramEnd"/>
      <w:r>
        <w:rPr>
          <w:rFonts w:cs="Times New Roman"/>
        </w:rPr>
        <w:t xml:space="preserve">i </w:t>
      </w:r>
    </w:p>
    <w:p w14:paraId="4EAE4106" w14:textId="36DABFEF" w:rsidR="00530E02" w:rsidRDefault="00530E02" w:rsidP="00530E02">
      <w:pPr>
        <w:spacing w:line="240" w:lineRule="auto"/>
        <w:ind w:left="360"/>
        <w:rPr>
          <w:rFonts w:cs="Times New Roman"/>
        </w:rPr>
      </w:pPr>
      <w:r>
        <w:rPr>
          <w:rFonts w:cs="Times New Roman"/>
        </w:rPr>
        <w:t xml:space="preserve">4. </w:t>
      </w:r>
      <w:r w:rsidRPr="001E6364">
        <w:rPr>
          <w:rFonts w:cs="Times New Roman"/>
        </w:rPr>
        <w:t xml:space="preserve">Department of Cell and Molecular Biology, John A. Burns School of Medicine, University of Hawai'i, Honolulu, </w:t>
      </w:r>
      <w:proofErr w:type="gramStart"/>
      <w:r>
        <w:rPr>
          <w:rFonts w:cs="Times New Roman"/>
        </w:rPr>
        <w:t>Hawai‘</w:t>
      </w:r>
      <w:proofErr w:type="gramEnd"/>
      <w:r>
        <w:rPr>
          <w:rFonts w:cs="Times New Roman"/>
        </w:rPr>
        <w:t xml:space="preserve">i </w:t>
      </w:r>
    </w:p>
    <w:p w14:paraId="44CD9BB5" w14:textId="3686469F" w:rsidR="00530E02" w:rsidRDefault="00530E02" w:rsidP="00530E02">
      <w:pPr>
        <w:spacing w:line="240" w:lineRule="auto"/>
        <w:ind w:left="360"/>
        <w:rPr>
          <w:rFonts w:cs="Times New Roman"/>
        </w:rPr>
      </w:pPr>
      <w:r>
        <w:rPr>
          <w:rFonts w:cs="Times New Roman"/>
        </w:rPr>
        <w:t xml:space="preserve">5. CIFAL Honolulu, United Nations Center for Training and Research, Honolulu, </w:t>
      </w:r>
      <w:proofErr w:type="gramStart"/>
      <w:r w:rsidR="002E06BF">
        <w:rPr>
          <w:rFonts w:cs="Times New Roman"/>
        </w:rPr>
        <w:t>Hawai‘</w:t>
      </w:r>
      <w:proofErr w:type="gramEnd"/>
      <w:r w:rsidR="002E06BF">
        <w:rPr>
          <w:rFonts w:cs="Times New Roman"/>
        </w:rPr>
        <w:t>i</w:t>
      </w:r>
    </w:p>
    <w:p w14:paraId="65C5D0D7" w14:textId="665FC597" w:rsidR="00366426" w:rsidRPr="001E6364" w:rsidRDefault="00366426" w:rsidP="00530E02">
      <w:pPr>
        <w:spacing w:line="240" w:lineRule="auto"/>
        <w:ind w:left="360"/>
        <w:rPr>
          <w:rFonts w:cs="Times New Roman"/>
        </w:rPr>
      </w:pPr>
      <w:r>
        <w:rPr>
          <w:rFonts w:cs="Times New Roman"/>
        </w:rPr>
        <w:t xml:space="preserve">6. </w:t>
      </w:r>
      <w:r w:rsidRPr="00366426">
        <w:rPr>
          <w:rFonts w:cs="Times New Roman"/>
        </w:rPr>
        <w:t>Cyberinfrastructure Pacific Professionals</w:t>
      </w:r>
      <w:r>
        <w:rPr>
          <w:rFonts w:cs="Times New Roman"/>
        </w:rPr>
        <w:t xml:space="preserve">, Chaminade University of Honolulu, Honolulu, </w:t>
      </w:r>
      <w:proofErr w:type="gramStart"/>
      <w:r>
        <w:rPr>
          <w:rFonts w:cs="Times New Roman"/>
        </w:rPr>
        <w:t>Hawai‘</w:t>
      </w:r>
      <w:proofErr w:type="gramEnd"/>
      <w:r>
        <w:rPr>
          <w:rFonts w:cs="Times New Roman"/>
        </w:rPr>
        <w:t>i</w:t>
      </w:r>
    </w:p>
    <w:p w14:paraId="0E4601A9" w14:textId="77777777" w:rsidR="00B304CC" w:rsidRDefault="00B304CC"/>
    <w:p w14:paraId="7900CFA1" w14:textId="2043DFCA" w:rsidR="000C27BA" w:rsidRDefault="000C27BA" w:rsidP="000C27BA">
      <w:pPr>
        <w:rPr>
          <w:b/>
          <w:bCs/>
        </w:rPr>
      </w:pPr>
      <w:r>
        <w:t xml:space="preserve">Target Journal: </w:t>
      </w:r>
      <w:r w:rsidRPr="000C27BA">
        <w:rPr>
          <w:b/>
          <w:bCs/>
        </w:rPr>
        <w:t>International Journal of Applied Earth Observation and Geoinformation</w:t>
      </w:r>
    </w:p>
    <w:p w14:paraId="4B22F50A" w14:textId="6C379A62" w:rsidR="000C27BA" w:rsidRPr="000C27BA" w:rsidRDefault="000C27BA" w:rsidP="000C27BA">
      <w:r w:rsidRPr="000C27BA">
        <w:t>8,000 word limit, 250 word abstract</w:t>
      </w:r>
      <w:r>
        <w:t>, Cost: $3,600</w:t>
      </w:r>
    </w:p>
    <w:p w14:paraId="67850DB8" w14:textId="77777777" w:rsidR="000C27BA" w:rsidRDefault="000C27BA"/>
    <w:p w14:paraId="5290F5E4" w14:textId="0FA04ADB" w:rsidR="006F1D8C" w:rsidRPr="006F1D8C" w:rsidRDefault="006F1D8C">
      <w:pPr>
        <w:rPr>
          <w:b/>
          <w:bCs/>
        </w:rPr>
      </w:pPr>
      <w:r>
        <w:rPr>
          <w:b/>
          <w:bCs/>
        </w:rPr>
        <w:t>Abstract.</w:t>
      </w:r>
    </w:p>
    <w:p w14:paraId="0B95E408" w14:textId="273276D0" w:rsidR="009D3DAF" w:rsidRDefault="00C921A8" w:rsidP="00CB1007">
      <w:pPr>
        <w:rPr>
          <w:b/>
          <w:bCs/>
        </w:rPr>
      </w:pPr>
      <w:r w:rsidRPr="00C921A8">
        <w:t>Hawai'i leads the United States in per-capita rooftop solar adoption, with over half of single-family homes on Oahu contributing photovoltaic (PV) energy to the grid, yet no publicly available spatial inventory of installed PV systems exists for the Hawaiian Islands. We present the first island-wide PV detection study for Oahu using Meta's Segment Anything Model 3 (SAM3)</w:t>
      </w:r>
      <w:r w:rsidR="003C4B0C" w:rsidRPr="003C4B0C">
        <w:t xml:space="preserve">, deployed in a zero-shot, text-prompted capacity across 1,776 uniform 1 km² grid cells </w:t>
      </w:r>
      <w:r w:rsidR="0010513A">
        <w:t xml:space="preserve">of </w:t>
      </w:r>
      <w:r w:rsidR="0010513A" w:rsidRPr="003C4B0C">
        <w:t xml:space="preserve">high-resolution Vexcel aerial imagery </w:t>
      </w:r>
      <w:r w:rsidR="003C4B0C" w:rsidRPr="003C4B0C">
        <w:t>on NVIDIA GH200 GPU nodes at the Texas Advanced Computing Center's Vista supercomputer</w:t>
      </w:r>
      <w:r w:rsidR="0010513A">
        <w:t xml:space="preserve">. </w:t>
      </w:r>
      <w:r w:rsidRPr="00C921A8">
        <w:t>The analysis identified 88,663 PV detection polygons covering 6.44 km² of solar infrastructure</w:t>
      </w:r>
      <w:r w:rsidR="003C4B0C" w:rsidRPr="003C4B0C">
        <w:t xml:space="preserve">. </w:t>
      </w:r>
      <w:r w:rsidRPr="00C921A8">
        <w:t xml:space="preserve">Beyond the geographic contribution, this work introduces a reproducible </w:t>
      </w:r>
      <w:proofErr w:type="spellStart"/>
      <w:r w:rsidRPr="00C921A8">
        <w:t>GeoAI</w:t>
      </w:r>
      <w:proofErr w:type="spellEnd"/>
      <w:r w:rsidRPr="00C921A8">
        <w:t xml:space="preserve"> framework combining SAM3, high-resolution aerial imagery, </w:t>
      </w:r>
      <w:r>
        <w:lastRenderedPageBreak/>
        <w:t xml:space="preserve">the </w:t>
      </w:r>
      <w:r w:rsidRPr="00C921A8">
        <w:t>open-source R</w:t>
      </w:r>
      <w:r>
        <w:t xml:space="preserve"> programming language</w:t>
      </w:r>
      <w:r w:rsidRPr="00C921A8">
        <w:t xml:space="preserve">, and national supercomputing infrastructure that enables large-area geospatial detection without labeled training data or domain-specific model </w:t>
      </w:r>
      <w:r w:rsidR="0010513A" w:rsidRPr="00C921A8">
        <w:t>fine-tuning and</w:t>
      </w:r>
      <w:r w:rsidRPr="00C921A8">
        <w:t xml:space="preserve"> is broadly transferable to other geographic regions and remote sensing detection task</w:t>
      </w:r>
      <w:r>
        <w:t>s.</w:t>
      </w:r>
    </w:p>
    <w:p w14:paraId="0815B860" w14:textId="257EC69B" w:rsidR="00CB1007" w:rsidRPr="006F1D8C" w:rsidRDefault="00CB1007" w:rsidP="00CB1007">
      <w:pPr>
        <w:rPr>
          <w:b/>
          <w:bCs/>
        </w:rPr>
      </w:pPr>
      <w:r>
        <w:rPr>
          <w:b/>
          <w:bCs/>
        </w:rPr>
        <w:t>Introduction.</w:t>
      </w:r>
    </w:p>
    <w:p w14:paraId="49A8C32F" w14:textId="77777777" w:rsidR="003C12E0" w:rsidRPr="003C12E0" w:rsidRDefault="003C12E0" w:rsidP="003C12E0">
      <w:pPr>
        <w:rPr>
          <w:i/>
          <w:iCs/>
          <w:lang w:val="en-US"/>
        </w:rPr>
      </w:pPr>
      <w:r w:rsidRPr="003C12E0">
        <w:rPr>
          <w:i/>
          <w:iCs/>
          <w:lang w:val="en-US"/>
        </w:rPr>
        <w:t>1.1 Solar energy in Hawai'i</w:t>
      </w:r>
    </w:p>
    <w:p w14:paraId="661EAF04" w14:textId="4C5630BF" w:rsidR="00E24672" w:rsidRDefault="00F411D9" w:rsidP="003C12E0">
      <w:r w:rsidRPr="00F411D9">
        <w:t>Hawai'i remains the most petroleum-dependent state in the nation, with approximately 90% of total energy consumption derived from imported oil</w:t>
      </w:r>
      <w:r>
        <w:t xml:space="preserve"> </w:t>
      </w:r>
      <w:hyperlink r:id="rId5" w:history="1">
        <w:r w:rsidRPr="003C12E0">
          <w:rPr>
            <w:rStyle w:val="Hyperlink"/>
            <w:lang w:val="en-US"/>
          </w:rPr>
          <w:t>(EIA, 202</w:t>
        </w:r>
        <w:r>
          <w:rPr>
            <w:rStyle w:val="Hyperlink"/>
            <w:lang w:val="en-US"/>
          </w:rPr>
          <w:t>6</w:t>
        </w:r>
        <w:r w:rsidRPr="003C12E0">
          <w:rPr>
            <w:rStyle w:val="Hyperlink"/>
            <w:lang w:val="en-US"/>
          </w:rPr>
          <w:t>)</w:t>
        </w:r>
      </w:hyperlink>
      <w:r w:rsidRPr="003C12E0">
        <w:rPr>
          <w:lang w:val="en-US"/>
        </w:rPr>
        <w:t xml:space="preserve">. </w:t>
      </w:r>
      <w:r w:rsidRPr="00F411D9">
        <w:t xml:space="preserve"> In the electricity sector specifically, petroleum fueled 64% of total generation in 2025 </w:t>
      </w:r>
      <w:hyperlink r:id="rId6" w:history="1">
        <w:r w:rsidR="003C12E0" w:rsidRPr="003C12E0">
          <w:rPr>
            <w:rStyle w:val="Hyperlink"/>
            <w:lang w:val="en-US"/>
          </w:rPr>
          <w:t>(EIA, 202</w:t>
        </w:r>
        <w:r>
          <w:rPr>
            <w:rStyle w:val="Hyperlink"/>
            <w:lang w:val="en-US"/>
          </w:rPr>
          <w:t>6</w:t>
        </w:r>
        <w:r w:rsidR="003C12E0" w:rsidRPr="003C12E0">
          <w:rPr>
            <w:rStyle w:val="Hyperlink"/>
            <w:lang w:val="en-US"/>
          </w:rPr>
          <w:t>)</w:t>
        </w:r>
      </w:hyperlink>
      <w:r w:rsidR="003C12E0" w:rsidRPr="003C12E0">
        <w:rPr>
          <w:lang w:val="en-US"/>
        </w:rPr>
        <w:t>. This dependence on imported oil</w:t>
      </w:r>
      <w:r w:rsidR="003D6A56">
        <w:rPr>
          <w:lang w:val="en-US"/>
        </w:rPr>
        <w:t xml:space="preserve">, </w:t>
      </w:r>
      <w:r w:rsidR="003C12E0" w:rsidRPr="003C12E0">
        <w:rPr>
          <w:lang w:val="en-US"/>
        </w:rPr>
        <w:t>transported over thousands of miles of open ocean</w:t>
      </w:r>
      <w:r w:rsidR="003D6A56">
        <w:rPr>
          <w:lang w:val="en-US"/>
        </w:rPr>
        <w:t>,</w:t>
      </w:r>
      <w:r w:rsidR="003C12E0" w:rsidRPr="003C12E0">
        <w:rPr>
          <w:lang w:val="en-US"/>
        </w:rPr>
        <w:t xml:space="preserve"> represents a significant economic</w:t>
      </w:r>
      <w:r w:rsidR="00684F0B">
        <w:rPr>
          <w:lang w:val="en-US"/>
        </w:rPr>
        <w:t xml:space="preserve">, energy, and </w:t>
      </w:r>
      <w:r w:rsidR="003C12E0" w:rsidRPr="003C12E0">
        <w:rPr>
          <w:lang w:val="en-US"/>
        </w:rPr>
        <w:t>security vulnerability</w:t>
      </w:r>
      <w:r w:rsidR="003D6A56">
        <w:rPr>
          <w:lang w:val="en-US"/>
        </w:rPr>
        <w:t xml:space="preserve">. </w:t>
      </w:r>
      <w:r w:rsidR="003D6A56" w:rsidRPr="003C12E0">
        <w:rPr>
          <w:lang w:val="en-US"/>
        </w:rPr>
        <w:t>Hawai’</w:t>
      </w:r>
      <w:r w:rsidR="003D6A56">
        <w:rPr>
          <w:lang w:val="en-US"/>
        </w:rPr>
        <w:t>i reported</w:t>
      </w:r>
      <w:r w:rsidR="003C12E0" w:rsidRPr="003C12E0">
        <w:rPr>
          <w:lang w:val="en-US"/>
        </w:rPr>
        <w:t xml:space="preserve"> the highest residential electricity price in the United States, averaging approximately 40.75 cents per kilowatt-hour in 2024</w:t>
      </w:r>
      <w:r w:rsidR="003D6A56">
        <w:rPr>
          <w:lang w:val="en-US"/>
        </w:rPr>
        <w:t xml:space="preserve">, </w:t>
      </w:r>
      <w:r w:rsidR="003C12E0" w:rsidRPr="003C12E0">
        <w:rPr>
          <w:lang w:val="en-US"/>
        </w:rPr>
        <w:t xml:space="preserve">more than twice the national average </w:t>
      </w:r>
      <w:hyperlink r:id="rId7" w:history="1">
        <w:r w:rsidR="003C12E0" w:rsidRPr="003C12E0">
          <w:rPr>
            <w:rStyle w:val="Hyperlink"/>
            <w:lang w:val="en-US"/>
          </w:rPr>
          <w:t>(EIA, 2024)</w:t>
        </w:r>
      </w:hyperlink>
      <w:r w:rsidR="003C12E0" w:rsidRPr="003C12E0">
        <w:rPr>
          <w:lang w:val="en-US"/>
        </w:rPr>
        <w:t xml:space="preserve">. </w:t>
      </w:r>
      <w:r w:rsidR="00230B30">
        <w:rPr>
          <w:lang w:val="en-US"/>
        </w:rPr>
        <w:t xml:space="preserve">These </w:t>
      </w:r>
      <w:r w:rsidR="003C12E0" w:rsidRPr="003C12E0">
        <w:rPr>
          <w:lang w:val="en-US"/>
        </w:rPr>
        <w:t xml:space="preserve">acute economic </w:t>
      </w:r>
      <w:r w:rsidR="00230B30">
        <w:rPr>
          <w:lang w:val="en-US"/>
        </w:rPr>
        <w:t xml:space="preserve">and security </w:t>
      </w:r>
      <w:r w:rsidR="003C12E0" w:rsidRPr="003C12E0">
        <w:rPr>
          <w:lang w:val="en-US"/>
        </w:rPr>
        <w:t xml:space="preserve">pressures have driven the state to become a national leader in distributed solar adoption. </w:t>
      </w:r>
      <w:r w:rsidR="009B78D1" w:rsidRPr="009B78D1">
        <w:t xml:space="preserve">By </w:t>
      </w:r>
      <w:r w:rsidR="000227E1">
        <w:t xml:space="preserve">the </w:t>
      </w:r>
      <w:r w:rsidR="009B78D1" w:rsidRPr="009B78D1">
        <w:t xml:space="preserve">end of 2024, distributed rooftop photovoltaic systems across Hawaiian Electric's service territory numbered 113,999 installations, collectively generating 1.69 million MWh, equivalent to 16.4% of total system electricity generation </w:t>
      </w:r>
      <w:hyperlink r:id="rId8" w:history="1">
        <w:r w:rsidR="009B78D1" w:rsidRPr="009B78D1">
          <w:rPr>
            <w:rStyle w:val="Hyperlink"/>
          </w:rPr>
          <w:t>(Hawaiian Electric, 2025a)</w:t>
        </w:r>
      </w:hyperlink>
      <w:r w:rsidR="009B78D1" w:rsidRPr="009B78D1">
        <w:t xml:space="preserve">; </w:t>
      </w:r>
      <w:hyperlink r:id="rId9" w:history="1">
        <w:r w:rsidR="009B78D1" w:rsidRPr="009B78D1">
          <w:rPr>
            <w:rStyle w:val="Hyperlink"/>
          </w:rPr>
          <w:t>(Hawaiian Electric, 2025b)</w:t>
        </w:r>
      </w:hyperlink>
      <w:r w:rsidR="003C12E0" w:rsidRPr="003C12E0">
        <w:rPr>
          <w:lang w:val="en-US"/>
        </w:rPr>
        <w:t>.</w:t>
      </w:r>
      <w:r w:rsidR="00706634">
        <w:rPr>
          <w:lang w:val="en-US"/>
        </w:rPr>
        <w:t xml:space="preserve"> </w:t>
      </w:r>
      <w:r w:rsidR="00E24672" w:rsidRPr="00E24672">
        <w:t>The</w:t>
      </w:r>
      <w:r w:rsidR="000227E1">
        <w:t xml:space="preserve"> </w:t>
      </w:r>
      <w:r w:rsidR="00E24672" w:rsidRPr="00E24672">
        <w:t xml:space="preserve">Hawai'i Clean Energy Initiative (HCEI), established in 2008 through a Memorandum of Understanding between the State of Hawai'i and the U.S. Department of Energy, created the foundational framework for reducing the state's dependence on imported fossil fuels </w:t>
      </w:r>
      <w:hyperlink r:id="rId10" w:history="1">
        <w:r w:rsidR="00E24672" w:rsidRPr="00E24672">
          <w:rPr>
            <w:rStyle w:val="Hyperlink"/>
          </w:rPr>
          <w:t>(Hawai'i State Energy Office, 2024)</w:t>
        </w:r>
      </w:hyperlink>
      <w:r w:rsidR="00E24672" w:rsidRPr="00E24672">
        <w:t xml:space="preserve">. Building on this foundation, Act 97 of 2015 made Hawai'i the first U.S. state to mandate 100% renewable electricity by 2045. Executive Order No. 25-01, issued in January 2025, further accelerated these commitments by advancing the 100% renewable target </w:t>
      </w:r>
      <w:r w:rsidR="00E24672" w:rsidRPr="00E24672">
        <w:lastRenderedPageBreak/>
        <w:t xml:space="preserve">for neighbor islands to 2035 and setting a statewide goal of 50,000 </w:t>
      </w:r>
      <w:r w:rsidR="00684F0B">
        <w:t xml:space="preserve">new </w:t>
      </w:r>
      <w:r w:rsidR="00E24672" w:rsidRPr="00E24672">
        <w:t xml:space="preserve">distributed renewable energy installations by 2030 </w:t>
      </w:r>
      <w:hyperlink r:id="rId11" w:history="1">
        <w:r w:rsidR="00E24672" w:rsidRPr="00E24672">
          <w:rPr>
            <w:rStyle w:val="Hyperlink"/>
          </w:rPr>
          <w:t>(Governor of Hawai'i, 2025)</w:t>
        </w:r>
      </w:hyperlink>
      <w:r w:rsidR="00E24672" w:rsidRPr="00E24672">
        <w:t>. Meeting these targets requires sustained expansion of distributed solar across the state, and particularly across Oahu, which accounts for the majority of statewide electricity demand</w:t>
      </w:r>
      <w:r w:rsidR="00E24672">
        <w:t>.</w:t>
      </w:r>
    </w:p>
    <w:p w14:paraId="06AB1E31" w14:textId="194B5AA8" w:rsidR="003C12E0" w:rsidRDefault="003C12E0" w:rsidP="003C12E0">
      <w:pPr>
        <w:rPr>
          <w:lang w:val="en-US"/>
        </w:rPr>
      </w:pPr>
      <w:r w:rsidRPr="003C12E0">
        <w:rPr>
          <w:lang w:val="en-US"/>
        </w:rPr>
        <w:t xml:space="preserve">Despite this </w:t>
      </w:r>
      <w:r w:rsidR="00706634">
        <w:rPr>
          <w:lang w:val="en-US"/>
        </w:rPr>
        <w:t>significant</w:t>
      </w:r>
      <w:r w:rsidRPr="003C12E0">
        <w:rPr>
          <w:lang w:val="en-US"/>
        </w:rPr>
        <w:t xml:space="preserve"> adoption trajectory, no </w:t>
      </w:r>
      <w:r w:rsidR="00684F0B">
        <w:rPr>
          <w:lang w:val="en-US"/>
        </w:rPr>
        <w:t xml:space="preserve">publicly available, </w:t>
      </w:r>
      <w:r w:rsidRPr="003C12E0">
        <w:rPr>
          <w:lang w:val="en-US"/>
        </w:rPr>
        <w:t xml:space="preserve">comprehensive spatial inventory of installed PV systems exists for Oahu or the broader Hawaiian Islands. The absence of such an inventory limits the ability of utilities, planners, and policymakers to assess current solar coverage, identify remaining rooftop potential, and plan for grid integration as deployment continues to accelerate. </w:t>
      </w:r>
    </w:p>
    <w:p w14:paraId="101E70D2" w14:textId="43E8F1AE" w:rsidR="00BC7233" w:rsidRPr="00BC7233" w:rsidRDefault="00BC7233" w:rsidP="00BC7233">
      <w:pPr>
        <w:rPr>
          <w:i/>
          <w:iCs/>
          <w:lang w:val="en-US"/>
        </w:rPr>
      </w:pPr>
      <w:r w:rsidRPr="00BC7233">
        <w:rPr>
          <w:i/>
          <w:iCs/>
        </w:rPr>
        <w:t>1.2 Remote sensing approaches to photovoltaic mapping</w:t>
      </w:r>
    </w:p>
    <w:p w14:paraId="33F2B558" w14:textId="4453C69F" w:rsidR="00402ECF" w:rsidRDefault="00BC7233" w:rsidP="00BC7233">
      <w:r w:rsidRPr="00BC7233">
        <w:rPr>
          <w:lang w:val="en-US"/>
        </w:rPr>
        <w:t xml:space="preserve">Remote sensing has emerged as a scalable and cost-effective approach for mapping distributed PV infrastructure at regional and national scales. Early work demonstrated the feasibility of detecting rooftop solar panels from aerial and satellite imagery using object-based image analysis and traditional machine learning methods, establishing foundational datasets and benchmarks for the field </w:t>
      </w:r>
      <w:hyperlink r:id="rId12" w:history="1">
        <w:r w:rsidRPr="00BC7233">
          <w:rPr>
            <w:rStyle w:val="Hyperlink"/>
            <w:lang w:val="en-US"/>
          </w:rPr>
          <w:t>(Bradbury et al., 2016)</w:t>
        </w:r>
      </w:hyperlink>
      <w:r w:rsidRPr="00BC7233">
        <w:rPr>
          <w:lang w:val="en-US"/>
        </w:rPr>
        <w:t xml:space="preserve">. The landmark </w:t>
      </w:r>
      <w:proofErr w:type="spellStart"/>
      <w:r w:rsidRPr="00BC7233">
        <w:rPr>
          <w:lang w:val="en-US"/>
        </w:rPr>
        <w:t>DeepSolar</w:t>
      </w:r>
      <w:proofErr w:type="spellEnd"/>
      <w:r w:rsidRPr="00BC7233">
        <w:rPr>
          <w:lang w:val="en-US"/>
        </w:rPr>
        <w:t xml:space="preserve"> framework represented a major methodological advance, applying convolutional neural networks (CNNs) to high-resolution satellite imagery to construct </w:t>
      </w:r>
      <w:r w:rsidR="00994C22">
        <w:rPr>
          <w:lang w:val="en-US"/>
        </w:rPr>
        <w:t>the first publicly available, high-fidelity</w:t>
      </w:r>
      <w:r w:rsidRPr="00BC7233">
        <w:rPr>
          <w:lang w:val="en-US"/>
        </w:rPr>
        <w:t xml:space="preserve"> solar </w:t>
      </w:r>
      <w:r w:rsidR="00994C22">
        <w:rPr>
          <w:lang w:val="en-US"/>
        </w:rPr>
        <w:t>installation</w:t>
      </w:r>
      <w:r w:rsidRPr="00BC7233">
        <w:rPr>
          <w:lang w:val="en-US"/>
        </w:rPr>
        <w:t xml:space="preserve"> database for the contiguous United States, demonstrating that deep learning could scale PV detection to the national level </w:t>
      </w:r>
      <w:hyperlink r:id="rId13" w:history="1">
        <w:r w:rsidRPr="00BC7233">
          <w:rPr>
            <w:rStyle w:val="Hyperlink"/>
            <w:lang w:val="en-US"/>
          </w:rPr>
          <w:t>(Yu et al., 2018)</w:t>
        </w:r>
      </w:hyperlink>
      <w:r w:rsidRPr="00BC7233">
        <w:rPr>
          <w:lang w:val="en-US"/>
        </w:rPr>
        <w:t xml:space="preserve">. Subsequent work extended CNN-based approaches to Europe, China, and other regions, progressively improving detection accuracy and spatial resolution </w:t>
      </w:r>
      <w:hyperlink r:id="rId14" w:history="1">
        <w:r w:rsidRPr="00BC7233">
          <w:rPr>
            <w:rStyle w:val="Hyperlink"/>
            <w:lang w:val="en-US"/>
          </w:rPr>
          <w:t>(</w:t>
        </w:r>
        <w:proofErr w:type="spellStart"/>
        <w:r w:rsidRPr="00BC7233">
          <w:rPr>
            <w:rStyle w:val="Hyperlink"/>
            <w:lang w:val="en-US"/>
          </w:rPr>
          <w:t>Kruitwagen</w:t>
        </w:r>
        <w:proofErr w:type="spellEnd"/>
        <w:r w:rsidRPr="00BC7233">
          <w:rPr>
            <w:rStyle w:val="Hyperlink"/>
            <w:lang w:val="en-US"/>
          </w:rPr>
          <w:t xml:space="preserve"> et al., 2021)</w:t>
        </w:r>
      </w:hyperlink>
      <w:r w:rsidRPr="00BC7233">
        <w:rPr>
          <w:lang w:val="en-US"/>
        </w:rPr>
        <w:t>.</w:t>
      </w:r>
      <w:r>
        <w:rPr>
          <w:lang w:val="en-US"/>
        </w:rPr>
        <w:t xml:space="preserve"> </w:t>
      </w:r>
      <w:r w:rsidR="00402ECF" w:rsidRPr="00402ECF">
        <w:t xml:space="preserve">Despite their effectiveness within their training domains, supervised deep learning approaches have demonstrated limited geographic transferability, with performance degrading when applied to imagery from regions that differ visually and </w:t>
      </w:r>
      <w:r w:rsidR="00402ECF" w:rsidRPr="00402ECF">
        <w:lastRenderedPageBreak/>
        <w:t xml:space="preserve">climatically from their training data </w:t>
      </w:r>
      <w:hyperlink r:id="rId15" w:history="1">
        <w:r w:rsidR="00402ECF" w:rsidRPr="00402ECF">
          <w:rPr>
            <w:rStyle w:val="Hyperlink"/>
          </w:rPr>
          <w:t>(Wang et al., 2017)</w:t>
        </w:r>
      </w:hyperlink>
      <w:r w:rsidR="00402ECF">
        <w:t xml:space="preserve">. </w:t>
      </w:r>
      <w:r w:rsidR="00402ECF" w:rsidRPr="00402ECF">
        <w:t>Island environments such as Hawai'i, with their distinct tropical landscape, building morphology, and absence from existing training datasets, present precisely this challenge, and have remained outside the reach of existing large-scale PV mapping frameworks.</w:t>
      </w:r>
    </w:p>
    <w:p w14:paraId="2E7EBFCB" w14:textId="754A06C5" w:rsidR="00BC7233" w:rsidRPr="00BC7233" w:rsidRDefault="00BC7233" w:rsidP="00BC7233">
      <w:pPr>
        <w:rPr>
          <w:i/>
          <w:iCs/>
          <w:lang w:val="en-US"/>
        </w:rPr>
      </w:pPr>
      <w:r w:rsidRPr="00BC7233">
        <w:rPr>
          <w:i/>
          <w:iCs/>
          <w:lang w:val="en-US"/>
        </w:rPr>
        <w:t>1.3 Foundation models for geospatial detection</w:t>
      </w:r>
    </w:p>
    <w:p w14:paraId="4F90964D" w14:textId="5E7C678A" w:rsidR="00BC7233" w:rsidRPr="00BC7233" w:rsidRDefault="00BC7233" w:rsidP="00BC7233">
      <w:pPr>
        <w:rPr>
          <w:lang w:val="en-US"/>
        </w:rPr>
      </w:pPr>
      <w:r w:rsidRPr="00BC7233">
        <w:rPr>
          <w:lang w:val="en-US"/>
        </w:rPr>
        <w:t xml:space="preserve">The emergence of vision foundation models has opened new possibilities for geospatial object detection. Meta's Segment Anything Model (SAM), introduced by Kirillov et al. (2023), demonstrated that a single large-scale model trained on over one billion image masks could perform zero-shot segmentation across diverse visual domains without task-specific fine-tuning </w:t>
      </w:r>
      <w:hyperlink r:id="rId16" w:history="1">
        <w:r w:rsidRPr="00BC7233">
          <w:rPr>
            <w:rStyle w:val="Hyperlink"/>
            <w:lang w:val="en-US"/>
          </w:rPr>
          <w:t>(Kirillov et al., 2023)</w:t>
        </w:r>
      </w:hyperlink>
      <w:r w:rsidRPr="00BC7233">
        <w:rPr>
          <w:lang w:val="en-US"/>
        </w:rPr>
        <w:t>. SAM's prompt-based architecture</w:t>
      </w:r>
      <w:r w:rsidR="00402ECF">
        <w:rPr>
          <w:lang w:val="en-US"/>
        </w:rPr>
        <w:t>,</w:t>
      </w:r>
      <w:r w:rsidRPr="00BC7233">
        <w:rPr>
          <w:lang w:val="en-US"/>
        </w:rPr>
        <w:t xml:space="preserve"> accepting text, point, or bounding box inputs</w:t>
      </w:r>
      <w:r w:rsidR="00402ECF">
        <w:rPr>
          <w:lang w:val="en-US"/>
        </w:rPr>
        <w:t xml:space="preserve">, </w:t>
      </w:r>
      <w:r w:rsidRPr="00BC7233">
        <w:rPr>
          <w:lang w:val="en-US"/>
        </w:rPr>
        <w:t xml:space="preserve">offered a fundamentally different paradigm from the supervised approaches </w:t>
      </w:r>
      <w:r w:rsidR="00851752">
        <w:rPr>
          <w:lang w:val="en-US"/>
        </w:rPr>
        <w:t xml:space="preserve">traditionally </w:t>
      </w:r>
      <w:r w:rsidR="00440D5A">
        <w:rPr>
          <w:lang w:val="en-US"/>
        </w:rPr>
        <w:t xml:space="preserve">utilized in </w:t>
      </w:r>
      <w:r w:rsidRPr="00BC7233">
        <w:rPr>
          <w:lang w:val="en-US"/>
        </w:rPr>
        <w:t xml:space="preserve">remote sensing object detection. SAM 2 </w:t>
      </w:r>
      <w:hyperlink r:id="rId17" w:history="1">
        <w:r w:rsidRPr="00BC7233">
          <w:rPr>
            <w:rStyle w:val="Hyperlink"/>
            <w:lang w:val="en-US"/>
          </w:rPr>
          <w:t>(Ravi et al., 2024)</w:t>
        </w:r>
      </w:hyperlink>
      <w:r w:rsidRPr="00BC7233">
        <w:rPr>
          <w:lang w:val="en-US"/>
        </w:rPr>
        <w:t xml:space="preserve"> extended these capabilities to video segmentation</w:t>
      </w:r>
      <w:r w:rsidR="00440D5A">
        <w:rPr>
          <w:lang w:val="en-US"/>
        </w:rPr>
        <w:t>, as well as improving accuracy and speed</w:t>
      </w:r>
      <w:r w:rsidRPr="00BC7233">
        <w:rPr>
          <w:lang w:val="en-US"/>
        </w:rPr>
        <w:t xml:space="preserve">, and SAM 3 </w:t>
      </w:r>
      <w:hyperlink r:id="rId18" w:history="1">
        <w:r w:rsidRPr="00BC7233">
          <w:rPr>
            <w:rStyle w:val="Hyperlink"/>
            <w:lang w:val="en-US"/>
          </w:rPr>
          <w:t>(Carion et al., 2025)</w:t>
        </w:r>
      </w:hyperlink>
      <w:r w:rsidRPr="00BC7233">
        <w:rPr>
          <w:lang w:val="en-US"/>
        </w:rPr>
        <w:t xml:space="preserve"> introduced concept-level understanding, enabling richer open-vocabulary detection across complex scene types.</w:t>
      </w:r>
    </w:p>
    <w:p w14:paraId="75F47470" w14:textId="5344812D" w:rsidR="00BC7233" w:rsidRPr="008E3698" w:rsidRDefault="00BC7233" w:rsidP="00BC7233">
      <w:r w:rsidRPr="00BC7233">
        <w:rPr>
          <w:lang w:val="en-US"/>
        </w:rPr>
        <w:t xml:space="preserve">The applicability of SAM to remote sensing tasks has been rapidly established. Osco et al. (2023) provided an early comprehensive evaluation of SAM's zero-shot performance across a range of remote sensing applications, demonstrating strong generalization to aerial and satellite imagery despite the model's training on natural scene images </w:t>
      </w:r>
      <w:hyperlink r:id="rId19" w:history="1">
        <w:r w:rsidRPr="00BC7233">
          <w:rPr>
            <w:rStyle w:val="Hyperlink"/>
            <w:lang w:val="en-US"/>
          </w:rPr>
          <w:t>(Osco et al., 2023)</w:t>
        </w:r>
      </w:hyperlink>
      <w:r w:rsidRPr="00BC7233">
        <w:rPr>
          <w:lang w:val="en-US"/>
        </w:rPr>
        <w:t xml:space="preserve">. </w:t>
      </w:r>
      <w:r w:rsidR="00440D5A" w:rsidRPr="00440D5A">
        <w:t xml:space="preserve">Subsequent studies have applied SAM variants to building extraction </w:t>
      </w:r>
      <w:hyperlink r:id="rId20" w:history="1">
        <w:r w:rsidR="00440D5A" w:rsidRPr="00440D5A">
          <w:rPr>
            <w:rStyle w:val="Hyperlink"/>
          </w:rPr>
          <w:t>(Wang et al., 2024)</w:t>
        </w:r>
      </w:hyperlink>
      <w:r w:rsidR="00440D5A" w:rsidRPr="00440D5A">
        <w:t xml:space="preserve">, agricultural field delineation </w:t>
      </w:r>
      <w:hyperlink r:id="rId21" w:history="1">
        <w:r w:rsidR="00440D5A" w:rsidRPr="00440D5A">
          <w:rPr>
            <w:rStyle w:val="Hyperlink"/>
          </w:rPr>
          <w:t>(Gui et al., 2024)</w:t>
        </w:r>
      </w:hyperlink>
      <w:r w:rsidR="00440D5A" w:rsidRPr="00440D5A">
        <w:t xml:space="preserve">, and disaster assessment </w:t>
      </w:r>
      <w:hyperlink r:id="rId22" w:history="1">
        <w:r w:rsidR="00440D5A" w:rsidRPr="00440D5A">
          <w:rPr>
            <w:rStyle w:val="Hyperlink"/>
          </w:rPr>
          <w:t>(Wu et al., 2025)</w:t>
        </w:r>
      </w:hyperlink>
      <w:r w:rsidR="00440D5A" w:rsidRPr="00440D5A">
        <w:t>, demonstrating the broad applicability of prompt-based foundation models across diverse remote sensing detection tasks</w:t>
      </w:r>
      <w:r w:rsidRPr="00BC7233">
        <w:rPr>
          <w:lang w:val="en-US"/>
        </w:rPr>
        <w:t>.</w:t>
      </w:r>
      <w:r>
        <w:rPr>
          <w:lang w:val="en-US"/>
        </w:rPr>
        <w:t xml:space="preserve"> </w:t>
      </w:r>
      <w:r w:rsidRPr="00BC7233">
        <w:rPr>
          <w:lang w:val="en-US"/>
        </w:rPr>
        <w:t xml:space="preserve">Within the specific domain of PV detection, SAM-based approaches have gained traction in </w:t>
      </w:r>
      <w:r w:rsidRPr="00BC7233">
        <w:rPr>
          <w:lang w:val="en-US"/>
        </w:rPr>
        <w:lastRenderedPageBreak/>
        <w:t xml:space="preserve">recent years. </w:t>
      </w:r>
      <w:proofErr w:type="spellStart"/>
      <w:r w:rsidRPr="00BC7233">
        <w:rPr>
          <w:lang w:val="en-US"/>
        </w:rPr>
        <w:t>SolarSAM</w:t>
      </w:r>
      <w:proofErr w:type="spellEnd"/>
      <w:r w:rsidRPr="00BC7233">
        <w:rPr>
          <w:lang w:val="en-US"/>
        </w:rPr>
        <w:t xml:space="preserve"> (Li et al., 2024) demonstrated the use of text-prompted SAM for building-scale photovoltaic potential assessment in an emerging Chinese city, representing one of the first applications of foundation models to solar infrastructure mapping </w:t>
      </w:r>
      <w:hyperlink r:id="rId23" w:history="1">
        <w:r w:rsidRPr="00BC7233">
          <w:rPr>
            <w:rStyle w:val="Hyperlink"/>
            <w:lang w:val="en-US"/>
          </w:rPr>
          <w:t>(Li et al., 2024)</w:t>
        </w:r>
      </w:hyperlink>
      <w:r w:rsidRPr="00BC7233">
        <w:rPr>
          <w:lang w:val="en-US"/>
        </w:rPr>
        <w:t xml:space="preserve">. PVSAM (Yao et al., 2026) subsequently proposed a fine-tuned adaptation of SAM incorporating geometric prompts tailored to PV panel shapes, achieving strong detection performance across multiple benchmark datasets </w:t>
      </w:r>
      <w:hyperlink r:id="rId24" w:history="1">
        <w:r w:rsidRPr="00BC7233">
          <w:rPr>
            <w:rStyle w:val="Hyperlink"/>
            <w:lang w:val="en-US"/>
          </w:rPr>
          <w:t>(Yao et al., 2026)</w:t>
        </w:r>
      </w:hyperlink>
      <w:r w:rsidRPr="00BC7233">
        <w:rPr>
          <w:lang w:val="en-US"/>
        </w:rPr>
        <w:t xml:space="preserve">. </w:t>
      </w:r>
      <w:r w:rsidRPr="00BC7233">
        <w:t xml:space="preserve">While approaches such as PVSAM (Yao et al., 2026) have demonstrated the value of adapting SAM with domain-specific prompts and fine-tuning for PV detection, the present study takes a complementary approach </w:t>
      </w:r>
      <w:r w:rsidR="005D7870">
        <w:t xml:space="preserve">of </w:t>
      </w:r>
      <w:r w:rsidRPr="00BC7233">
        <w:t>applying SAM3 in its general zero-shot form to evaluate the capacity of an unmodified foundation model to support island-wide PV mapping without domain-specific adaptation</w:t>
      </w:r>
      <w:r w:rsidR="008E3698">
        <w:t>.</w:t>
      </w:r>
    </w:p>
    <w:p w14:paraId="26516B5C" w14:textId="77777777" w:rsidR="0087096C" w:rsidRDefault="0087096C" w:rsidP="0087096C">
      <w:pPr>
        <w:rPr>
          <w:b/>
          <w:bCs/>
          <w:lang w:val="en-US"/>
        </w:rPr>
      </w:pPr>
    </w:p>
    <w:p w14:paraId="702CC21C" w14:textId="00DC811A" w:rsidR="0087096C" w:rsidRPr="0087096C" w:rsidRDefault="0087096C" w:rsidP="0087096C">
      <w:pPr>
        <w:rPr>
          <w:lang w:val="en-US"/>
        </w:rPr>
      </w:pPr>
      <w:r w:rsidRPr="0087096C">
        <w:rPr>
          <w:b/>
          <w:bCs/>
          <w:lang w:val="en-US"/>
        </w:rPr>
        <w:t>Data and Methods</w:t>
      </w:r>
    </w:p>
    <w:p w14:paraId="329FCBE6" w14:textId="77777777" w:rsidR="0087096C" w:rsidRDefault="0087096C" w:rsidP="0087096C">
      <w:pPr>
        <w:rPr>
          <w:i/>
          <w:iCs/>
          <w:lang w:val="en-US"/>
        </w:rPr>
      </w:pPr>
      <w:r w:rsidRPr="0087096C">
        <w:rPr>
          <w:i/>
          <w:iCs/>
          <w:lang w:val="en-US"/>
        </w:rPr>
        <w:t>2.1 Study area</w:t>
      </w:r>
    </w:p>
    <w:p w14:paraId="684E431B" w14:textId="43DB8CED" w:rsidR="0087096C" w:rsidRPr="0087096C" w:rsidRDefault="0087096C" w:rsidP="0087096C">
      <w:pPr>
        <w:rPr>
          <w:i/>
          <w:iCs/>
          <w:lang w:val="en-US"/>
        </w:rPr>
      </w:pPr>
      <w:r w:rsidRPr="0087096C">
        <w:rPr>
          <w:lang w:val="en-US"/>
        </w:rPr>
        <w:t>Oahu is the third largest of the Hawaiian Islands, encompassing approximately 1,545 km² and is home to roughly one million residents</w:t>
      </w:r>
      <w:r w:rsidR="00906AC8">
        <w:rPr>
          <w:lang w:val="en-US"/>
        </w:rPr>
        <w:t xml:space="preserve">, equivalent to </w:t>
      </w:r>
      <w:r w:rsidRPr="0087096C">
        <w:rPr>
          <w:lang w:val="en-US"/>
        </w:rPr>
        <w:t xml:space="preserve">nearly 70% of the state's total population. </w:t>
      </w:r>
      <w:r w:rsidR="00450F40" w:rsidRPr="00450F40">
        <w:t xml:space="preserve">Oahu's land use is characterized by a dense urban core along the southern </w:t>
      </w:r>
      <w:r w:rsidR="00450F40">
        <w:t>shore</w:t>
      </w:r>
      <w:r w:rsidR="00450F40" w:rsidRPr="00450F40">
        <w:t xml:space="preserve">, extensive suburban residential development across the lowlands and valleys, agricultural land concentrated on the central plain, military installations distributed across the island, and utility-scale renewable energy </w:t>
      </w:r>
      <w:r w:rsidR="00F676F9">
        <w:t>infrastructure</w:t>
      </w:r>
      <w:r w:rsidR="00450F40" w:rsidRPr="00450F40">
        <w:t xml:space="preserve">. The Ko'olau and </w:t>
      </w:r>
      <w:proofErr w:type="spellStart"/>
      <w:r w:rsidR="00450F40" w:rsidRPr="00450F40">
        <w:t>Wai'anae</w:t>
      </w:r>
      <w:proofErr w:type="spellEnd"/>
      <w:r w:rsidR="00450F40" w:rsidRPr="00450F40">
        <w:t xml:space="preserve"> mountain ranges occupy much of the island's interior</w:t>
      </w:r>
      <w:r w:rsidR="00F676F9">
        <w:t>. Their</w:t>
      </w:r>
      <w:r w:rsidR="00450F40" w:rsidRPr="00450F40">
        <w:t xml:space="preserve"> steep forested ridgelines </w:t>
      </w:r>
      <w:r w:rsidR="00F676F9">
        <w:t>limit</w:t>
      </w:r>
      <w:r w:rsidR="00450F40" w:rsidRPr="00450F40">
        <w:t xml:space="preserve"> built development and </w:t>
      </w:r>
      <w:r w:rsidR="00F676F9">
        <w:t>create</w:t>
      </w:r>
      <w:r w:rsidR="00450F40" w:rsidRPr="00450F40">
        <w:t xml:space="preserve"> a pronounced ecological contrast between the wetter windward and drier leeward </w:t>
      </w:r>
      <w:r w:rsidR="00F676F9">
        <w:t>sides</w:t>
      </w:r>
      <w:r w:rsidR="00450F40" w:rsidRPr="00450F40">
        <w:t>. As a naturally bounded island geography with a single utility service territory operated by Hawaiian Electric, Oahu offers an ideal and well-defined study area for systematic, island-wide PV detection</w:t>
      </w:r>
      <w:r w:rsidR="00450F40">
        <w:t>.</w:t>
      </w:r>
    </w:p>
    <w:p w14:paraId="1D714771" w14:textId="77777777" w:rsidR="0087096C" w:rsidRPr="0087096C" w:rsidRDefault="0087096C" w:rsidP="0087096C">
      <w:pPr>
        <w:rPr>
          <w:i/>
          <w:iCs/>
          <w:lang w:val="en-US"/>
        </w:rPr>
      </w:pPr>
      <w:r w:rsidRPr="0087096C">
        <w:rPr>
          <w:i/>
          <w:iCs/>
          <w:lang w:val="en-US"/>
        </w:rPr>
        <w:lastRenderedPageBreak/>
        <w:t>2.2 Grid partitioning and imagery acquisition</w:t>
      </w:r>
    </w:p>
    <w:p w14:paraId="1DCE6B5B" w14:textId="2B867670" w:rsidR="0087096C" w:rsidRPr="0087096C" w:rsidRDefault="0087096C" w:rsidP="0087096C">
      <w:pPr>
        <w:rPr>
          <w:lang w:val="en-US"/>
        </w:rPr>
      </w:pPr>
      <w:r w:rsidRPr="0087096C">
        <w:rPr>
          <w:lang w:val="en-US"/>
        </w:rPr>
        <w:t xml:space="preserve">To enable systematic processing at scale, Oahu's land surface was partitioned into 1,776 uniform 1 km² grid cells using the sf and </w:t>
      </w:r>
      <w:proofErr w:type="spellStart"/>
      <w:r w:rsidRPr="0087096C">
        <w:rPr>
          <w:lang w:val="en-US"/>
        </w:rPr>
        <w:t>tigris</w:t>
      </w:r>
      <w:proofErr w:type="spellEnd"/>
      <w:r w:rsidRPr="0087096C">
        <w:rPr>
          <w:lang w:val="en-US"/>
        </w:rPr>
        <w:t xml:space="preserve"> packages in R </w:t>
      </w:r>
      <w:hyperlink r:id="rId25" w:history="1">
        <w:r w:rsidRPr="0087096C">
          <w:rPr>
            <w:rStyle w:val="Hyperlink"/>
            <w:lang w:val="en-US"/>
          </w:rPr>
          <w:t>(</w:t>
        </w:r>
        <w:proofErr w:type="spellStart"/>
        <w:r w:rsidRPr="0087096C">
          <w:rPr>
            <w:rStyle w:val="Hyperlink"/>
            <w:lang w:val="en-US"/>
          </w:rPr>
          <w:t>Pebesma</w:t>
        </w:r>
        <w:proofErr w:type="spellEnd"/>
        <w:r w:rsidRPr="0087096C">
          <w:rPr>
            <w:rStyle w:val="Hyperlink"/>
            <w:lang w:val="en-US"/>
          </w:rPr>
          <w:t>, 2018)</w:t>
        </w:r>
      </w:hyperlink>
      <w:r w:rsidRPr="0087096C">
        <w:rPr>
          <w:lang w:val="en-US"/>
        </w:rPr>
        <w:t xml:space="preserve">; </w:t>
      </w:r>
      <w:hyperlink r:id="rId26" w:history="1">
        <w:r w:rsidRPr="0087096C">
          <w:rPr>
            <w:rStyle w:val="Hyperlink"/>
            <w:lang w:val="en-US"/>
          </w:rPr>
          <w:t>(Walker, 2023)</w:t>
        </w:r>
      </w:hyperlink>
      <w:r w:rsidRPr="0087096C">
        <w:rPr>
          <w:lang w:val="en-US"/>
        </w:rPr>
        <w:t xml:space="preserve">. Grid cells were generated in UTM Zone 4N (EPSG:32604) to ensure meter-based uniformity across the </w:t>
      </w:r>
      <w:r w:rsidR="00906AC8" w:rsidRPr="0087096C">
        <w:rPr>
          <w:lang w:val="en-US"/>
        </w:rPr>
        <w:t>island and</w:t>
      </w:r>
      <w:r w:rsidRPr="0087096C">
        <w:rPr>
          <w:lang w:val="en-US"/>
        </w:rPr>
        <w:t xml:space="preserve"> clipped to the main Oahu land polygon to exclude offshore islands within Honolulu County administrative boundaries.</w:t>
      </w:r>
    </w:p>
    <w:p w14:paraId="0084380B" w14:textId="0B962C94" w:rsidR="0087096C" w:rsidRPr="0087096C" w:rsidRDefault="0087096C" w:rsidP="0087096C">
      <w:pPr>
        <w:rPr>
          <w:lang w:val="en-US"/>
        </w:rPr>
      </w:pPr>
      <w:r w:rsidRPr="0087096C">
        <w:rPr>
          <w:lang w:val="en-US"/>
        </w:rPr>
        <w:t xml:space="preserve">High-resolution satellite imagery was acquired for each grid cell via the </w:t>
      </w:r>
      <w:proofErr w:type="spellStart"/>
      <w:r w:rsidRPr="0087096C">
        <w:rPr>
          <w:lang w:val="en-US"/>
        </w:rPr>
        <w:t>Mapbox</w:t>
      </w:r>
      <w:proofErr w:type="spellEnd"/>
      <w:r w:rsidRPr="0087096C">
        <w:rPr>
          <w:lang w:val="en-US"/>
        </w:rPr>
        <w:t xml:space="preserve"> Static Tiles API using the </w:t>
      </w:r>
      <w:proofErr w:type="spellStart"/>
      <w:proofErr w:type="gramStart"/>
      <w:r w:rsidRPr="0087096C">
        <w:rPr>
          <w:lang w:val="en-US"/>
        </w:rPr>
        <w:t>mapbox.satellite</w:t>
      </w:r>
      <w:proofErr w:type="spellEnd"/>
      <w:proofErr w:type="gramEnd"/>
      <w:r w:rsidRPr="0087096C">
        <w:rPr>
          <w:lang w:val="en-US"/>
        </w:rPr>
        <w:t xml:space="preserve"> </w:t>
      </w:r>
      <w:proofErr w:type="spellStart"/>
      <w:r w:rsidRPr="0087096C">
        <w:rPr>
          <w:lang w:val="en-US"/>
        </w:rPr>
        <w:t>tileset</w:t>
      </w:r>
      <w:proofErr w:type="spellEnd"/>
      <w:r w:rsidRPr="0087096C">
        <w:rPr>
          <w:lang w:val="en-US"/>
        </w:rPr>
        <w:t xml:space="preserve">. At zoom level 19, </w:t>
      </w:r>
      <w:proofErr w:type="spellStart"/>
      <w:r w:rsidRPr="0087096C">
        <w:rPr>
          <w:lang w:val="en-US"/>
        </w:rPr>
        <w:t>Mapbox</w:t>
      </w:r>
      <w:proofErr w:type="spellEnd"/>
      <w:r w:rsidRPr="0087096C">
        <w:rPr>
          <w:lang w:val="en-US"/>
        </w:rPr>
        <w:t xml:space="preserve"> serves </w:t>
      </w:r>
      <w:proofErr w:type="spellStart"/>
      <w:r w:rsidRPr="0087096C">
        <w:rPr>
          <w:lang w:val="en-US"/>
        </w:rPr>
        <w:t>Vexcel</w:t>
      </w:r>
      <w:proofErr w:type="spellEnd"/>
      <w:r w:rsidRPr="0087096C">
        <w:rPr>
          <w:lang w:val="en-US"/>
        </w:rPr>
        <w:t xml:space="preserve"> aerial imagery over Hawai'i at a native resolution of 7.5 cm </w:t>
      </w:r>
      <w:hyperlink r:id="rId27" w:history="1">
        <w:r w:rsidRPr="0087096C">
          <w:rPr>
            <w:rStyle w:val="Hyperlink"/>
            <w:lang w:val="en-US"/>
          </w:rPr>
          <w:t>(</w:t>
        </w:r>
        <w:proofErr w:type="spellStart"/>
        <w:r w:rsidRPr="0087096C">
          <w:rPr>
            <w:rStyle w:val="Hyperlink"/>
            <w:lang w:val="en-US"/>
          </w:rPr>
          <w:t>Mapbox</w:t>
        </w:r>
        <w:proofErr w:type="spellEnd"/>
        <w:r w:rsidRPr="0087096C">
          <w:rPr>
            <w:rStyle w:val="Hyperlink"/>
            <w:lang w:val="en-US"/>
          </w:rPr>
          <w:t>, 2025)</w:t>
        </w:r>
      </w:hyperlink>
      <w:r w:rsidRPr="0087096C">
        <w:rPr>
          <w:lang w:val="en-US"/>
        </w:rPr>
        <w:t xml:space="preserve">; </w:t>
      </w:r>
      <w:hyperlink r:id="rId28" w:history="1">
        <w:r w:rsidRPr="0087096C">
          <w:rPr>
            <w:rStyle w:val="Hyperlink"/>
            <w:lang w:val="en-US"/>
          </w:rPr>
          <w:t>(Vexcel, 2025)</w:t>
        </w:r>
      </w:hyperlink>
      <w:r w:rsidRPr="0087096C">
        <w:rPr>
          <w:lang w:val="en-US"/>
        </w:rPr>
        <w:t>. Imagery was delivered as 256×</w:t>
      </w:r>
      <w:proofErr w:type="gramStart"/>
      <w:r w:rsidRPr="0087096C">
        <w:rPr>
          <w:lang w:val="en-US"/>
        </w:rPr>
        <w:t>256 pixel</w:t>
      </w:r>
      <w:proofErr w:type="gramEnd"/>
      <w:r w:rsidRPr="0087096C">
        <w:rPr>
          <w:lang w:val="en-US"/>
        </w:rPr>
        <w:t xml:space="preserve"> RGB tiles in Web Mercator projection (EPSG:3857) and composited into a single </w:t>
      </w:r>
      <w:proofErr w:type="spellStart"/>
      <w:r w:rsidRPr="0087096C">
        <w:rPr>
          <w:lang w:val="en-US"/>
        </w:rPr>
        <w:t>GeoTIFF</w:t>
      </w:r>
      <w:proofErr w:type="spellEnd"/>
      <w:r w:rsidRPr="0087096C">
        <w:rPr>
          <w:lang w:val="en-US"/>
        </w:rPr>
        <w:t xml:space="preserve"> for each grid cell, yielding a 7,680×</w:t>
      </w:r>
      <w:proofErr w:type="gramStart"/>
      <w:r w:rsidRPr="0087096C">
        <w:rPr>
          <w:lang w:val="en-US"/>
        </w:rPr>
        <w:t>7,680 pixel</w:t>
      </w:r>
      <w:proofErr w:type="gramEnd"/>
      <w:r w:rsidRPr="0087096C">
        <w:rPr>
          <w:lang w:val="en-US"/>
        </w:rPr>
        <w:t xml:space="preserve"> image at an effective ground sample distance (GSD) of 0.278 m/pixel at 21.4°N latitude. Each </w:t>
      </w:r>
      <w:proofErr w:type="spellStart"/>
      <w:r w:rsidRPr="0087096C">
        <w:rPr>
          <w:lang w:val="en-US"/>
        </w:rPr>
        <w:t>GeoTIFF</w:t>
      </w:r>
      <w:proofErr w:type="spellEnd"/>
      <w:r w:rsidRPr="0087096C">
        <w:rPr>
          <w:lang w:val="en-US"/>
        </w:rPr>
        <w:t xml:space="preserve"> averaged 164.6 MB</w:t>
      </w:r>
      <w:r w:rsidR="001F16B8">
        <w:rPr>
          <w:lang w:val="en-US"/>
        </w:rPr>
        <w:t xml:space="preserve"> in size. </w:t>
      </w:r>
      <w:r w:rsidRPr="0087096C">
        <w:rPr>
          <w:lang w:val="en-US"/>
        </w:rPr>
        <w:t xml:space="preserve">Imagery acquisition and </w:t>
      </w:r>
      <w:proofErr w:type="spellStart"/>
      <w:r w:rsidRPr="0087096C">
        <w:rPr>
          <w:lang w:val="en-US"/>
        </w:rPr>
        <w:t>GeoTIFF</w:t>
      </w:r>
      <w:proofErr w:type="spellEnd"/>
      <w:r w:rsidRPr="0087096C">
        <w:rPr>
          <w:lang w:val="en-US"/>
        </w:rPr>
        <w:t xml:space="preserve"> assembly was performed using the </w:t>
      </w:r>
      <w:proofErr w:type="spellStart"/>
      <w:r w:rsidRPr="0087096C">
        <w:rPr>
          <w:lang w:val="en-US"/>
        </w:rPr>
        <w:t>geosam</w:t>
      </w:r>
      <w:proofErr w:type="spellEnd"/>
      <w:r w:rsidRPr="0087096C">
        <w:rPr>
          <w:lang w:val="en-US"/>
        </w:rPr>
        <w:t xml:space="preserve"> R package </w:t>
      </w:r>
      <w:hyperlink r:id="rId29" w:history="1">
        <w:r w:rsidRPr="0087096C">
          <w:rPr>
            <w:rStyle w:val="Hyperlink"/>
            <w:lang w:val="en-US"/>
          </w:rPr>
          <w:t>(Walker, 2025)</w:t>
        </w:r>
      </w:hyperlink>
      <w:r w:rsidRPr="0087096C">
        <w:rPr>
          <w:lang w:val="en-US"/>
        </w:rPr>
        <w:t>.</w:t>
      </w:r>
    </w:p>
    <w:p w14:paraId="6B66C15B" w14:textId="77777777" w:rsidR="0087096C" w:rsidRPr="0087096C" w:rsidRDefault="0087096C" w:rsidP="0087096C">
      <w:pPr>
        <w:rPr>
          <w:i/>
          <w:iCs/>
          <w:lang w:val="en-US"/>
        </w:rPr>
      </w:pPr>
      <w:r w:rsidRPr="0087096C">
        <w:rPr>
          <w:i/>
          <w:iCs/>
          <w:lang w:val="en-US"/>
        </w:rPr>
        <w:t>2.3 SAM3-based PV detection</w:t>
      </w:r>
    </w:p>
    <w:p w14:paraId="5663B56D" w14:textId="77777777" w:rsidR="00906AC8" w:rsidRDefault="00906AC8" w:rsidP="0087096C">
      <w:r w:rsidRPr="00906AC8">
        <w:t xml:space="preserve">Solar panel detection was performed using Meta's Segment Anything Model 3 (SAM3) </w:t>
      </w:r>
      <w:hyperlink r:id="rId30" w:history="1">
        <w:r w:rsidRPr="00906AC8">
          <w:rPr>
            <w:rStyle w:val="Hyperlink"/>
          </w:rPr>
          <w:t>(Carion et al., 2025)</w:t>
        </w:r>
      </w:hyperlink>
      <w:r w:rsidRPr="00906AC8">
        <w:t xml:space="preserve">, accessed via the </w:t>
      </w:r>
      <w:proofErr w:type="spellStart"/>
      <w:r w:rsidRPr="00906AC8">
        <w:t>geosam</w:t>
      </w:r>
      <w:proofErr w:type="spellEnd"/>
      <w:r w:rsidRPr="00906AC8">
        <w:t xml:space="preserve"> R package </w:t>
      </w:r>
      <w:hyperlink r:id="rId31" w:history="1">
        <w:r w:rsidRPr="00906AC8">
          <w:rPr>
            <w:rStyle w:val="Hyperlink"/>
          </w:rPr>
          <w:t>(Walker, 2025)</w:t>
        </w:r>
      </w:hyperlink>
      <w:r w:rsidRPr="00906AC8">
        <w:t xml:space="preserve">, which provides an R interface to SAM3 through the reticulate package and </w:t>
      </w:r>
      <w:proofErr w:type="spellStart"/>
      <w:r w:rsidRPr="00906AC8">
        <w:t>HuggingFace</w:t>
      </w:r>
      <w:proofErr w:type="spellEnd"/>
      <w:r w:rsidRPr="00906AC8">
        <w:t xml:space="preserve"> transformers library. SAM3 builds on the Vision Transformer (</w:t>
      </w:r>
      <w:proofErr w:type="spellStart"/>
      <w:r w:rsidRPr="00906AC8">
        <w:t>ViT</w:t>
      </w:r>
      <w:proofErr w:type="spellEnd"/>
      <w:r w:rsidRPr="00906AC8">
        <w:t xml:space="preserve">) backbone introduced by Kirillov et al. (2023), encoding both imagery and text inputs into a shared embedding space to enable open-vocabulary, zero-shot instance segmentation without labeled training data or domain-specific fine-tuning </w:t>
      </w:r>
      <w:hyperlink r:id="rId32" w:history="1">
        <w:r w:rsidRPr="00906AC8">
          <w:rPr>
            <w:rStyle w:val="Hyperlink"/>
          </w:rPr>
          <w:t>(Carion et al., 2025)</w:t>
        </w:r>
      </w:hyperlink>
      <w:r w:rsidRPr="00906AC8">
        <w:t>. Detection was prompted using the text string "solar panel", leveraging SAM3's open-vocabulary capability to identify PV infrastructure without labeled training examples.</w:t>
      </w:r>
    </w:p>
    <w:p w14:paraId="1312F63E" w14:textId="761F2CD4" w:rsidR="0087096C" w:rsidRPr="0087096C" w:rsidRDefault="0087096C" w:rsidP="0087096C">
      <w:pPr>
        <w:rPr>
          <w:lang w:val="en-US"/>
        </w:rPr>
      </w:pPr>
      <w:r w:rsidRPr="0087096C">
        <w:rPr>
          <w:lang w:val="en-US"/>
        </w:rPr>
        <w:lastRenderedPageBreak/>
        <w:t xml:space="preserve">Given the large spatial extent of each </w:t>
      </w:r>
      <w:proofErr w:type="spellStart"/>
      <w:r w:rsidRPr="0087096C">
        <w:rPr>
          <w:lang w:val="en-US"/>
        </w:rPr>
        <w:t>GeoTIFF</w:t>
      </w:r>
      <w:proofErr w:type="spellEnd"/>
      <w:r w:rsidRPr="0087096C">
        <w:rPr>
          <w:lang w:val="en-US"/>
        </w:rPr>
        <w:t xml:space="preserve"> (7,680×7,680 pixels), imagery was automatically partitioned into 64 overlapping chunks prior to inference, with detection masks subsequently merged across chunk boundaries to produce polygon outputs. Detection masks with confidence scores below 0.5 and polygon areas below 5 m² were discarded to reduce noise. The resulting detection polygons were converted to georeferenced sf objects in WGS84 (EPSG:4326) for spatial analysis. </w:t>
      </w:r>
    </w:p>
    <w:p w14:paraId="597D5208" w14:textId="5002495C" w:rsidR="0087096C" w:rsidRPr="0087096C" w:rsidRDefault="0087096C" w:rsidP="0087096C">
      <w:pPr>
        <w:rPr>
          <w:lang w:val="en-US"/>
        </w:rPr>
      </w:pPr>
    </w:p>
    <w:p w14:paraId="37C0EEDF" w14:textId="77777777" w:rsidR="0087096C" w:rsidRPr="0087096C" w:rsidRDefault="0087096C" w:rsidP="0087096C">
      <w:pPr>
        <w:rPr>
          <w:i/>
          <w:iCs/>
          <w:lang w:val="en-US"/>
        </w:rPr>
      </w:pPr>
      <w:r w:rsidRPr="0087096C">
        <w:rPr>
          <w:i/>
          <w:iCs/>
          <w:lang w:val="en-US"/>
        </w:rPr>
        <w:t>2.4 High-performance computing infrastructure</w:t>
      </w:r>
    </w:p>
    <w:p w14:paraId="7F98C569" w14:textId="0036B5A0" w:rsidR="0087096C" w:rsidRPr="0087096C" w:rsidRDefault="0087096C" w:rsidP="0087096C">
      <w:pPr>
        <w:rPr>
          <w:lang w:val="en-US"/>
        </w:rPr>
      </w:pPr>
      <w:r w:rsidRPr="0087096C">
        <w:rPr>
          <w:lang w:val="en-US"/>
        </w:rPr>
        <w:t xml:space="preserve">Processing was performed on the Texas Advanced Computing Center's Vista supercomputer, utilizing NVIDIA GH200 120GB GPU nodes. The GH200's unified memory architecture, providing 97 GB of GPU memory, </w:t>
      </w:r>
      <w:r>
        <w:rPr>
          <w:lang w:val="en-US"/>
        </w:rPr>
        <w:t>supported</w:t>
      </w:r>
      <w:r w:rsidRPr="0087096C">
        <w:rPr>
          <w:lang w:val="en-US"/>
        </w:rPr>
        <w:t xml:space="preserve"> SAM3 inference on large </w:t>
      </w:r>
      <w:proofErr w:type="spellStart"/>
      <w:r w:rsidRPr="0087096C">
        <w:rPr>
          <w:lang w:val="en-US"/>
        </w:rPr>
        <w:t>GeoTIFF</w:t>
      </w:r>
      <w:proofErr w:type="spellEnd"/>
      <w:r w:rsidRPr="0087096C">
        <w:rPr>
          <w:lang w:val="en-US"/>
        </w:rPr>
        <w:t xml:space="preserve"> inputs. A </w:t>
      </w:r>
      <w:proofErr w:type="spellStart"/>
      <w:r w:rsidRPr="0087096C">
        <w:rPr>
          <w:lang w:val="en-US"/>
        </w:rPr>
        <w:t>conda</w:t>
      </w:r>
      <w:proofErr w:type="spellEnd"/>
      <w:r w:rsidRPr="0087096C">
        <w:rPr>
          <w:lang w:val="en-US"/>
        </w:rPr>
        <w:t xml:space="preserve"> environment was configured with Python 3.12, </w:t>
      </w:r>
      <w:proofErr w:type="spellStart"/>
      <w:r w:rsidRPr="0087096C">
        <w:rPr>
          <w:lang w:val="en-US"/>
        </w:rPr>
        <w:t>PyTorch</w:t>
      </w:r>
      <w:proofErr w:type="spellEnd"/>
      <w:r w:rsidRPr="0087096C">
        <w:rPr>
          <w:lang w:val="en-US"/>
        </w:rPr>
        <w:t xml:space="preserve"> 2.5.1 with CUDA 12.4 support, and the </w:t>
      </w:r>
      <w:proofErr w:type="spellStart"/>
      <w:r w:rsidRPr="0087096C">
        <w:rPr>
          <w:lang w:val="en-US"/>
        </w:rPr>
        <w:t>HuggingFace</w:t>
      </w:r>
      <w:proofErr w:type="spellEnd"/>
      <w:r w:rsidRPr="0087096C">
        <w:rPr>
          <w:lang w:val="en-US"/>
        </w:rPr>
        <w:t xml:space="preserve"> transformers library. SAM3 model weights (3.44 GB) were cached on the shared filesystem and loaded once per job, remaining in GPU memory across all cells processed within that job.</w:t>
      </w:r>
    </w:p>
    <w:p w14:paraId="2E2086B3" w14:textId="57AF49E0" w:rsidR="0087096C" w:rsidRPr="0087096C" w:rsidRDefault="0087096C" w:rsidP="0087096C">
      <w:pPr>
        <w:rPr>
          <w:lang w:val="en-US"/>
        </w:rPr>
      </w:pPr>
      <w:r w:rsidRPr="0087096C">
        <w:rPr>
          <w:lang w:val="en-US"/>
        </w:rPr>
        <w:t xml:space="preserve">Jobs were submitted as SLURM array tasks, with each job processing five grid cells sequentially to amortize the model loading overhead across multiple cells. </w:t>
      </w:r>
      <w:r>
        <w:rPr>
          <w:lang w:val="en-US"/>
        </w:rPr>
        <w:t xml:space="preserve">Processing </w:t>
      </w:r>
      <w:r w:rsidRPr="0087096C">
        <w:rPr>
          <w:lang w:val="en-US"/>
        </w:rPr>
        <w:t>was organized into nine sequential batches totaling 356 array jobs. The complete island-wide analysis consumed approximately 62 GPU node-hours</w:t>
      </w:r>
      <w:r>
        <w:rPr>
          <w:lang w:val="en-US"/>
        </w:rPr>
        <w:t>.</w:t>
      </w:r>
    </w:p>
    <w:p w14:paraId="30DC3E52" w14:textId="77777777" w:rsidR="0087096C" w:rsidRPr="0087096C" w:rsidRDefault="0087096C" w:rsidP="0087096C">
      <w:pPr>
        <w:rPr>
          <w:i/>
          <w:iCs/>
          <w:lang w:val="en-US"/>
        </w:rPr>
      </w:pPr>
      <w:r w:rsidRPr="0087096C">
        <w:rPr>
          <w:i/>
          <w:iCs/>
          <w:lang w:val="en-US"/>
        </w:rPr>
        <w:t xml:space="preserve">2.5 </w:t>
      </w:r>
      <w:proofErr w:type="gramStart"/>
      <w:r w:rsidRPr="0087096C">
        <w:rPr>
          <w:i/>
          <w:iCs/>
          <w:lang w:val="en-US"/>
        </w:rPr>
        <w:t>Post-processing</w:t>
      </w:r>
      <w:proofErr w:type="gramEnd"/>
      <w:r w:rsidRPr="0087096C">
        <w:rPr>
          <w:i/>
          <w:iCs/>
          <w:lang w:val="en-US"/>
        </w:rPr>
        <w:t xml:space="preserve"> and classification</w:t>
      </w:r>
    </w:p>
    <w:p w14:paraId="0C4F9999" w14:textId="4DD22847" w:rsidR="0087096C" w:rsidRPr="0087096C" w:rsidRDefault="0087096C" w:rsidP="0087096C">
      <w:pPr>
        <w:rPr>
          <w:lang w:val="en-US"/>
        </w:rPr>
      </w:pPr>
      <w:r w:rsidRPr="0087096C">
        <w:rPr>
          <w:lang w:val="en-US"/>
        </w:rPr>
        <w:t xml:space="preserve">Following detection, raw polygon outputs from all 1,776 grid cells were merged into a single island-wide dataset. Because adjacent grid cells share boundaries, solar installations straddling cell edges were detected independently by both neighboring cells, producing duplicate polygons. </w:t>
      </w:r>
      <w:r w:rsidRPr="0087096C">
        <w:rPr>
          <w:lang w:val="en-US"/>
        </w:rPr>
        <w:lastRenderedPageBreak/>
        <w:t>Cross-cell overlaps were identified using spatial intersection analysis, and duplicate detections were resolved by retaining the polygon from the lower-indexed cell in each overlapping pair. This procedure removed 14,033 duplicate detections (13.7% of the raw output of 102,696 polygons), yielding a deduplicated dataset of 88,663 PV detection polygons covering 6.44 km² of solar infrastructure.</w:t>
      </w:r>
    </w:p>
    <w:p w14:paraId="64C432D5" w14:textId="77777777" w:rsidR="0087096C" w:rsidRPr="0087096C" w:rsidRDefault="0087096C" w:rsidP="0087096C">
      <w:pPr>
        <w:rPr>
          <w:lang w:val="en-US"/>
        </w:rPr>
      </w:pPr>
      <w:r w:rsidRPr="0087096C">
        <w:rPr>
          <w:lang w:val="en-US"/>
        </w:rPr>
        <w:t xml:space="preserve">Detection polygons were subsequently classified into three size categories as indicative of installation scale: small-scale (≤500 m²), broadly consistent with individual rooftop array sections; medium-scale (500–5,000 m²), broadly consistent with commercial rooftop installations; and large-scale (&gt;5,000 m²), broadly consistent with utility-scale or ground-mounted arrays. These thresholds are heuristic and reflect the polygon-level nature of SAM3 segmentation outputs rather than discrete installation boundaries. For spatial visualization and analysis, detection polygons were aggregated by total area to an H3 hexagonal grid </w:t>
      </w:r>
      <w:hyperlink r:id="rId33" w:history="1">
        <w:r w:rsidRPr="0087096C">
          <w:rPr>
            <w:rStyle w:val="Hyperlink"/>
            <w:lang w:val="en-US"/>
          </w:rPr>
          <w:t>(Uber, 2018)</w:t>
        </w:r>
      </w:hyperlink>
      <w:r w:rsidRPr="0087096C">
        <w:rPr>
          <w:lang w:val="en-US"/>
        </w:rPr>
        <w:t xml:space="preserve"> at resolution 7 (approximately 5.2 km² per cell), producing 270 hexagonal cells across the island of which 181 contained at least one detection.</w:t>
      </w:r>
    </w:p>
    <w:p w14:paraId="69C5893E" w14:textId="77777777" w:rsidR="00BC7233" w:rsidRPr="00BC7233" w:rsidRDefault="00BC7233" w:rsidP="00BC7233">
      <w:pPr>
        <w:rPr>
          <w:lang w:val="en-US"/>
        </w:rPr>
      </w:pPr>
    </w:p>
    <w:p w14:paraId="3D0BC946" w14:textId="77777777" w:rsidR="00F96A64" w:rsidRPr="00F96A64" w:rsidRDefault="00F96A64" w:rsidP="00F96A64">
      <w:pPr>
        <w:rPr>
          <w:lang w:val="en-US"/>
        </w:rPr>
      </w:pPr>
      <w:r w:rsidRPr="00F96A64">
        <w:rPr>
          <w:b/>
          <w:bCs/>
          <w:lang w:val="en-US"/>
        </w:rPr>
        <w:t>3. Results</w:t>
      </w:r>
    </w:p>
    <w:p w14:paraId="083582CC" w14:textId="5AAF4400" w:rsidR="00F96A64" w:rsidRPr="00F96A64" w:rsidRDefault="005B3ACA" w:rsidP="00F96A64">
      <w:pPr>
        <w:rPr>
          <w:i/>
          <w:iCs/>
          <w:lang w:val="en-US"/>
        </w:rPr>
      </w:pPr>
      <w:r>
        <w:rPr>
          <w:i/>
          <w:iCs/>
          <w:lang w:val="en-US"/>
        </w:rPr>
        <w:t>3.1</w:t>
      </w:r>
      <w:r w:rsidR="00F96A64" w:rsidRPr="00F96A64">
        <w:rPr>
          <w:i/>
          <w:iCs/>
          <w:lang w:val="en-US"/>
        </w:rPr>
        <w:t xml:space="preserve"> Detection results</w:t>
      </w:r>
    </w:p>
    <w:p w14:paraId="07E775C6" w14:textId="77777777" w:rsidR="00F96A64" w:rsidRPr="00F96A64" w:rsidRDefault="00F96A64" w:rsidP="00F96A64">
      <w:pPr>
        <w:rPr>
          <w:lang w:val="en-US"/>
        </w:rPr>
      </w:pPr>
      <w:r w:rsidRPr="00F96A64">
        <w:rPr>
          <w:lang w:val="en-US"/>
        </w:rPr>
        <w:t>Following cross-cell deduplication, SAM3 identified 88,663 PV detection polygons covering a total of 6.44 km² of photovoltaic infrastructure across Oahu. Detections were present in 823 of the 1,776 processed grid cells (46.3%), with the remaining cells corresponding predominantly to mountainous interior terrain, agricultural land, and ocean-adjacent areas with limited built infrastructure.</w:t>
      </w:r>
    </w:p>
    <w:p w14:paraId="559DE01B" w14:textId="7585DC06" w:rsidR="00F96A64" w:rsidRPr="00F96A64" w:rsidRDefault="00F96A64" w:rsidP="00F96A64">
      <w:pPr>
        <w:rPr>
          <w:lang w:val="en-US"/>
        </w:rPr>
      </w:pPr>
      <w:r w:rsidRPr="00F96A64">
        <w:rPr>
          <w:lang w:val="en-US"/>
        </w:rPr>
        <w:lastRenderedPageBreak/>
        <w:t xml:space="preserve">Detection polygons spanned a broad range of sizes, from the minimum threshold of 5 m² to a maximum of approximately 123,800 m², reflecting SAM3's capacity to detect PV infrastructure across a wide range of installation contexts. The size distribution was strongly </w:t>
      </w:r>
      <w:proofErr w:type="gramStart"/>
      <w:r w:rsidRPr="00F96A64">
        <w:rPr>
          <w:lang w:val="en-US"/>
        </w:rPr>
        <w:t>right-skewed</w:t>
      </w:r>
      <w:proofErr w:type="gramEnd"/>
      <w:r w:rsidRPr="00F96A64">
        <w:rPr>
          <w:lang w:val="en-US"/>
        </w:rPr>
        <w:t xml:space="preserve">, with a median detection area of approximately 35 m² consistent with individual rooftop array sections on residential dwellings (Figure </w:t>
      </w:r>
      <w:r w:rsidR="009930AE">
        <w:rPr>
          <w:lang w:val="en-US"/>
        </w:rPr>
        <w:t>1</w:t>
      </w:r>
      <w:r w:rsidRPr="00F96A64">
        <w:rPr>
          <w:lang w:val="en-US"/>
        </w:rPr>
        <w:t>).</w:t>
      </w:r>
    </w:p>
    <w:p w14:paraId="24AB47F9" w14:textId="38B5BAAF" w:rsidR="00F96A64" w:rsidRPr="00F96A64" w:rsidRDefault="00F96A64" w:rsidP="00F96A64">
      <w:pPr>
        <w:rPr>
          <w:lang w:val="en-US"/>
        </w:rPr>
      </w:pPr>
      <w:r w:rsidRPr="00F96A64">
        <w:rPr>
          <w:lang w:val="en-US"/>
        </w:rPr>
        <w:t xml:space="preserve">When classified by indicative installation scale, small-scale detections (≤500 m²) comprised </w:t>
      </w:r>
      <w:proofErr w:type="gramStart"/>
      <w:r w:rsidRPr="00F96A64">
        <w:rPr>
          <w:lang w:val="en-US"/>
        </w:rPr>
        <w:t>the large majority of</w:t>
      </w:r>
      <w:proofErr w:type="gramEnd"/>
      <w:r w:rsidRPr="00F96A64">
        <w:rPr>
          <w:lang w:val="en-US"/>
        </w:rPr>
        <w:t xml:space="preserve"> the dataset, accounting for 86,956 polygons and 4.13 km² of detected area. Medium-scale detections (500–5,000 m²) totaled 1,663 polygons covering 1.72 km², while 44 large-scale detections (&gt;5,000 m²) accounted for 0.58 km² of detected area (Figure </w:t>
      </w:r>
      <w:r w:rsidR="009930AE">
        <w:rPr>
          <w:lang w:val="en-US"/>
        </w:rPr>
        <w:t>1</w:t>
      </w:r>
      <w:r w:rsidRPr="00F96A64">
        <w:rPr>
          <w:lang w:val="en-US"/>
        </w:rPr>
        <w:t>). Despite representing less than 2% of total detection polygons, medium- and large-scale installations collectively accounted for approximately 36% of total detected PV area, reflecting the disproportionate spatial footprint of commercial and utility-scale solar infrastructure.</w:t>
      </w:r>
    </w:p>
    <w:p w14:paraId="59F4DEF7" w14:textId="4D92BD6D" w:rsidR="00F96A64" w:rsidRPr="00F96A64" w:rsidRDefault="00F96A64" w:rsidP="00F96A64">
      <w:pPr>
        <w:rPr>
          <w:lang w:val="en-US"/>
        </w:rPr>
      </w:pPr>
    </w:p>
    <w:p w14:paraId="221A9CD3" w14:textId="2FDD94BD" w:rsidR="00F96A64" w:rsidRPr="00F96A64" w:rsidRDefault="00F96A64" w:rsidP="00F96A64">
      <w:pPr>
        <w:rPr>
          <w:i/>
          <w:iCs/>
          <w:lang w:val="en-US"/>
        </w:rPr>
      </w:pPr>
      <w:r w:rsidRPr="00F96A64">
        <w:rPr>
          <w:i/>
          <w:iCs/>
          <w:lang w:val="en-US"/>
        </w:rPr>
        <w:t>3.</w:t>
      </w:r>
      <w:r w:rsidR="005B3ACA">
        <w:rPr>
          <w:i/>
          <w:iCs/>
          <w:lang w:val="en-US"/>
        </w:rPr>
        <w:t>2</w:t>
      </w:r>
      <w:r w:rsidRPr="00F96A64">
        <w:rPr>
          <w:i/>
          <w:iCs/>
          <w:lang w:val="en-US"/>
        </w:rPr>
        <w:t xml:space="preserve"> Spatial distribution and detection quality</w:t>
      </w:r>
    </w:p>
    <w:p w14:paraId="3A297388" w14:textId="68720BBE" w:rsidR="002C116E" w:rsidRDefault="005B3ACA" w:rsidP="00F96A64">
      <w:r w:rsidRPr="005B3ACA">
        <w:t xml:space="preserve">The spatial distribution of detected PV infrastructure across Oahu revealed pronounced geographic clustering consistent with the island's urban and suburban development patterns (Figure 1). The highest concentrations of detected PV area were observed in the central communities of Pearl City, Aiea, and Mililani, reflecting a combination of dense residential solar adoption and the presence of utility-scale solar facilities in this area. Moderate to high detection densities extended along the Leeward side toward Ewa Beach and Kapolei, and across the Windward side communities of Kailua and Kaneohe. A distinct cluster of high-density detections on the North Shore corresponds to the </w:t>
      </w:r>
      <w:proofErr w:type="spellStart"/>
      <w:r w:rsidRPr="005B3ACA">
        <w:t>Kawailoa</w:t>
      </w:r>
      <w:proofErr w:type="spellEnd"/>
      <w:r w:rsidRPr="005B3ACA">
        <w:t xml:space="preserve"> Solar Farm, a 49 MW utility-scale installation comprising approximately 500,000 panels and representing the largest solar project in the state </w:t>
      </w:r>
      <w:r w:rsidRPr="005B3ACA">
        <w:lastRenderedPageBreak/>
        <w:t>(</w:t>
      </w:r>
      <w:hyperlink r:id="rId34" w:history="1">
        <w:r w:rsidRPr="005B3ACA">
          <w:rPr>
            <w:rStyle w:val="Hyperlink"/>
          </w:rPr>
          <w:t>Clearway Energy Group, 2019</w:t>
        </w:r>
      </w:hyperlink>
      <w:r w:rsidRPr="005B3ACA">
        <w:t xml:space="preserve">). Additional utility-scale detections in central Oahu are consistent with the locations of the 45.9 MW </w:t>
      </w:r>
      <w:proofErr w:type="spellStart"/>
      <w:r w:rsidRPr="005B3ACA">
        <w:t>Waipi'o</w:t>
      </w:r>
      <w:proofErr w:type="spellEnd"/>
      <w:r w:rsidRPr="005B3ACA">
        <w:t xml:space="preserve"> Solar and 14.7 MW Mililani Solar II facilities, which together with </w:t>
      </w:r>
      <w:proofErr w:type="spellStart"/>
      <w:r w:rsidRPr="005B3ACA">
        <w:t>Kawailoa</w:t>
      </w:r>
      <w:proofErr w:type="spellEnd"/>
      <w:r w:rsidRPr="005B3ACA">
        <w:t xml:space="preserve"> comprise 110 MW of grid-scale solar capacity on the island. The mountainous Ko'olau and </w:t>
      </w:r>
      <w:proofErr w:type="spellStart"/>
      <w:r w:rsidRPr="005B3ACA">
        <w:t>Wai'anae</w:t>
      </w:r>
      <w:proofErr w:type="spellEnd"/>
      <w:r w:rsidRPr="005B3ACA">
        <w:t xml:space="preserve"> interior ranges showed minimal to no detections, consistent with their limited built infrastructure and dense forest cover.</w:t>
      </w:r>
    </w:p>
    <w:p w14:paraId="5E6809A9" w14:textId="65007FA3" w:rsidR="00F96A64" w:rsidRPr="00F96A64" w:rsidRDefault="00F96A64" w:rsidP="00F96A64">
      <w:pPr>
        <w:rPr>
          <w:lang w:val="en-US"/>
        </w:rPr>
      </w:pPr>
      <w:r w:rsidRPr="00F96A64">
        <w:rPr>
          <w:lang w:val="en-US"/>
        </w:rPr>
        <w:t>Qualitative assessment of detection outputs across a range of installation types and scales revealed strong spatial correspondence between SAM3 detection polygons and visually identifiable PV infrastructure in the source imagery (Figure 3). At utility-scale installations, SAM3 produced precise delineations of individual panel rows across large ground-mounted arrays, capturing the structured geometry of utility solar with high spatial fidelity (Figure 3a). At the residential scale, detection polygons conformed closely to rooftop panel arrays across diverse dwelling types, roof orientations, and panel configurations encountered across Oahu's suburban neighborhoods (Figure 3b). Variability in detection completeness was observed across both installation scales, with some visually identifiable panel arrays partially or wholly undetected</w:t>
      </w:r>
      <w:r w:rsidR="002C116E">
        <w:rPr>
          <w:lang w:val="en-US"/>
        </w:rPr>
        <w:t xml:space="preserve">, </w:t>
      </w:r>
      <w:r w:rsidRPr="00F96A64">
        <w:rPr>
          <w:lang w:val="en-US"/>
        </w:rPr>
        <w:t>a limitation explored further in Section 4.</w:t>
      </w:r>
    </w:p>
    <w:p w14:paraId="2DB955D8" w14:textId="77777777" w:rsidR="00F61B72" w:rsidRDefault="00F61B72" w:rsidP="003C12E0">
      <w:pPr>
        <w:rPr>
          <w:b/>
          <w:bCs/>
          <w:lang w:val="en-US"/>
        </w:rPr>
      </w:pPr>
    </w:p>
    <w:p w14:paraId="5BFA02A9" w14:textId="7B84B8FA" w:rsidR="009D3DAF" w:rsidRPr="00F61B72" w:rsidRDefault="00F61B72" w:rsidP="003C12E0">
      <w:pPr>
        <w:rPr>
          <w:b/>
          <w:bCs/>
          <w:lang w:val="en-US"/>
        </w:rPr>
      </w:pPr>
      <w:r w:rsidRPr="00F61B72">
        <w:rPr>
          <w:b/>
          <w:bCs/>
          <w:lang w:val="en-US"/>
        </w:rPr>
        <w:t>Discussion</w:t>
      </w:r>
    </w:p>
    <w:p w14:paraId="78A38248" w14:textId="77777777" w:rsidR="00F61B72" w:rsidRPr="00F61B72" w:rsidRDefault="00F61B72" w:rsidP="00F61B72">
      <w:pPr>
        <w:rPr>
          <w:i/>
          <w:iCs/>
          <w:lang w:val="en-US"/>
        </w:rPr>
      </w:pPr>
      <w:r w:rsidRPr="00F61B72">
        <w:rPr>
          <w:i/>
          <w:iCs/>
          <w:lang w:val="en-US"/>
        </w:rPr>
        <w:t>4.1 Limitations</w:t>
      </w:r>
    </w:p>
    <w:p w14:paraId="33CA0F60" w14:textId="2C99CD61" w:rsidR="00F61B72" w:rsidRPr="00F61B72" w:rsidRDefault="00F61B72" w:rsidP="00F61B72">
      <w:pPr>
        <w:rPr>
          <w:lang w:val="en-US"/>
        </w:rPr>
      </w:pPr>
      <w:r w:rsidRPr="00F61B72">
        <w:rPr>
          <w:lang w:val="en-US"/>
        </w:rPr>
        <w:t>Several limitations of the present framework warrant consideration. First, SAM3's multi-scale segmentation behavior produces multiple detection polygons for a single physical installation in many cases</w:t>
      </w:r>
      <w:r w:rsidR="008C22F7">
        <w:rPr>
          <w:lang w:val="en-US"/>
        </w:rPr>
        <w:t>. A</w:t>
      </w:r>
      <w:r w:rsidRPr="00F61B72">
        <w:rPr>
          <w:lang w:val="en-US"/>
        </w:rPr>
        <w:t xml:space="preserve"> large rooftop array may be represented as several smaller polygons corresponding to individual panel strings or array sections rather than a single unified detection. This behavior is inherent to foundation model segmentation and means that detection counts should be </w:t>
      </w:r>
      <w:r w:rsidRPr="00F61B72">
        <w:rPr>
          <w:lang w:val="en-US"/>
        </w:rPr>
        <w:lastRenderedPageBreak/>
        <w:t>interpreted as polygon-level outputs rather than discrete installation counts. Total detected area is a more robust summary metric and is preferred throughout this study for that reason.</w:t>
      </w:r>
    </w:p>
    <w:p w14:paraId="69BC9C15" w14:textId="7A395A07" w:rsidR="00F61B72" w:rsidRPr="00F61B72" w:rsidRDefault="00F61B72" w:rsidP="00F61B72">
      <w:pPr>
        <w:rPr>
          <w:lang w:val="en-US"/>
        </w:rPr>
      </w:pPr>
      <w:r w:rsidRPr="00F61B72">
        <w:rPr>
          <w:lang w:val="en-US"/>
        </w:rPr>
        <w:t>Second, qualitative inspection of detection outputs reveals variability in detection completeness across installation types and contexts (Figure 4). Visually identifiable panel arrays were partially or wholly undetected in a subset of cases, particularly where panel reflectance was attenuated by shadow, vegetation occlusion, or roof geometry. At utility-scale installations, SAM3 detected portions of large ground-mounted arrays while failing to delineate the full extent of the installation, suggesting that the zero-shot approach may underperform on very large, spatially homogeneous panel fields. False positive detections</w:t>
      </w:r>
      <w:r w:rsidR="008C22F7">
        <w:rPr>
          <w:lang w:val="en-US"/>
        </w:rPr>
        <w:t>,</w:t>
      </w:r>
      <w:r w:rsidRPr="00F61B72">
        <w:rPr>
          <w:lang w:val="en-US"/>
        </w:rPr>
        <w:t xml:space="preserve"> where non-solar features such as reflective metal roofing</w:t>
      </w:r>
      <w:r w:rsidR="008C22F7">
        <w:rPr>
          <w:lang w:val="en-US"/>
        </w:rPr>
        <w:t>, bleachers,</w:t>
      </w:r>
      <w:r w:rsidRPr="00F61B72">
        <w:rPr>
          <w:lang w:val="en-US"/>
        </w:rPr>
        <w:t xml:space="preserve"> or skylights may have been classified as solar panels</w:t>
      </w:r>
      <w:r w:rsidR="008C22F7">
        <w:rPr>
          <w:lang w:val="en-US"/>
        </w:rPr>
        <w:t>,</w:t>
      </w:r>
      <w:r w:rsidRPr="00F61B72">
        <w:rPr>
          <w:lang w:val="en-US"/>
        </w:rPr>
        <w:t xml:space="preserve"> cannot be ruled out without ground truth validation.</w:t>
      </w:r>
    </w:p>
    <w:p w14:paraId="03BCB30A" w14:textId="18802FA6" w:rsidR="00F61B72" w:rsidRPr="00F61B72" w:rsidRDefault="00F61B72" w:rsidP="00F61B72">
      <w:pPr>
        <w:rPr>
          <w:lang w:val="en-US"/>
        </w:rPr>
      </w:pPr>
      <w:r w:rsidRPr="00F61B72">
        <w:rPr>
          <w:lang w:val="en-US"/>
        </w:rPr>
        <w:t>Third, the text prompt "solar panel" was selected as an intuitive and semantically direct descriptor but was not systematically optimized. Alternative prompts such as "photovoltaic array", "rooftop solar", or "solar installation" may yield different detection rates, spatial coverage, or false positive characteristics. Prompt sensitivity analysis represents a meaningful avenue for future investigation, particularly as the open-vocabulary capabilities of SAM3 and successor models continue to develop.</w:t>
      </w:r>
    </w:p>
    <w:p w14:paraId="27DDA50E" w14:textId="053FAEDD" w:rsidR="008C22F7" w:rsidRPr="005B3ACA" w:rsidRDefault="00F61B72" w:rsidP="00F61B72">
      <w:pPr>
        <w:rPr>
          <w:lang w:val="en-US"/>
        </w:rPr>
      </w:pPr>
      <w:r w:rsidRPr="00F61B72">
        <w:rPr>
          <w:lang w:val="en-US"/>
        </w:rPr>
        <w:t>Fourth, no ground truth validation dataset exists for Oahu that would enable a formal quantitative accuracy assessment. In the absence of a georeferenced inventory of known PV installations</w:t>
      </w:r>
      <w:r w:rsidR="008C22F7">
        <w:rPr>
          <w:lang w:val="en-US"/>
        </w:rPr>
        <w:t>,</w:t>
      </w:r>
      <w:r w:rsidRPr="00F61B72">
        <w:rPr>
          <w:lang w:val="en-US"/>
        </w:rPr>
        <w:t xml:space="preserve"> such as utility interconnection records with precise spatial coordinates</w:t>
      </w:r>
      <w:r w:rsidR="008C22F7">
        <w:rPr>
          <w:lang w:val="en-US"/>
        </w:rPr>
        <w:t xml:space="preserve">, </w:t>
      </w:r>
      <w:r w:rsidRPr="00F61B72">
        <w:rPr>
          <w:lang w:val="en-US"/>
        </w:rPr>
        <w:t xml:space="preserve">standard accuracy metrics including precision, recall, and F1 score cannot be calculated. The results should therefore be interpreted as a remote sensing-derived spatial inventory indicative of the distribution and scale of PV infrastructure across Oahu, rather than a definitive enumeration of installed systems. </w:t>
      </w:r>
    </w:p>
    <w:p w14:paraId="1ECE8BF0" w14:textId="20B3AC17" w:rsidR="00F61B72" w:rsidRPr="00F61B72" w:rsidRDefault="00F61B72" w:rsidP="00F61B72">
      <w:pPr>
        <w:rPr>
          <w:i/>
          <w:iCs/>
          <w:lang w:val="en-US"/>
        </w:rPr>
      </w:pPr>
      <w:r w:rsidRPr="00F61B72">
        <w:rPr>
          <w:i/>
          <w:iCs/>
          <w:lang w:val="en-US"/>
        </w:rPr>
        <w:lastRenderedPageBreak/>
        <w:t>4.2 Methodological contributions and broader implications</w:t>
      </w:r>
    </w:p>
    <w:p w14:paraId="308A43B8" w14:textId="77777777" w:rsidR="003A44E5" w:rsidRDefault="003A44E5" w:rsidP="00F61B72">
      <w:r w:rsidRPr="003A44E5">
        <w:t>This study demonstrates that SAM3, deployed in a zero-shot capacity through a GPU-accelerated high-performance computing framework, can support large-area geospatial PV detection without labeled training data or domain-specific model adaptation. To our knowledge, this represents the first application of SAM3 to solar infrastructure mapping and the first SAM-based PV detection study conducted at island-wide scale, extending the geographic scope of foundation model-based solar mapping and demonstrating its feasibility on nationally available supercomputing infrastructure.</w:t>
      </w:r>
    </w:p>
    <w:p w14:paraId="19191691" w14:textId="54AB304A" w:rsidR="00F61B72" w:rsidRPr="00F61B72" w:rsidRDefault="00A0139B" w:rsidP="00F61B72">
      <w:pPr>
        <w:rPr>
          <w:lang w:val="en-US"/>
        </w:rPr>
      </w:pPr>
      <w:r>
        <w:t>T</w:t>
      </w:r>
      <w:r w:rsidRPr="00A0139B">
        <w:t>he computational efficiency of the framework is notable. The complete island-wide analysis consumed approximately 62 GPU node-hours and 89 service units from a standard TACC research allocation, suggesting that large-area foundation model inference is feasible within the resource constraints of typical academic HPC allocations. As national supercomputing resources such as TACC Vista become increasingly accessible to the broader research community through programs such as NSF ACCESS, this workflow offers a practical pathway for researchers seeking to apply foundation models to large-area geospatial detection tasks without institutional GPU infrastructure</w:t>
      </w:r>
      <w:r w:rsidR="00F61B72" w:rsidRPr="00F61B72">
        <w:rPr>
          <w:lang w:val="en-US"/>
        </w:rPr>
        <w:t>.</w:t>
      </w:r>
    </w:p>
    <w:p w14:paraId="72837F7B" w14:textId="5E2F709A" w:rsidR="00F61B72" w:rsidRPr="00F61B72" w:rsidRDefault="00F61B72" w:rsidP="00F61B72">
      <w:pPr>
        <w:rPr>
          <w:lang w:val="en-US"/>
        </w:rPr>
      </w:pPr>
      <w:r w:rsidRPr="00F61B72">
        <w:rPr>
          <w:lang w:val="en-US"/>
        </w:rPr>
        <w:t xml:space="preserve">The geographic contribution is equally significant. Oahu represents the first island environment to receive a comprehensive remote sensing-derived PV inventory, filling a gap in the solar mapping literature that has systematically excluded non-contiguous US territories and </w:t>
      </w:r>
      <w:proofErr w:type="gramStart"/>
      <w:r w:rsidRPr="00F61B72">
        <w:rPr>
          <w:lang w:val="en-US"/>
        </w:rPr>
        <w:t>Pacific island</w:t>
      </w:r>
      <w:proofErr w:type="gramEnd"/>
      <w:r w:rsidRPr="00F61B72">
        <w:rPr>
          <w:lang w:val="en-US"/>
        </w:rPr>
        <w:t xml:space="preserve"> geographies. The spatial patterns revealed by the analysis</w:t>
      </w:r>
      <w:r w:rsidR="003A44E5">
        <w:rPr>
          <w:lang w:val="en-US"/>
        </w:rPr>
        <w:t xml:space="preserve"> </w:t>
      </w:r>
      <w:r w:rsidRPr="00F61B72">
        <w:rPr>
          <w:lang w:val="en-US"/>
        </w:rPr>
        <w:t>provide a foundation for energy planning, grid integration analysis, and solar equity research that has not previously been possible at this spatial resolution and coverage.</w:t>
      </w:r>
    </w:p>
    <w:p w14:paraId="5CECFA49" w14:textId="5CFFB409" w:rsidR="00F61B72" w:rsidRDefault="00F61B72" w:rsidP="00F61B72">
      <w:pPr>
        <w:rPr>
          <w:lang w:val="en-US"/>
        </w:rPr>
      </w:pPr>
      <w:r w:rsidRPr="00F61B72">
        <w:rPr>
          <w:lang w:val="en-US"/>
        </w:rPr>
        <w:lastRenderedPageBreak/>
        <w:t xml:space="preserve">More broadly, the framework demonstrates a methodological pathway for applying foundation models to systematic large-area geospatial detection tasks beyond solar mapping. The grid-based processing approach, two-step imagery acquisition and inference workflow, and cross-cell deduplication methodology are transferable to any object detection task where high-resolution imagery is accessible via tile APIs and HPC resources are available. </w:t>
      </w:r>
    </w:p>
    <w:p w14:paraId="0BB9DB64" w14:textId="46685BC7" w:rsidR="003A44E5" w:rsidRPr="00F61B72" w:rsidRDefault="003A44E5" w:rsidP="00F61B72">
      <w:pPr>
        <w:rPr>
          <w:lang w:val="en-US"/>
        </w:rPr>
      </w:pPr>
      <w:r w:rsidRPr="003A44E5">
        <w:t xml:space="preserve">The 78,100 grid-connected PV systems reported by Hawaiian Electric for Oahu as of 2024 </w:t>
      </w:r>
      <w:hyperlink r:id="rId35" w:history="1">
        <w:r w:rsidRPr="003A44E5">
          <w:rPr>
            <w:rStyle w:val="Hyperlink"/>
          </w:rPr>
          <w:t>(Hawaiian Electric, 2025)</w:t>
        </w:r>
      </w:hyperlink>
      <w:r w:rsidRPr="003A44E5">
        <w:t xml:space="preserve"> provides useful context for interpreting the present results. A direct comparison between utility interconnection records and SAM3 detection polygons is complicated by two factors: the multi-polygon nature of SAM3 segmentation outputs, where a single physical installation may be represented by multiple detection polygons, and the inherent difference in scope between utility records, which capture only permitted grid-connected systems, and remote sensing detection, which captures all visually identifiable PV infrastructure regardless of grid connection status. This distinction is potentially significant for energy planning, as installations absent from utility records but visible in aerial imagery may represent off-grid, unpermitted, or recently installed systems not yet reflected in interconnection databases. </w:t>
      </w:r>
    </w:p>
    <w:p w14:paraId="27ACAE38" w14:textId="77777777" w:rsidR="003A44E5" w:rsidRDefault="003A44E5" w:rsidP="00F61B72">
      <w:pPr>
        <w:rPr>
          <w:i/>
          <w:iCs/>
          <w:lang w:val="en-US"/>
        </w:rPr>
      </w:pPr>
    </w:p>
    <w:p w14:paraId="0A4AA4AE" w14:textId="58AAB348" w:rsidR="00F61B72" w:rsidRPr="00F61B72" w:rsidRDefault="00F61B72" w:rsidP="00F61B72">
      <w:pPr>
        <w:rPr>
          <w:i/>
          <w:iCs/>
          <w:lang w:val="en-US"/>
        </w:rPr>
      </w:pPr>
      <w:r w:rsidRPr="00F61B72">
        <w:rPr>
          <w:i/>
          <w:iCs/>
          <w:lang w:val="en-US"/>
        </w:rPr>
        <w:t>4.3 Future work</w:t>
      </w:r>
    </w:p>
    <w:p w14:paraId="1D190E5B" w14:textId="78FE2462" w:rsidR="00662B76" w:rsidRPr="00662B76" w:rsidRDefault="00662B76" w:rsidP="00662B76">
      <w:pPr>
        <w:rPr>
          <w:lang w:val="en-US"/>
        </w:rPr>
      </w:pPr>
      <w:r w:rsidRPr="00662B76">
        <w:rPr>
          <w:lang w:val="en-US"/>
        </w:rPr>
        <w:t>Several directions emerge naturally from this study. Quantitative validation of the zero-shot detection approach represents an important methodological priority. Rather than requiring the construction of a Hawaii-specific ground truth dataset, existing labeled solar panel datasets from other geographic contexts</w:t>
      </w:r>
      <w:r>
        <w:rPr>
          <w:lang w:val="en-US"/>
        </w:rPr>
        <w:t xml:space="preserve">, </w:t>
      </w:r>
      <w:r w:rsidRPr="00662B76">
        <w:rPr>
          <w:lang w:val="en-US"/>
        </w:rPr>
        <w:t xml:space="preserve">such as the Duke Solar Panel Dataset </w:t>
      </w:r>
      <w:hyperlink r:id="rId36" w:history="1">
        <w:r w:rsidRPr="00662B76">
          <w:rPr>
            <w:rStyle w:val="Hyperlink"/>
            <w:lang w:val="en-US"/>
          </w:rPr>
          <w:t>(Bradbury et al., 2016)</w:t>
        </w:r>
      </w:hyperlink>
      <w:r>
        <w:rPr>
          <w:lang w:val="en-US"/>
        </w:rPr>
        <w:t xml:space="preserve">, </w:t>
      </w:r>
      <w:r w:rsidRPr="00662B76">
        <w:rPr>
          <w:lang w:val="en-US"/>
        </w:rPr>
        <w:t xml:space="preserve">could serve as a benchmark for assessing detection accuracy while preserving the geographic transferability that motivates the framework. Such validation would enable formal calculation of </w:t>
      </w:r>
      <w:r w:rsidRPr="00662B76">
        <w:rPr>
          <w:lang w:val="en-US"/>
        </w:rPr>
        <w:lastRenderedPageBreak/>
        <w:t>precision, recall, and F1 metrics and provide a basis for comparing zero-shot and fine-tuned detection approaches under controlled conditions.</w:t>
      </w:r>
    </w:p>
    <w:p w14:paraId="4CAA198F" w14:textId="77777777" w:rsidR="00662B76" w:rsidRDefault="00662B76" w:rsidP="00662B76">
      <w:r w:rsidRPr="00662B76">
        <w:t>A longer-term direction involves cross-referencing the detection dataset against utility interconnection records. Access to georeferenced PV installation data from Hawaiian Electric, through a formal data sharing partnership, could enable spatial matching between detected PV infrastructure and registered grid-connected systems, providing insight into installations that may fall outside conventional utility accounting</w:t>
      </w:r>
      <w:r>
        <w:t>.</w:t>
      </w:r>
    </w:p>
    <w:p w14:paraId="260E513B" w14:textId="6DB4D05B" w:rsidR="00662B76" w:rsidRPr="00662B76" w:rsidRDefault="00662B76" w:rsidP="00662B76">
      <w:pPr>
        <w:rPr>
          <w:lang w:val="en-US"/>
        </w:rPr>
      </w:pPr>
      <w:r w:rsidRPr="00662B76">
        <w:rPr>
          <w:lang w:val="en-US"/>
        </w:rPr>
        <w:t>Temporal extension of the framework represents a third priority. Reprocessing the same 1,776 grid cells with updated imagery at regular intervals would enable change detection analysis, quantifying the rate and geographic pattern of new solar installations across the island over time. Given Hawaii's legislative commitment to 100% renewable energy by 2045 and the targets established under Executive Order 25-01, a time-series PV inventory would constitute a valuable resource for tracking progress toward state energy goals.</w:t>
      </w:r>
    </w:p>
    <w:p w14:paraId="0E4F13C9" w14:textId="77777777" w:rsidR="00662B76" w:rsidRPr="00662B76" w:rsidRDefault="00662B76" w:rsidP="00662B76">
      <w:pPr>
        <w:rPr>
          <w:lang w:val="en-US"/>
        </w:rPr>
      </w:pPr>
      <w:r w:rsidRPr="00662B76">
        <w:rPr>
          <w:lang w:val="en-US"/>
        </w:rPr>
        <w:t xml:space="preserve">Extension of the framework to additional </w:t>
      </w:r>
      <w:proofErr w:type="gramStart"/>
      <w:r w:rsidRPr="00662B76">
        <w:rPr>
          <w:lang w:val="en-US"/>
        </w:rPr>
        <w:t>Hawaiian islands</w:t>
      </w:r>
      <w:proofErr w:type="gramEnd"/>
      <w:r w:rsidRPr="00662B76">
        <w:rPr>
          <w:lang w:val="en-US"/>
        </w:rPr>
        <w:t xml:space="preserve"> is a straightforward application requiring only updated grid partitioning and imagery acquisition. Maui, Hawaii Island, Kauai, and Molokai each present distinct solar adoption characteristics shaped by their utility structures, land use patterns, and energy policy contexts. A statewide PV inventory would substantially strengthen the utility of the dataset for state-level energy planning and would demonstrate the scalability of the framework across varied island geographies within a single administrative context.</w:t>
      </w:r>
    </w:p>
    <w:p w14:paraId="0AB6C736" w14:textId="136FD62C" w:rsidR="00662B76" w:rsidRPr="00662B76" w:rsidRDefault="00662B76" w:rsidP="00662B76">
      <w:pPr>
        <w:rPr>
          <w:lang w:val="en-US"/>
        </w:rPr>
      </w:pPr>
      <w:r>
        <w:rPr>
          <w:lang w:val="en-US"/>
        </w:rPr>
        <w:t>S</w:t>
      </w:r>
      <w:r w:rsidRPr="00662B76">
        <w:rPr>
          <w:lang w:val="en-US"/>
        </w:rPr>
        <w:t xml:space="preserve">ystematic prompt sensitivity analysis, evaluating detection performance across alternative text descriptions and confidence thresholds, would provide methodological guidance for future applications of SAM3 to solar and other infrastructure detection tasks. As vision foundation </w:t>
      </w:r>
      <w:r w:rsidRPr="00662B76">
        <w:rPr>
          <w:lang w:val="en-US"/>
        </w:rPr>
        <w:lastRenderedPageBreak/>
        <w:t>models continue to advance and prompt-based geospatial detection matures as a research paradigm, understanding the sensitivity of outputs to prompt formulation will be increasingly important for ensuring reproducibility and comparability across studies.</w:t>
      </w:r>
    </w:p>
    <w:p w14:paraId="55AD4EFD" w14:textId="4175D759" w:rsidR="003845AF" w:rsidRDefault="00662B76" w:rsidP="00662B76">
      <w:r w:rsidRPr="00662B76">
        <w:t xml:space="preserve">A final direction involves examining the socioeconomic dimensions of PV adoption across Oahu through spatial analysis at the census tract level. Joining detection polygons with American Community Survey data on median household income, housing tenure, and demographic characteristics would enable an equity-focused analysis of solar adoption patterns, building on the approach established by </w:t>
      </w:r>
      <w:proofErr w:type="spellStart"/>
      <w:r w:rsidRPr="00662B76">
        <w:t>DeepSolar</w:t>
      </w:r>
      <w:proofErr w:type="spellEnd"/>
      <w:r w:rsidRPr="00662B76">
        <w:t xml:space="preserve"> </w:t>
      </w:r>
      <w:hyperlink r:id="rId37" w:history="1">
        <w:r w:rsidRPr="00662B76">
          <w:rPr>
            <w:rStyle w:val="Hyperlink"/>
          </w:rPr>
          <w:t>(Yu et al., 2018)</w:t>
        </w:r>
      </w:hyperlink>
      <w:r w:rsidRPr="00662B76">
        <w:t xml:space="preserve"> for the continental United States. Such an analysis would situate Oahu's aggregate solar adoption statistics within a spatial equity framework, identifying communities where adoption rates diverge from island-wide trends and informing targeted policy interventions to ensure the benefits of distributed solar are equitably distributed across Hawaii's diverse communities.</w:t>
      </w:r>
    </w:p>
    <w:sectPr w:rsidR="00384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5C062B"/>
    <w:multiLevelType w:val="hybridMultilevel"/>
    <w:tmpl w:val="5600A604"/>
    <w:lvl w:ilvl="0" w:tplc="6B865250">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4227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02"/>
    <w:rsid w:val="000227E1"/>
    <w:rsid w:val="00040E24"/>
    <w:rsid w:val="000C27BA"/>
    <w:rsid w:val="0010513A"/>
    <w:rsid w:val="00127005"/>
    <w:rsid w:val="00134402"/>
    <w:rsid w:val="001868BC"/>
    <w:rsid w:val="001E2A97"/>
    <w:rsid w:val="001F16B8"/>
    <w:rsid w:val="00230B30"/>
    <w:rsid w:val="002501EE"/>
    <w:rsid w:val="00284980"/>
    <w:rsid w:val="00295F02"/>
    <w:rsid w:val="002B06BE"/>
    <w:rsid w:val="002C116E"/>
    <w:rsid w:val="002C2DB0"/>
    <w:rsid w:val="002E06BF"/>
    <w:rsid w:val="002F2A12"/>
    <w:rsid w:val="0035402F"/>
    <w:rsid w:val="00366426"/>
    <w:rsid w:val="003703AA"/>
    <w:rsid w:val="003845AF"/>
    <w:rsid w:val="003A44E5"/>
    <w:rsid w:val="003C12E0"/>
    <w:rsid w:val="003C4B0C"/>
    <w:rsid w:val="003D6A56"/>
    <w:rsid w:val="00402ECF"/>
    <w:rsid w:val="00440D5A"/>
    <w:rsid w:val="00450F40"/>
    <w:rsid w:val="004F4B95"/>
    <w:rsid w:val="00530E02"/>
    <w:rsid w:val="00591E75"/>
    <w:rsid w:val="005A0F3F"/>
    <w:rsid w:val="005B3ACA"/>
    <w:rsid w:val="005D7870"/>
    <w:rsid w:val="00662B76"/>
    <w:rsid w:val="00684F0B"/>
    <w:rsid w:val="006863A5"/>
    <w:rsid w:val="006F1D8C"/>
    <w:rsid w:val="00706634"/>
    <w:rsid w:val="00745761"/>
    <w:rsid w:val="00757C37"/>
    <w:rsid w:val="00851752"/>
    <w:rsid w:val="0087096C"/>
    <w:rsid w:val="008964AB"/>
    <w:rsid w:val="008C046D"/>
    <w:rsid w:val="008C22F7"/>
    <w:rsid w:val="008E3698"/>
    <w:rsid w:val="00906AC8"/>
    <w:rsid w:val="00927E17"/>
    <w:rsid w:val="009930AE"/>
    <w:rsid w:val="00994C22"/>
    <w:rsid w:val="009B78D1"/>
    <w:rsid w:val="009D3DAF"/>
    <w:rsid w:val="00A0139B"/>
    <w:rsid w:val="00A16E27"/>
    <w:rsid w:val="00A34A4B"/>
    <w:rsid w:val="00AB4FAA"/>
    <w:rsid w:val="00AC06B4"/>
    <w:rsid w:val="00B00CBF"/>
    <w:rsid w:val="00B304CC"/>
    <w:rsid w:val="00BC160F"/>
    <w:rsid w:val="00BC7233"/>
    <w:rsid w:val="00BD69C1"/>
    <w:rsid w:val="00C271F2"/>
    <w:rsid w:val="00C921A8"/>
    <w:rsid w:val="00CB1007"/>
    <w:rsid w:val="00E12151"/>
    <w:rsid w:val="00E24672"/>
    <w:rsid w:val="00F411D9"/>
    <w:rsid w:val="00F61B72"/>
    <w:rsid w:val="00F676F9"/>
    <w:rsid w:val="00F72BCC"/>
    <w:rsid w:val="00F96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E916"/>
  <w15:chartTrackingRefBased/>
  <w15:docId w15:val="{F4F6815B-3440-6849-B6CA-D2E9CB86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E02"/>
    <w:pPr>
      <w:spacing w:after="80" w:line="480" w:lineRule="auto"/>
    </w:pPr>
    <w:rPr>
      <w:rFonts w:ascii="Times New Roman" w:eastAsia="Arial" w:hAnsi="Times New Roman" w:cs="Arial"/>
      <w:szCs w:val="22"/>
      <w:lang w:val="en"/>
    </w:rPr>
  </w:style>
  <w:style w:type="paragraph" w:styleId="Heading1">
    <w:name w:val="heading 1"/>
    <w:basedOn w:val="Normal"/>
    <w:next w:val="Normal"/>
    <w:link w:val="Heading1Char"/>
    <w:uiPriority w:val="9"/>
    <w:qFormat/>
    <w:rsid w:val="00530E02"/>
    <w:pPr>
      <w:keepNext/>
      <w:keepLines/>
      <w:spacing w:before="360" w:line="240"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530E02"/>
    <w:pPr>
      <w:keepNext/>
      <w:keepLines/>
      <w:spacing w:before="160" w:line="240"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530E02"/>
    <w:pPr>
      <w:keepNext/>
      <w:keepLines/>
      <w:spacing w:before="160" w:line="240" w:lineRule="auto"/>
      <w:outlineLvl w:val="2"/>
    </w:pPr>
    <w:rPr>
      <w:rFonts w:asciiTheme="minorHAnsi" w:eastAsiaTheme="majorEastAsia" w:hAnsiTheme="minorHAnsi"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530E02"/>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en-US"/>
    </w:rPr>
  </w:style>
  <w:style w:type="paragraph" w:styleId="Heading5">
    <w:name w:val="heading 5"/>
    <w:basedOn w:val="Normal"/>
    <w:next w:val="Normal"/>
    <w:link w:val="Heading5Char"/>
    <w:uiPriority w:val="9"/>
    <w:semiHidden/>
    <w:unhideWhenUsed/>
    <w:qFormat/>
    <w:rsid w:val="00530E02"/>
    <w:pPr>
      <w:keepNext/>
      <w:keepLines/>
      <w:spacing w:before="80" w:after="40" w:line="240" w:lineRule="auto"/>
      <w:outlineLvl w:val="4"/>
    </w:pPr>
    <w:rPr>
      <w:rFonts w:asciiTheme="minorHAnsi" w:eastAsiaTheme="majorEastAsia" w:hAnsiTheme="minorHAnsi" w:cstheme="majorBidi"/>
      <w:color w:val="0F4761" w:themeColor="accent1" w:themeShade="BF"/>
      <w:szCs w:val="24"/>
      <w:lang w:val="en-US"/>
    </w:rPr>
  </w:style>
  <w:style w:type="paragraph" w:styleId="Heading6">
    <w:name w:val="heading 6"/>
    <w:basedOn w:val="Normal"/>
    <w:next w:val="Normal"/>
    <w:link w:val="Heading6Char"/>
    <w:uiPriority w:val="9"/>
    <w:semiHidden/>
    <w:unhideWhenUsed/>
    <w:qFormat/>
    <w:rsid w:val="00530E02"/>
    <w:pPr>
      <w:keepNext/>
      <w:keepLines/>
      <w:spacing w:before="40" w:after="0" w:line="240" w:lineRule="auto"/>
      <w:outlineLvl w:val="5"/>
    </w:pPr>
    <w:rPr>
      <w:rFonts w:asciiTheme="minorHAnsi" w:eastAsiaTheme="majorEastAsia" w:hAnsiTheme="minorHAnsi" w:cstheme="majorBidi"/>
      <w:i/>
      <w:iCs/>
      <w:color w:val="595959" w:themeColor="text1" w:themeTint="A6"/>
      <w:szCs w:val="24"/>
      <w:lang w:val="en-US"/>
    </w:rPr>
  </w:style>
  <w:style w:type="paragraph" w:styleId="Heading7">
    <w:name w:val="heading 7"/>
    <w:basedOn w:val="Normal"/>
    <w:next w:val="Normal"/>
    <w:link w:val="Heading7Char"/>
    <w:uiPriority w:val="9"/>
    <w:semiHidden/>
    <w:unhideWhenUsed/>
    <w:qFormat/>
    <w:rsid w:val="00530E02"/>
    <w:pPr>
      <w:keepNext/>
      <w:keepLines/>
      <w:spacing w:before="40" w:after="0" w:line="240" w:lineRule="auto"/>
      <w:outlineLvl w:val="6"/>
    </w:pPr>
    <w:rPr>
      <w:rFonts w:asciiTheme="minorHAnsi" w:eastAsiaTheme="majorEastAsia" w:hAnsiTheme="minorHAnsi" w:cstheme="majorBidi"/>
      <w:color w:val="595959" w:themeColor="text1" w:themeTint="A6"/>
      <w:szCs w:val="24"/>
      <w:lang w:val="en-US"/>
    </w:rPr>
  </w:style>
  <w:style w:type="paragraph" w:styleId="Heading8">
    <w:name w:val="heading 8"/>
    <w:basedOn w:val="Normal"/>
    <w:next w:val="Normal"/>
    <w:link w:val="Heading8Char"/>
    <w:uiPriority w:val="9"/>
    <w:semiHidden/>
    <w:unhideWhenUsed/>
    <w:qFormat/>
    <w:rsid w:val="00530E02"/>
    <w:pPr>
      <w:keepNext/>
      <w:keepLines/>
      <w:spacing w:after="0" w:line="240" w:lineRule="auto"/>
      <w:outlineLvl w:val="7"/>
    </w:pPr>
    <w:rPr>
      <w:rFonts w:asciiTheme="minorHAnsi" w:eastAsiaTheme="majorEastAsia" w:hAnsiTheme="minorHAnsi" w:cstheme="majorBidi"/>
      <w:i/>
      <w:iCs/>
      <w:color w:val="272727" w:themeColor="text1" w:themeTint="D8"/>
      <w:szCs w:val="24"/>
      <w:lang w:val="en-US"/>
    </w:rPr>
  </w:style>
  <w:style w:type="paragraph" w:styleId="Heading9">
    <w:name w:val="heading 9"/>
    <w:basedOn w:val="Normal"/>
    <w:next w:val="Normal"/>
    <w:link w:val="Heading9Char"/>
    <w:uiPriority w:val="9"/>
    <w:semiHidden/>
    <w:unhideWhenUsed/>
    <w:qFormat/>
    <w:rsid w:val="00530E02"/>
    <w:pPr>
      <w:keepNext/>
      <w:keepLines/>
      <w:spacing w:after="0" w:line="240" w:lineRule="auto"/>
      <w:outlineLvl w:val="8"/>
    </w:pPr>
    <w:rPr>
      <w:rFonts w:asciiTheme="minorHAnsi" w:eastAsiaTheme="majorEastAsia" w:hAnsiTheme="minorHAnsi" w:cstheme="majorBidi"/>
      <w:color w:val="272727" w:themeColor="text1" w:themeTint="D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E02"/>
    <w:rPr>
      <w:rFonts w:eastAsiaTheme="majorEastAsia" w:cstheme="majorBidi"/>
      <w:color w:val="272727" w:themeColor="text1" w:themeTint="D8"/>
    </w:rPr>
  </w:style>
  <w:style w:type="paragraph" w:styleId="Title">
    <w:name w:val="Title"/>
    <w:basedOn w:val="Normal"/>
    <w:next w:val="Normal"/>
    <w:link w:val="TitleChar"/>
    <w:uiPriority w:val="10"/>
    <w:qFormat/>
    <w:rsid w:val="00530E02"/>
    <w:pPr>
      <w:spacing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530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E02"/>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530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E02"/>
    <w:pPr>
      <w:spacing w:before="160" w:after="160" w:line="240" w:lineRule="auto"/>
      <w:jc w:val="center"/>
    </w:pPr>
    <w:rPr>
      <w:rFonts w:asciiTheme="minorHAnsi" w:eastAsiaTheme="minorHAnsi" w:hAnsiTheme="minorHAnsi" w:cstheme="minorBidi"/>
      <w:i/>
      <w:iCs/>
      <w:color w:val="404040" w:themeColor="text1" w:themeTint="BF"/>
      <w:szCs w:val="24"/>
      <w:lang w:val="en-US"/>
    </w:rPr>
  </w:style>
  <w:style w:type="character" w:customStyle="1" w:styleId="QuoteChar">
    <w:name w:val="Quote Char"/>
    <w:basedOn w:val="DefaultParagraphFont"/>
    <w:link w:val="Quote"/>
    <w:uiPriority w:val="29"/>
    <w:rsid w:val="00530E02"/>
    <w:rPr>
      <w:i/>
      <w:iCs/>
      <w:color w:val="404040" w:themeColor="text1" w:themeTint="BF"/>
    </w:rPr>
  </w:style>
  <w:style w:type="paragraph" w:styleId="ListParagraph">
    <w:name w:val="List Paragraph"/>
    <w:basedOn w:val="Normal"/>
    <w:uiPriority w:val="34"/>
    <w:qFormat/>
    <w:rsid w:val="00530E02"/>
    <w:pPr>
      <w:spacing w:after="0" w:line="240" w:lineRule="auto"/>
      <w:ind w:left="720"/>
      <w:contextualSpacing/>
    </w:pPr>
    <w:rPr>
      <w:rFonts w:asciiTheme="minorHAnsi" w:eastAsiaTheme="minorHAnsi" w:hAnsiTheme="minorHAnsi" w:cstheme="minorBidi"/>
      <w:szCs w:val="24"/>
      <w:lang w:val="en-US"/>
    </w:rPr>
  </w:style>
  <w:style w:type="character" w:styleId="IntenseEmphasis">
    <w:name w:val="Intense Emphasis"/>
    <w:basedOn w:val="DefaultParagraphFont"/>
    <w:uiPriority w:val="21"/>
    <w:qFormat/>
    <w:rsid w:val="00530E02"/>
    <w:rPr>
      <w:i/>
      <w:iCs/>
      <w:color w:val="0F4761" w:themeColor="accent1" w:themeShade="BF"/>
    </w:rPr>
  </w:style>
  <w:style w:type="paragraph" w:styleId="IntenseQuote">
    <w:name w:val="Intense Quote"/>
    <w:basedOn w:val="Normal"/>
    <w:next w:val="Normal"/>
    <w:link w:val="IntenseQuoteChar"/>
    <w:uiPriority w:val="30"/>
    <w:qFormat/>
    <w:rsid w:val="00530E02"/>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szCs w:val="24"/>
      <w:lang w:val="en-US"/>
    </w:rPr>
  </w:style>
  <w:style w:type="character" w:customStyle="1" w:styleId="IntenseQuoteChar">
    <w:name w:val="Intense Quote Char"/>
    <w:basedOn w:val="DefaultParagraphFont"/>
    <w:link w:val="IntenseQuote"/>
    <w:uiPriority w:val="30"/>
    <w:rsid w:val="00530E02"/>
    <w:rPr>
      <w:i/>
      <w:iCs/>
      <w:color w:val="0F4761" w:themeColor="accent1" w:themeShade="BF"/>
    </w:rPr>
  </w:style>
  <w:style w:type="character" w:styleId="IntenseReference">
    <w:name w:val="Intense Reference"/>
    <w:basedOn w:val="DefaultParagraphFont"/>
    <w:uiPriority w:val="32"/>
    <w:qFormat/>
    <w:rsid w:val="00530E02"/>
    <w:rPr>
      <w:b/>
      <w:bCs/>
      <w:smallCaps/>
      <w:color w:val="0F4761" w:themeColor="accent1" w:themeShade="BF"/>
      <w:spacing w:val="5"/>
    </w:rPr>
  </w:style>
  <w:style w:type="character" w:styleId="Hyperlink">
    <w:name w:val="Hyperlink"/>
    <w:basedOn w:val="DefaultParagraphFont"/>
    <w:uiPriority w:val="99"/>
    <w:unhideWhenUsed/>
    <w:rsid w:val="003C12E0"/>
    <w:rPr>
      <w:color w:val="467886" w:themeColor="hyperlink"/>
      <w:u w:val="single"/>
    </w:rPr>
  </w:style>
  <w:style w:type="character" w:styleId="UnresolvedMention">
    <w:name w:val="Unresolved Mention"/>
    <w:basedOn w:val="DefaultParagraphFont"/>
    <w:uiPriority w:val="99"/>
    <w:semiHidden/>
    <w:unhideWhenUsed/>
    <w:rsid w:val="003C12E0"/>
    <w:rPr>
      <w:color w:val="605E5C"/>
      <w:shd w:val="clear" w:color="auto" w:fill="E1DFDD"/>
    </w:rPr>
  </w:style>
  <w:style w:type="character" w:styleId="FollowedHyperlink">
    <w:name w:val="FollowedHyperlink"/>
    <w:basedOn w:val="DefaultParagraphFont"/>
    <w:uiPriority w:val="99"/>
    <w:semiHidden/>
    <w:unhideWhenUsed/>
    <w:rsid w:val="003C12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128412">
      <w:bodyDiv w:val="1"/>
      <w:marLeft w:val="0"/>
      <w:marRight w:val="0"/>
      <w:marTop w:val="0"/>
      <w:marBottom w:val="0"/>
      <w:divBdr>
        <w:top w:val="none" w:sz="0" w:space="0" w:color="auto"/>
        <w:left w:val="none" w:sz="0" w:space="0" w:color="auto"/>
        <w:bottom w:val="none" w:sz="0" w:space="0" w:color="auto"/>
        <w:right w:val="none" w:sz="0" w:space="0" w:color="auto"/>
      </w:divBdr>
    </w:div>
    <w:div w:id="234974163">
      <w:bodyDiv w:val="1"/>
      <w:marLeft w:val="0"/>
      <w:marRight w:val="0"/>
      <w:marTop w:val="0"/>
      <w:marBottom w:val="0"/>
      <w:divBdr>
        <w:top w:val="none" w:sz="0" w:space="0" w:color="auto"/>
        <w:left w:val="none" w:sz="0" w:space="0" w:color="auto"/>
        <w:bottom w:val="none" w:sz="0" w:space="0" w:color="auto"/>
        <w:right w:val="none" w:sz="0" w:space="0" w:color="auto"/>
      </w:divBdr>
    </w:div>
    <w:div w:id="248544021">
      <w:bodyDiv w:val="1"/>
      <w:marLeft w:val="0"/>
      <w:marRight w:val="0"/>
      <w:marTop w:val="0"/>
      <w:marBottom w:val="0"/>
      <w:divBdr>
        <w:top w:val="none" w:sz="0" w:space="0" w:color="auto"/>
        <w:left w:val="none" w:sz="0" w:space="0" w:color="auto"/>
        <w:bottom w:val="none" w:sz="0" w:space="0" w:color="auto"/>
        <w:right w:val="none" w:sz="0" w:space="0" w:color="auto"/>
      </w:divBdr>
    </w:div>
    <w:div w:id="294532206">
      <w:bodyDiv w:val="1"/>
      <w:marLeft w:val="0"/>
      <w:marRight w:val="0"/>
      <w:marTop w:val="0"/>
      <w:marBottom w:val="0"/>
      <w:divBdr>
        <w:top w:val="none" w:sz="0" w:space="0" w:color="auto"/>
        <w:left w:val="none" w:sz="0" w:space="0" w:color="auto"/>
        <w:bottom w:val="none" w:sz="0" w:space="0" w:color="auto"/>
        <w:right w:val="none" w:sz="0" w:space="0" w:color="auto"/>
      </w:divBdr>
    </w:div>
    <w:div w:id="372274972">
      <w:bodyDiv w:val="1"/>
      <w:marLeft w:val="0"/>
      <w:marRight w:val="0"/>
      <w:marTop w:val="0"/>
      <w:marBottom w:val="0"/>
      <w:divBdr>
        <w:top w:val="none" w:sz="0" w:space="0" w:color="auto"/>
        <w:left w:val="none" w:sz="0" w:space="0" w:color="auto"/>
        <w:bottom w:val="none" w:sz="0" w:space="0" w:color="auto"/>
        <w:right w:val="none" w:sz="0" w:space="0" w:color="auto"/>
      </w:divBdr>
    </w:div>
    <w:div w:id="602960683">
      <w:bodyDiv w:val="1"/>
      <w:marLeft w:val="0"/>
      <w:marRight w:val="0"/>
      <w:marTop w:val="0"/>
      <w:marBottom w:val="0"/>
      <w:divBdr>
        <w:top w:val="none" w:sz="0" w:space="0" w:color="auto"/>
        <w:left w:val="none" w:sz="0" w:space="0" w:color="auto"/>
        <w:bottom w:val="none" w:sz="0" w:space="0" w:color="auto"/>
        <w:right w:val="none" w:sz="0" w:space="0" w:color="auto"/>
      </w:divBdr>
    </w:div>
    <w:div w:id="618150127">
      <w:bodyDiv w:val="1"/>
      <w:marLeft w:val="0"/>
      <w:marRight w:val="0"/>
      <w:marTop w:val="0"/>
      <w:marBottom w:val="0"/>
      <w:divBdr>
        <w:top w:val="none" w:sz="0" w:space="0" w:color="auto"/>
        <w:left w:val="none" w:sz="0" w:space="0" w:color="auto"/>
        <w:bottom w:val="none" w:sz="0" w:space="0" w:color="auto"/>
        <w:right w:val="none" w:sz="0" w:space="0" w:color="auto"/>
      </w:divBdr>
    </w:div>
    <w:div w:id="678429742">
      <w:bodyDiv w:val="1"/>
      <w:marLeft w:val="0"/>
      <w:marRight w:val="0"/>
      <w:marTop w:val="0"/>
      <w:marBottom w:val="0"/>
      <w:divBdr>
        <w:top w:val="none" w:sz="0" w:space="0" w:color="auto"/>
        <w:left w:val="none" w:sz="0" w:space="0" w:color="auto"/>
        <w:bottom w:val="none" w:sz="0" w:space="0" w:color="auto"/>
        <w:right w:val="none" w:sz="0" w:space="0" w:color="auto"/>
      </w:divBdr>
    </w:div>
    <w:div w:id="708340929">
      <w:bodyDiv w:val="1"/>
      <w:marLeft w:val="0"/>
      <w:marRight w:val="0"/>
      <w:marTop w:val="0"/>
      <w:marBottom w:val="0"/>
      <w:divBdr>
        <w:top w:val="none" w:sz="0" w:space="0" w:color="auto"/>
        <w:left w:val="none" w:sz="0" w:space="0" w:color="auto"/>
        <w:bottom w:val="none" w:sz="0" w:space="0" w:color="auto"/>
        <w:right w:val="none" w:sz="0" w:space="0" w:color="auto"/>
      </w:divBdr>
    </w:div>
    <w:div w:id="754937126">
      <w:bodyDiv w:val="1"/>
      <w:marLeft w:val="0"/>
      <w:marRight w:val="0"/>
      <w:marTop w:val="0"/>
      <w:marBottom w:val="0"/>
      <w:divBdr>
        <w:top w:val="none" w:sz="0" w:space="0" w:color="auto"/>
        <w:left w:val="none" w:sz="0" w:space="0" w:color="auto"/>
        <w:bottom w:val="none" w:sz="0" w:space="0" w:color="auto"/>
        <w:right w:val="none" w:sz="0" w:space="0" w:color="auto"/>
      </w:divBdr>
    </w:div>
    <w:div w:id="1125781708">
      <w:bodyDiv w:val="1"/>
      <w:marLeft w:val="0"/>
      <w:marRight w:val="0"/>
      <w:marTop w:val="0"/>
      <w:marBottom w:val="0"/>
      <w:divBdr>
        <w:top w:val="none" w:sz="0" w:space="0" w:color="auto"/>
        <w:left w:val="none" w:sz="0" w:space="0" w:color="auto"/>
        <w:bottom w:val="none" w:sz="0" w:space="0" w:color="auto"/>
        <w:right w:val="none" w:sz="0" w:space="0" w:color="auto"/>
      </w:divBdr>
    </w:div>
    <w:div w:id="1269117499">
      <w:bodyDiv w:val="1"/>
      <w:marLeft w:val="0"/>
      <w:marRight w:val="0"/>
      <w:marTop w:val="0"/>
      <w:marBottom w:val="0"/>
      <w:divBdr>
        <w:top w:val="none" w:sz="0" w:space="0" w:color="auto"/>
        <w:left w:val="none" w:sz="0" w:space="0" w:color="auto"/>
        <w:bottom w:val="none" w:sz="0" w:space="0" w:color="auto"/>
        <w:right w:val="none" w:sz="0" w:space="0" w:color="auto"/>
      </w:divBdr>
    </w:div>
    <w:div w:id="1325477901">
      <w:bodyDiv w:val="1"/>
      <w:marLeft w:val="0"/>
      <w:marRight w:val="0"/>
      <w:marTop w:val="0"/>
      <w:marBottom w:val="0"/>
      <w:divBdr>
        <w:top w:val="none" w:sz="0" w:space="0" w:color="auto"/>
        <w:left w:val="none" w:sz="0" w:space="0" w:color="auto"/>
        <w:bottom w:val="none" w:sz="0" w:space="0" w:color="auto"/>
        <w:right w:val="none" w:sz="0" w:space="0" w:color="auto"/>
      </w:divBdr>
    </w:div>
    <w:div w:id="1488282436">
      <w:bodyDiv w:val="1"/>
      <w:marLeft w:val="0"/>
      <w:marRight w:val="0"/>
      <w:marTop w:val="0"/>
      <w:marBottom w:val="0"/>
      <w:divBdr>
        <w:top w:val="none" w:sz="0" w:space="0" w:color="auto"/>
        <w:left w:val="none" w:sz="0" w:space="0" w:color="auto"/>
        <w:bottom w:val="none" w:sz="0" w:space="0" w:color="auto"/>
        <w:right w:val="none" w:sz="0" w:space="0" w:color="auto"/>
      </w:divBdr>
    </w:div>
    <w:div w:id="1502425018">
      <w:bodyDiv w:val="1"/>
      <w:marLeft w:val="0"/>
      <w:marRight w:val="0"/>
      <w:marTop w:val="0"/>
      <w:marBottom w:val="0"/>
      <w:divBdr>
        <w:top w:val="none" w:sz="0" w:space="0" w:color="auto"/>
        <w:left w:val="none" w:sz="0" w:space="0" w:color="auto"/>
        <w:bottom w:val="none" w:sz="0" w:space="0" w:color="auto"/>
        <w:right w:val="none" w:sz="0" w:space="0" w:color="auto"/>
      </w:divBdr>
    </w:div>
    <w:div w:id="1663122605">
      <w:bodyDiv w:val="1"/>
      <w:marLeft w:val="0"/>
      <w:marRight w:val="0"/>
      <w:marTop w:val="0"/>
      <w:marBottom w:val="0"/>
      <w:divBdr>
        <w:top w:val="none" w:sz="0" w:space="0" w:color="auto"/>
        <w:left w:val="none" w:sz="0" w:space="0" w:color="auto"/>
        <w:bottom w:val="none" w:sz="0" w:space="0" w:color="auto"/>
        <w:right w:val="none" w:sz="0" w:space="0" w:color="auto"/>
      </w:divBdr>
    </w:div>
    <w:div w:id="1997301780">
      <w:bodyDiv w:val="1"/>
      <w:marLeft w:val="0"/>
      <w:marRight w:val="0"/>
      <w:marTop w:val="0"/>
      <w:marBottom w:val="0"/>
      <w:divBdr>
        <w:top w:val="none" w:sz="0" w:space="0" w:color="auto"/>
        <w:left w:val="none" w:sz="0" w:space="0" w:color="auto"/>
        <w:bottom w:val="none" w:sz="0" w:space="0" w:color="auto"/>
        <w:right w:val="none" w:sz="0" w:space="0" w:color="auto"/>
      </w:divBdr>
    </w:div>
    <w:div w:id="212660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ll.com/joule/fulltext/S2542-4351(18)30570-1" TargetMode="External"/><Relationship Id="rId18" Type="http://schemas.openxmlformats.org/officeDocument/2006/relationships/hyperlink" Target="https://arxiv.org/abs/2511.16719" TargetMode="External"/><Relationship Id="rId26" Type="http://schemas.openxmlformats.org/officeDocument/2006/relationships/hyperlink" Target="https://github.com/walkerke/tigris" TargetMode="External"/><Relationship Id="rId39" Type="http://schemas.openxmlformats.org/officeDocument/2006/relationships/theme" Target="theme/theme1.xml"/><Relationship Id="rId21" Type="http://schemas.openxmlformats.org/officeDocument/2006/relationships/hyperlink" Target="https://doi.org/10.3390/rs16020414" TargetMode="External"/><Relationship Id="rId34" Type="http://schemas.openxmlformats.org/officeDocument/2006/relationships/hyperlink" Target="https://www.clearwayenergygroup.com/press-releases/clearway-energy-group-completes-construction-on-three-hawaii-solar-projects/" TargetMode="External"/><Relationship Id="rId7" Type="http://schemas.openxmlformats.org/officeDocument/2006/relationships/hyperlink" Target="https://www.eia.gov/todayinenergy/detail.php?id=65244" TargetMode="External"/><Relationship Id="rId12" Type="http://schemas.openxmlformats.org/officeDocument/2006/relationships/hyperlink" Target="https://www.nature.com/articles/sdata2016106" TargetMode="External"/><Relationship Id="rId17" Type="http://schemas.openxmlformats.org/officeDocument/2006/relationships/hyperlink" Target="https://arxiv.org/abs/2408.00714" TargetMode="External"/><Relationship Id="rId25" Type="http://schemas.openxmlformats.org/officeDocument/2006/relationships/hyperlink" Target="https://digitalcommons.unl.edu/cgi/viewcontent.cgi?article=1686&amp;context=r-journal" TargetMode="External"/><Relationship Id="rId33" Type="http://schemas.openxmlformats.org/officeDocument/2006/relationships/hyperlink" Target="https://h3geo.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04.02643" TargetMode="External"/><Relationship Id="rId20" Type="http://schemas.openxmlformats.org/officeDocument/2006/relationships/hyperlink" Target="https://doi.org/10.1016/j.isprsjprs.2024.09.018" TargetMode="External"/><Relationship Id="rId29" Type="http://schemas.openxmlformats.org/officeDocument/2006/relationships/hyperlink" Target="https://github.com/walkerke/geosam" TargetMode="External"/><Relationship Id="rId1" Type="http://schemas.openxmlformats.org/officeDocument/2006/relationships/numbering" Target="numbering.xml"/><Relationship Id="rId6" Type="http://schemas.openxmlformats.org/officeDocument/2006/relationships/hyperlink" Target="https://www.eia.gov/state/analysis.php?sid=HI" TargetMode="External"/><Relationship Id="rId11" Type="http://schemas.openxmlformats.org/officeDocument/2006/relationships/hyperlink" Target="https://governor.hawaii.gov/wp-content/uploads/2025/01/2501085_Executive-Order-No.-25-01.pdf" TargetMode="External"/><Relationship Id="rId24" Type="http://schemas.openxmlformats.org/officeDocument/2006/relationships/hyperlink" Target="https://www.sciencedirect.com/science/article/abs/pii/S0306261925018677" TargetMode="External"/><Relationship Id="rId32" Type="http://schemas.openxmlformats.org/officeDocument/2006/relationships/hyperlink" Target="https://arxiv.org/abs/2511.16719" TargetMode="External"/><Relationship Id="rId37" Type="http://schemas.openxmlformats.org/officeDocument/2006/relationships/hyperlink" Target="https://www.cell.com/joule/fulltext/S2542-4351(18)30570-1" TargetMode="External"/><Relationship Id="rId5" Type="http://schemas.openxmlformats.org/officeDocument/2006/relationships/hyperlink" Target="https://www.eia.gov/state/analysis.php?sid=HI" TargetMode="External"/><Relationship Id="rId15" Type="http://schemas.openxmlformats.org/officeDocument/2006/relationships/hyperlink" Target="https://doi.org/10.1109/AIPR.2017.8457960" TargetMode="External"/><Relationship Id="rId23" Type="http://schemas.openxmlformats.org/officeDocument/2006/relationships/hyperlink" Target="https://www.sciencedirect.com/science/article/pii/S0960148124016288" TargetMode="External"/><Relationship Id="rId28" Type="http://schemas.openxmlformats.org/officeDocument/2006/relationships/hyperlink" Target="https://vexceldata.com/countries/united-states/hawaii/" TargetMode="External"/><Relationship Id="rId36" Type="http://schemas.openxmlformats.org/officeDocument/2006/relationships/hyperlink" Target="https://www.nature.com/articles/sdata2016106" TargetMode="External"/><Relationship Id="rId10" Type="http://schemas.openxmlformats.org/officeDocument/2006/relationships/hyperlink" Target="https://www.energy.gov/sites/default/files/2013/11/f5/hawaii_mou.pdf" TargetMode="External"/><Relationship Id="rId19" Type="http://schemas.openxmlformats.org/officeDocument/2006/relationships/hyperlink" Target="https://arxiv.org/abs/2306.16623" TargetMode="External"/><Relationship Id="rId31" Type="http://schemas.openxmlformats.org/officeDocument/2006/relationships/hyperlink" Target="https://github.com/walkerke/geosam" TargetMode="External"/><Relationship Id="rId4" Type="http://schemas.openxmlformats.org/officeDocument/2006/relationships/webSettings" Target="webSettings.xml"/><Relationship Id="rId9" Type="http://schemas.openxmlformats.org/officeDocument/2006/relationships/hyperlink" Target="https://www.hawaiianelectric.com/documents/clean_energy_hawaii/rps_report_2024.pdf" TargetMode="External"/><Relationship Id="rId14" Type="http://schemas.openxmlformats.org/officeDocument/2006/relationships/hyperlink" Target="https://www.nature.com/articles/s41586-021-03957-7" TargetMode="External"/><Relationship Id="rId22" Type="http://schemas.openxmlformats.org/officeDocument/2006/relationships/hyperlink" Target="https://doi.org/10.3390/s25144375" TargetMode="External"/><Relationship Id="rId27" Type="http://schemas.openxmlformats.org/officeDocument/2006/relationships/hyperlink" Target="https://docs.mapbox.com/data/tilesets/reference/mapbox-satellite/" TargetMode="External"/><Relationship Id="rId30" Type="http://schemas.openxmlformats.org/officeDocument/2006/relationships/hyperlink" Target="https://arxiv.org/abs/2511.16719" TargetMode="External"/><Relationship Id="rId35" Type="http://schemas.openxmlformats.org/officeDocument/2006/relationships/hyperlink" Target="https://www.hawaiianelectric.com/hawaiian-electric-sees-steady-growth-in-solar-installations" TargetMode="External"/><Relationship Id="rId8" Type="http://schemas.openxmlformats.org/officeDocument/2006/relationships/hyperlink" Target="https://www.hawaiianelectric.com/hawaiian-electric-sees-steady-growth-in-solar-installation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4437</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Flynn</dc:creator>
  <cp:keywords/>
  <dc:description/>
  <cp:lastModifiedBy>Connor Flynn</cp:lastModifiedBy>
  <cp:revision>3</cp:revision>
  <dcterms:created xsi:type="dcterms:W3CDTF">2026-08-16T00:44:00Z</dcterms:created>
  <dcterms:modified xsi:type="dcterms:W3CDTF">2026-09-18T23:40:00Z</dcterms:modified>
</cp:coreProperties>
</file>