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High-Level Design: ETSU Vending Machine Map</w:t>
      </w:r>
    </w:p>
    <w:p>
      <w:r>
        <w:t>SnackAttack  |  Sprint 2 — Task #5: Create high level design for map</w:t>
      </w:r>
    </w:p>
    <w:p>
      <w:r>
        <w:t>Document status: Design baseline describing choices and features already implemented in the supplied Sprint 2 repository. No new functionality is asserted as complete.</w:t>
      </w:r>
    </w:p>
    <w:p>
      <w:pPr>
        <w:pStyle w:val="Heading1"/>
      </w:pPr>
      <w:r>
        <w:t>1. Purpose and scope</w:t>
      </w:r>
    </w:p>
    <w:p>
      <w:r>
        <w:t>SnackAttack helps students locate ETSU vending machines, inspect their types and details, and narrow results using building search and machine-type filters. Sprint 2 adds an interactive campus map to the existing responsive machine finder. This specification documents the design actually selected and reflected in the source files, while identifying current data constraints.</w:t>
      </w:r>
    </w:p>
    <w:p>
      <w:pPr>
        <w:pStyle w:val="Heading1"/>
      </w:pPr>
      <w:r>
        <w:t>2. Architecture and technology decisions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Component</w:t>
            </w:r>
          </w:p>
        </w:tc>
        <w:tc>
          <w:tcPr>
            <w:tcW w:type="dxa" w:w="4320"/>
          </w:tcPr>
          <w:p>
            <w:r>
              <w:t>Selected implementation / rationale</w:t>
            </w:r>
          </w:p>
        </w:tc>
      </w:tr>
      <w:tr>
        <w:tc>
          <w:tcPr>
            <w:tcW w:type="dxa" w:w="4320"/>
          </w:tcPr>
          <w:p>
            <w:r>
              <w:t>Front end</w:t>
            </w:r>
          </w:p>
        </w:tc>
        <w:tc>
          <w:tcPr>
            <w:tcW w:type="dxa" w:w="4320"/>
          </w:tcPr>
          <w:p>
            <w:r>
              <w:t>Single static index.html containing HTML, CSS and client-side JavaScript; no separate application framework.</w:t>
            </w:r>
          </w:p>
        </w:tc>
      </w:tr>
      <w:tr>
        <w:tc>
          <w:tcPr>
            <w:tcW w:type="dxa" w:w="4320"/>
          </w:tcPr>
          <w:p>
            <w:r>
              <w:t>Map engine</w:t>
            </w:r>
          </w:p>
        </w:tc>
        <w:tc>
          <w:tcPr>
            <w:tcW w:type="dxa" w:w="4320"/>
          </w:tcPr>
          <w:p>
            <w:r>
              <w:t>Leaflet 1.9.4 loaded using CDN stylesheet and script; supplies map, layer group, markers and popups.</w:t>
            </w:r>
          </w:p>
        </w:tc>
      </w:tr>
      <w:tr>
        <w:tc>
          <w:tcPr>
            <w:tcW w:type="dxa" w:w="4320"/>
          </w:tcPr>
          <w:p>
            <w:r>
              <w:t>Basemap</w:t>
            </w:r>
          </w:p>
        </w:tc>
        <w:tc>
          <w:tcPr>
            <w:tcW w:type="dxa" w:w="4320"/>
          </w:tcPr>
          <w:p>
            <w:r>
              <w:t>OpenStreetMap raster tiles with contributor attribution; no application API key configured.</w:t>
            </w:r>
          </w:p>
        </w:tc>
      </w:tr>
      <w:tr>
        <w:tc>
          <w:tcPr>
            <w:tcW w:type="dxa" w:w="4320"/>
          </w:tcPr>
          <w:p>
            <w:r>
              <w:t>Data source</w:t>
            </w:r>
          </w:p>
        </w:tc>
        <w:tc>
          <w:tcPr>
            <w:tcW w:type="dxa" w:w="4320"/>
          </w:tcPr>
          <w:p>
            <w:r>
              <w:t>vending_machines.csv fetched at runtime; one record per machine; no database or map-specific duplicate dataset.</w:t>
            </w:r>
          </w:p>
        </w:tc>
      </w:tr>
      <w:tr>
        <w:tc>
          <w:tcPr>
            <w:tcW w:type="dxa" w:w="4320"/>
          </w:tcPr>
          <w:p>
            <w:r>
              <w:t>Deployment</w:t>
            </w:r>
          </w:p>
        </w:tc>
        <w:tc>
          <w:tcPr>
            <w:tcW w:type="dxa" w:w="4320"/>
          </w:tcPr>
          <w:p>
            <w:r>
              <w:t>Vercel static hosting, configured through vercel.json; README specifies dev-to-main pull request workflow.</w:t>
            </w:r>
          </w:p>
        </w:tc>
      </w:tr>
      <w:tr>
        <w:tc>
          <w:tcPr>
            <w:tcW w:type="dxa" w:w="4320"/>
          </w:tcPr>
          <w:p>
            <w:r>
              <w:t>Optional development lookup</w:t>
            </w:r>
          </w:p>
        </w:tc>
        <w:tc>
          <w:tcPr>
            <w:tcW w:type="dxa" w:w="4320"/>
          </w:tcPr>
          <w:p>
            <w:r>
              <w:t>The marker design notes describe one-time Nominatim use to examine a building outline; there is no live Nominatim request in the shipped app.</w:t>
            </w:r>
          </w:p>
        </w:tc>
      </w:tr>
    </w:tbl>
    <w:p>
      <w:pPr>
        <w:pStyle w:val="Heading1"/>
      </w:pPr>
      <w:r>
        <w:t>3. Logical data flow</w:t>
      </w:r>
    </w:p>
    <w:p>
      <w:r>
        <w:t>Browser loads index.html → Leaflet initializes ETSU campus map and OpenStreetMap tile layer → loadMachines() fetches vending_machines.csv → parseCSV() converts rows to objects → application state stores all machines → filteredMachines() applies building-text search and type selection → render() updates the count, machine cards and map markers in one pass → selecting a pin opens its details popup.</w:t>
      </w:r>
    </w:p>
    <w:p>
      <w:r>
        <w:t>The design intentionally uses one shared filtered result set so the map and card list stay synchronized. Marker coordinates are read directly from the machine record; there is no independent geospatial database.</w:t>
      </w:r>
    </w:p>
    <w:p>
      <w:pPr>
        <w:pStyle w:val="Heading1"/>
      </w:pPr>
      <w:r>
        <w:t>4. Page layout and user interaction</w:t>
      </w:r>
    </w:p>
    <w:p>
      <w:pPr>
        <w:pStyle w:val="ListBullet"/>
      </w:pPr>
      <w:r>
        <w:t>Top toolbar contains a “Search by building” field, visible machine-count summary and filter buttons (All, Drink, Snack, Personal Care).</w:t>
      </w:r>
    </w:p>
    <w:p>
      <w:pPr>
        <w:pStyle w:val="ListBullet"/>
      </w:pPr>
      <w:r>
        <w:t>The “ETSU Vending Machine Map” appears immediately beneath the filter controls, above the machine-card grid.</w:t>
      </w:r>
    </w:p>
    <w:p>
      <w:pPr>
        <w:pStyle w:val="ListBullet"/>
      </w:pPr>
      <w:r>
        <w:t>The map initially centers on latitude 36.3035, longitude -82.3700 at zoom 16; the tile layer supports zoom levels up to 19.</w:t>
      </w:r>
    </w:p>
    <w:p>
      <w:pPr>
        <w:pStyle w:val="ListBullet"/>
      </w:pPr>
      <w:r>
        <w:t>Search matches the building name without case sensitivity; selecting a type constrains both list and marker results.</w:t>
      </w:r>
    </w:p>
    <w:p>
      <w:pPr>
        <w:pStyle w:val="ListBullet"/>
      </w:pPr>
      <w:r>
        <w:t>Machine cards support expanding additional information; map popups independently show building, machine type, payment options and directions.</w:t>
      </w:r>
    </w:p>
    <w:p>
      <w:pPr>
        <w:pStyle w:val="ListBullet"/>
      </w:pPr>
      <w:r>
        <w:t>CSS adjusts the card grid for smaller displays. The separate task writeup records a mobile-map test as a planned case but does not report a result.</w:t>
      </w:r>
    </w:p>
    <w:p>
      <w:pPr>
        <w:pStyle w:val="Heading1"/>
      </w:pPr>
      <w:r>
        <w:t>5. Marker design specification</w:t>
      </w:r>
    </w:p>
    <w:p>
      <w:r>
        <w:t>Markers use Leaflet L.divIcon with HTML/CSS rather than external image files. Each icon is 32 × 32 pixels, pin-shaped, with a white border, shadow and upright emoji. The tip aligns with the machine coordinates (iconAnchor [16,32]); popup placement uses [0,-30].</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Machine type</w:t>
            </w:r>
          </w:p>
        </w:tc>
        <w:tc>
          <w:tcPr>
            <w:tcW w:type="dxa" w:w="2880"/>
          </w:tcPr>
          <w:p>
            <w:r>
              <w:t>Visual identification</w:t>
            </w:r>
          </w:p>
        </w:tc>
        <w:tc>
          <w:tcPr>
            <w:tcW w:type="dxa" w:w="2880"/>
          </w:tcPr>
          <w:p>
            <w:r>
              <w:t>CSS class</w:t>
            </w:r>
          </w:p>
        </w:tc>
      </w:tr>
      <w:tr>
        <w:tc>
          <w:tcPr>
            <w:tcW w:type="dxa" w:w="2880"/>
          </w:tcPr>
          <w:p>
            <w:r>
              <w:t>Drink</w:t>
            </w:r>
          </w:p>
        </w:tc>
        <w:tc>
          <w:tcPr>
            <w:tcW w:type="dxa" w:w="2880"/>
          </w:tcPr>
          <w:p>
            <w:r>
              <w:t>Blue #1F6FD1 · beverage emoji</w:t>
            </w:r>
          </w:p>
        </w:tc>
        <w:tc>
          <w:tcPr>
            <w:tcW w:type="dxa" w:w="2880"/>
          </w:tcPr>
          <w:p>
            <w:r>
              <w:t>.machine-marker.drink</w:t>
            </w:r>
          </w:p>
        </w:tc>
      </w:tr>
      <w:tr>
        <w:tc>
          <w:tcPr>
            <w:tcW w:type="dxa" w:w="2880"/>
          </w:tcPr>
          <w:p>
            <w:r>
              <w:t>Snack</w:t>
            </w:r>
          </w:p>
        </w:tc>
        <w:tc>
          <w:tcPr>
            <w:tcW w:type="dxa" w:w="2880"/>
          </w:tcPr>
          <w:p>
            <w:r>
              <w:t>ETSU gold #FDB515 · chocolate emoji</w:t>
            </w:r>
          </w:p>
        </w:tc>
        <w:tc>
          <w:tcPr>
            <w:tcW w:type="dxa" w:w="2880"/>
          </w:tcPr>
          <w:p>
            <w:r>
              <w:t>.machine-marker.snack</w:t>
            </w:r>
          </w:p>
        </w:tc>
      </w:tr>
      <w:tr>
        <w:tc>
          <w:tcPr>
            <w:tcW w:type="dxa" w:w="2880"/>
          </w:tcPr>
          <w:p>
            <w:r>
              <w:t>Personal Care</w:t>
            </w:r>
          </w:p>
        </w:tc>
        <w:tc>
          <w:tcPr>
            <w:tcW w:type="dxa" w:w="2880"/>
          </w:tcPr>
          <w:p>
            <w:r>
              <w:t>Purple #8A3FFC · lotion emoji</w:t>
            </w:r>
          </w:p>
        </w:tc>
        <w:tc>
          <w:tcPr>
            <w:tcW w:type="dxa" w:w="2880"/>
          </w:tcPr>
          <w:p>
            <w:r>
              <w:t>.machine-marker.personal-care</w:t>
            </w:r>
          </w:p>
        </w:tc>
      </w:tr>
      <w:tr>
        <w:tc>
          <w:tcPr>
            <w:tcW w:type="dxa" w:w="2880"/>
          </w:tcPr>
          <w:p>
            <w:r>
              <w:t>Fallback</w:t>
            </w:r>
          </w:p>
        </w:tc>
        <w:tc>
          <w:tcPr>
            <w:tcW w:type="dxa" w:w="2880"/>
          </w:tcPr>
          <w:p>
            <w:r>
              <w:t>Shopping emoji; no dedicated fallback color</w:t>
            </w:r>
          </w:p>
        </w:tc>
        <w:tc>
          <w:tcPr>
            <w:tcW w:type="dxa" w:w="2880"/>
          </w:tcPr>
          <w:p>
            <w:r>
              <w:t>.machine-marker (base)</w:t>
            </w:r>
          </w:p>
        </w:tc>
      </w:tr>
    </w:tbl>
    <w:p>
      <w:r>
        <w:t>renderMarkers() clears the existing Leaflet layerGroup, skips records with absent/invalid GPS, and recreates pins for the current filtered machines. Popup fields are escaped using the existing display/HTML-escaping helpers.</w:t>
      </w:r>
    </w:p>
    <w:p>
      <w:pPr>
        <w:pStyle w:val="Heading1"/>
      </w:pPr>
      <w:r>
        <w:t>6. Vending-machine data model</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CSV field</w:t>
            </w:r>
          </w:p>
        </w:tc>
        <w:tc>
          <w:tcPr>
            <w:tcW w:type="dxa" w:w="4320"/>
          </w:tcPr>
          <w:p>
            <w:r>
              <w:t>Purpose</w:t>
            </w:r>
          </w:p>
        </w:tc>
      </w:tr>
      <w:tr>
        <w:tc>
          <w:tcPr>
            <w:tcW w:type="dxa" w:w="4320"/>
          </w:tcPr>
          <w:p>
            <w:r>
              <w:t>ID</w:t>
            </w:r>
          </w:p>
        </w:tc>
        <w:tc>
          <w:tcPr>
            <w:tcW w:type="dxa" w:w="4320"/>
          </w:tcPr>
          <w:p>
            <w:r>
              <w:t>Unique record identifier</w:t>
            </w:r>
          </w:p>
        </w:tc>
      </w:tr>
      <w:tr>
        <w:tc>
          <w:tcPr>
            <w:tcW w:type="dxa" w:w="4320"/>
          </w:tcPr>
          <w:p>
            <w:r>
              <w:t>Building</w:t>
            </w:r>
          </w:p>
        </w:tc>
        <w:tc>
          <w:tcPr>
            <w:tcW w:type="dxa" w:w="4320"/>
          </w:tcPr>
          <w:p>
            <w:r>
              <w:t>Named campus building used for search and display</w:t>
            </w:r>
          </w:p>
        </w:tc>
      </w:tr>
      <w:tr>
        <w:tc>
          <w:tcPr>
            <w:tcW w:type="dxa" w:w="4320"/>
          </w:tcPr>
          <w:p>
            <w:r>
              <w:t>Type</w:t>
            </w:r>
          </w:p>
        </w:tc>
        <w:tc>
          <w:tcPr>
            <w:tcW w:type="dxa" w:w="4320"/>
          </w:tcPr>
          <w:p>
            <w:r>
              <w:t>Drink, Snack or Personal Care; used for filtering and marker style</w:t>
            </w:r>
          </w:p>
        </w:tc>
      </w:tr>
      <w:tr>
        <w:tc>
          <w:tcPr>
            <w:tcW w:type="dxa" w:w="4320"/>
          </w:tcPr>
          <w:p>
            <w:r>
              <w:t>Availability</w:t>
            </w:r>
          </w:p>
        </w:tc>
        <w:tc>
          <w:tcPr>
            <w:tcW w:type="dxa" w:w="4320"/>
          </w:tcPr>
          <w:p>
            <w:r>
              <w:t>Available, Unavailable or Unknown</w:t>
            </w:r>
          </w:p>
        </w:tc>
      </w:tr>
      <w:tr>
        <w:tc>
          <w:tcPr>
            <w:tcW w:type="dxa" w:w="4320"/>
          </w:tcPr>
          <w:p>
            <w:r>
              <w:t>GPS</w:t>
            </w:r>
          </w:p>
        </w:tc>
        <w:tc>
          <w:tcPr>
            <w:tcW w:type="dxa" w:w="4320"/>
          </w:tcPr>
          <w:p>
            <w:r>
              <w:t>Quoted decimal coordinate pair: latitude, longitude; optional until verified</w:t>
            </w:r>
          </w:p>
        </w:tc>
      </w:tr>
      <w:tr>
        <w:tc>
          <w:tcPr>
            <w:tcW w:type="dxa" w:w="4320"/>
          </w:tcPr>
          <w:p>
            <w:r>
              <w:t>Payment</w:t>
            </w:r>
          </w:p>
        </w:tc>
        <w:tc>
          <w:tcPr>
            <w:tcW w:type="dxa" w:w="4320"/>
          </w:tcPr>
          <w:p>
            <w:r>
              <w:t>Observed payment methods, if documented</w:t>
            </w:r>
          </w:p>
        </w:tc>
      </w:tr>
      <w:tr>
        <w:tc>
          <w:tcPr>
            <w:tcW w:type="dxa" w:w="4320"/>
          </w:tcPr>
          <w:p>
            <w:r>
              <w:t>Directions</w:t>
            </w:r>
          </w:p>
        </w:tc>
        <w:tc>
          <w:tcPr>
            <w:tcW w:type="dxa" w:w="4320"/>
          </w:tcPr>
          <w:p>
            <w:r>
              <w:t>Text directions to the machine</w:t>
            </w:r>
          </w:p>
        </w:tc>
      </w:tr>
      <w:tr>
        <w:tc>
          <w:tcPr>
            <w:tcW w:type="dxa" w:w="4320"/>
          </w:tcPr>
          <w:p>
            <w:r>
              <w:t>Details</w:t>
            </w:r>
          </w:p>
        </w:tc>
        <w:tc>
          <w:tcPr>
            <w:tcW w:type="dxa" w:w="4320"/>
          </w:tcPr>
          <w:p>
            <w:r>
              <w:t>Supplemental description such as product selection</w:t>
            </w:r>
          </w:p>
        </w:tc>
      </w:tr>
    </w:tbl>
    <w:p>
      <w:r>
        <w:t>Current dataset: nine vending-machine records. Two Brinkley records have GPS coordinates and therefore render as map markers; the other seven remain in the list but do not appear on the map. Machine locations must not be fabricated to fill these gaps. All nine current availability values are Unknown.</w:t>
      </w:r>
    </w:p>
    <w:p>
      <w:pPr>
        <w:pStyle w:val="Heading1"/>
      </w:pPr>
      <w:r>
        <w:t>7. Known plotted locations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Building / type</w:t>
            </w:r>
          </w:p>
        </w:tc>
        <w:tc>
          <w:tcPr>
            <w:tcW w:type="dxa" w:w="2160"/>
          </w:tcPr>
          <w:p>
            <w:r>
              <w:t>Latitude</w:t>
            </w:r>
          </w:p>
        </w:tc>
        <w:tc>
          <w:tcPr>
            <w:tcW w:type="dxa" w:w="2160"/>
          </w:tcPr>
          <w:p>
            <w:r>
              <w:t>Longitude</w:t>
            </w:r>
          </w:p>
        </w:tc>
      </w:tr>
      <w:tr>
        <w:tc>
          <w:tcPr>
            <w:tcW w:type="dxa" w:w="2160"/>
          </w:tcPr>
          <w:p>
            <w:r>
              <w:t>1</w:t>
            </w:r>
          </w:p>
        </w:tc>
        <w:tc>
          <w:tcPr>
            <w:tcW w:type="dxa" w:w="2160"/>
          </w:tcPr>
          <w:p>
            <w:r>
              <w:t>Brinkley / Drink</w:t>
            </w:r>
          </w:p>
        </w:tc>
        <w:tc>
          <w:tcPr>
            <w:tcW w:type="dxa" w:w="2160"/>
          </w:tcPr>
          <w:p>
            <w:r>
              <w:t>36.305545</w:t>
            </w:r>
          </w:p>
        </w:tc>
        <w:tc>
          <w:tcPr>
            <w:tcW w:type="dxa" w:w="2160"/>
          </w:tcPr>
          <w:p>
            <w:r>
              <w:t>-82.371430</w:t>
            </w:r>
          </w:p>
        </w:tc>
      </w:tr>
      <w:tr>
        <w:tc>
          <w:tcPr>
            <w:tcW w:type="dxa" w:w="2160"/>
          </w:tcPr>
          <w:p>
            <w:r>
              <w:t>2</w:t>
            </w:r>
          </w:p>
        </w:tc>
        <w:tc>
          <w:tcPr>
            <w:tcW w:type="dxa" w:w="2160"/>
          </w:tcPr>
          <w:p>
            <w:r>
              <w:t>Brinkley / Snack</w:t>
            </w:r>
          </w:p>
        </w:tc>
        <w:tc>
          <w:tcPr>
            <w:tcW w:type="dxa" w:w="2160"/>
          </w:tcPr>
          <w:p>
            <w:r>
              <w:t>36.305580</w:t>
            </w:r>
          </w:p>
        </w:tc>
        <w:tc>
          <w:tcPr>
            <w:tcW w:type="dxa" w:w="2160"/>
          </w:tcPr>
          <w:p>
            <w:r>
              <w:t>-82.371395</w:t>
            </w:r>
          </w:p>
        </w:tc>
      </w:tr>
    </w:tbl>
    <w:p>
      <w:r>
        <w:t>The marker-design notes explain that these slightly separated points were reviewed to make both icons visible. They are approximate map-pin positions for the indoor machines, not an independent indoor navigation system. Remaining building coordinates require field verification before appearing.</w:t>
      </w:r>
    </w:p>
    <w:p>
      <w:pPr>
        <w:pStyle w:val="Heading1"/>
      </w:pPr>
      <w:r>
        <w:t>8. Quality and operational requirements</w:t>
      </w:r>
    </w:p>
    <w:p>
      <w:pPr>
        <w:pStyle w:val="ListBullet"/>
      </w:pPr>
      <w:r>
        <w:t>Consistency: map markers and cards must reflect exactly the same active building/type filters, except cards without GPS cannot produce pins.</w:t>
      </w:r>
    </w:p>
    <w:p>
      <w:pPr>
        <w:pStyle w:val="ListBullet"/>
      </w:pPr>
      <w:r>
        <w:t>Data integrity: blank GPS values are ignored; missing fields are shown as “Not yet recorded” rather than invented.</w:t>
      </w:r>
    </w:p>
    <w:p>
      <w:pPr>
        <w:pStyle w:val="ListBullet"/>
      </w:pPr>
      <w:r>
        <w:t>Accessibility: filter buttons expose aria-pressed, the count uses aria-live, and details controls use aria-expanded; continue testing keyboard map interaction.</w:t>
      </w:r>
    </w:p>
    <w:p>
      <w:pPr>
        <w:pStyle w:val="ListBullet"/>
      </w:pPr>
      <w:r>
        <w:t>Security: CSV-derived popup values are HTML-escaped; external scripts and tiles require network access.</w:t>
      </w:r>
    </w:p>
    <w:p>
      <w:pPr>
        <w:pStyle w:val="ListBullet"/>
      </w:pPr>
      <w:r>
        <w:t>Local execution: serve using python -m http.server 8000; file:// will not support the intended CSV fetch reliably.</w:t>
      </w:r>
    </w:p>
    <w:p>
      <w:pPr>
        <w:pStyle w:val="ListBullet"/>
      </w:pPr>
      <w:r>
        <w:t>Failure handling: CSV-fetch errors are caught and displayed in the UI; map tiles also depend on an external network service.</w:t>
      </w:r>
    </w:p>
    <w:p>
      <w:pPr>
        <w:pStyle w:val="Heading1"/>
      </w:pPr>
      <w:r>
        <w:t>9. Verification checklist and current evidence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Acceptance check</w:t>
            </w:r>
          </w:p>
        </w:tc>
        <w:tc>
          <w:tcPr>
            <w:tcW w:type="dxa" w:w="4320"/>
          </w:tcPr>
          <w:p>
            <w:r>
              <w:t>Evidence / status</w:t>
            </w:r>
          </w:p>
        </w:tc>
      </w:tr>
      <w:tr>
        <w:tc>
          <w:tcPr>
            <w:tcW w:type="dxa" w:w="4320"/>
          </w:tcPr>
          <w:p>
            <w:r>
              <w:t>Map displayed in the intended search/filter area</w:t>
            </w:r>
          </w:p>
        </w:tc>
        <w:tc>
          <w:tcPr>
            <w:tcW w:type="dxa" w:w="4320"/>
          </w:tcPr>
          <w:p>
            <w:r>
              <w:t>Sprint2-Task1-Writeup.pdf marks “Passed”; code contains map section inside toolbar.</w:t>
            </w:r>
          </w:p>
        </w:tc>
      </w:tr>
      <w:tr>
        <w:tc>
          <w:tcPr>
            <w:tcW w:type="dxa" w:w="4320"/>
          </w:tcPr>
          <w:p>
            <w:r>
              <w:t>Map shows ETSU campus</w:t>
            </w:r>
          </w:p>
        </w:tc>
        <w:tc>
          <w:tcPr>
            <w:tcW w:type="dxa" w:w="4320"/>
          </w:tcPr>
          <w:p>
            <w:r>
              <w:t>Task 1 writeup marks “Passed”; Leaflet initialization and OSM tile layer present.</w:t>
            </w:r>
          </w:p>
        </w:tc>
      </w:tr>
      <w:tr>
        <w:tc>
          <w:tcPr>
            <w:tcW w:type="dxa" w:w="4320"/>
          </w:tcPr>
          <w:p>
            <w:r>
              <w:t>Mobile map experience</w:t>
            </w:r>
          </w:p>
        </w:tc>
        <w:tc>
          <w:tcPr>
            <w:tcW w:type="dxa" w:w="4320"/>
          </w:tcPr>
          <w:p>
            <w:r>
              <w:t>Mentioned as a test case but result not recorded in Task 1 writeup; should be verified.</w:t>
            </w:r>
          </w:p>
        </w:tc>
      </w:tr>
      <w:tr>
        <w:tc>
          <w:tcPr>
            <w:tcW w:type="dxa" w:w="4320"/>
          </w:tcPr>
          <w:p>
            <w:r>
              <w:t>Marker icons and popup content</w:t>
            </w:r>
          </w:p>
        </w:tc>
        <w:tc>
          <w:tcPr>
            <w:tcW w:type="dxa" w:w="4320"/>
          </w:tcPr>
          <w:p>
            <w:r>
              <w:t>Implementation present in index.html and documented in map-icons design.pdf.</w:t>
            </w:r>
          </w:p>
        </w:tc>
      </w:tr>
      <w:tr>
        <w:tc>
          <w:tcPr>
            <w:tcW w:type="dxa" w:w="4320"/>
          </w:tcPr>
          <w:p>
            <w:r>
              <w:t>Filters synchronize cards and map</w:t>
            </w:r>
          </w:p>
        </w:tc>
        <w:tc>
          <w:tcPr>
            <w:tcW w:type="dxa" w:w="4320"/>
          </w:tcPr>
          <w:p>
            <w:r>
              <w:t>Shared filteredMachines() and renderMarkers() call confirmed in source; browser test recommended.</w:t>
            </w:r>
          </w:p>
        </w:tc>
      </w:tr>
      <w:tr>
        <w:tc>
          <w:tcPr>
            <w:tcW w:type="dxa" w:w="4320"/>
          </w:tcPr>
          <w:p>
            <w:r>
              <w:t>Machines without coordinates remain on list</w:t>
            </w:r>
          </w:p>
        </w:tc>
        <w:tc>
          <w:tcPr>
            <w:tcW w:type="dxa" w:w="4320"/>
          </w:tcPr>
          <w:p>
            <w:r>
              <w:t>Source design supports this; verify interactively during acceptance testing.</w:t>
            </w:r>
          </w:p>
        </w:tc>
      </w:tr>
      <w:tr>
        <w:tc>
          <w:tcPr>
            <w:tcW w:type="dxa" w:w="4320"/>
          </w:tcPr>
          <w:p>
            <w:r>
              <w:t>Production readiness</w:t>
            </w:r>
          </w:p>
        </w:tc>
        <w:tc>
          <w:tcPr>
            <w:tcW w:type="dxa" w:w="4320"/>
          </w:tcPr>
          <w:p>
            <w:r>
              <w:t>Vercel configuration present; live deployment behavior not verified by this document.</w:t>
            </w:r>
          </w:p>
        </w:tc>
      </w:tr>
    </w:tbl>
    <w:p>
      <w:pPr>
        <w:pStyle w:val="Heading1"/>
      </w:pPr>
      <w:r>
        <w:t>10. Constraints and out-of-scope enhancements</w:t>
      </w:r>
    </w:p>
    <w:p>
      <w:r>
        <w:t>The documented baseline does not include routing, turn-by-turn navigation, real-time vending stock status, authenticated machine administration, automatic geocoding, clustering/spiderfying, marker-to-card selection sync, or a separate map legend. Those are potential future backlog items and should not be represented as completed Sprint 2 functionality.</w:t>
      </w:r>
    </w:p>
    <w:p>
      <w:pPr>
        <w:pStyle w:val="Heading1"/>
      </w:pPr>
      <w:r>
        <w:t>11. Implementation traceability</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Sprint 2 item</w:t>
            </w:r>
          </w:p>
        </w:tc>
        <w:tc>
          <w:tcPr>
            <w:tcW w:type="dxa" w:w="4320"/>
          </w:tcPr>
          <w:p>
            <w:r>
              <w:t>Source evidence</w:t>
            </w:r>
          </w:p>
        </w:tc>
      </w:tr>
      <w:tr>
        <w:tc>
          <w:tcPr>
            <w:tcW w:type="dxa" w:w="4320"/>
          </w:tcPr>
          <w:p>
            <w:r>
              <w:t>#1 Integrate map onto webpage</w:t>
            </w:r>
          </w:p>
        </w:tc>
        <w:tc>
          <w:tcPr>
            <w:tcW w:type="dxa" w:w="4320"/>
          </w:tcPr>
          <w:p>
            <w:r>
              <w:t>index.html Leaflet container + initialization; Sprint2-Task1-Writeup.pdf</w:t>
            </w:r>
          </w:p>
        </w:tc>
      </w:tr>
      <w:tr>
        <w:tc>
          <w:tcPr>
            <w:tcW w:type="dxa" w:w="4320"/>
          </w:tcPr>
          <w:p>
            <w:r>
              <w:t>#2 Add vending machines to map</w:t>
            </w:r>
          </w:p>
        </w:tc>
        <w:tc>
          <w:tcPr>
            <w:tcW w:type="dxa" w:w="4320"/>
          </w:tcPr>
          <w:p>
            <w:r>
              <w:t>vending_machines.csv GPS values; parseGPS() and renderMarkers() in index.html</w:t>
            </w:r>
          </w:p>
        </w:tc>
      </w:tr>
      <w:tr>
        <w:tc>
          <w:tcPr>
            <w:tcW w:type="dxa" w:w="4320"/>
          </w:tcPr>
          <w:p>
            <w:r>
              <w:t>#3 Add vending machine map markers</w:t>
            </w:r>
          </w:p>
        </w:tc>
        <w:tc>
          <w:tcPr>
            <w:tcW w:type="dxa" w:w="4320"/>
          </w:tcPr>
          <w:p>
            <w:r>
              <w:t>index.html icon/marker CSS and popups; miscFiles/map-icons design.pdf</w:t>
            </w:r>
          </w:p>
        </w:tc>
      </w:tr>
      <w:tr>
        <w:tc>
          <w:tcPr>
            <w:tcW w:type="dxa" w:w="4320"/>
          </w:tcPr>
          <w:p>
            <w:r>
              <w:t>#4 Determine service to use for map</w:t>
            </w:r>
          </w:p>
        </w:tc>
        <w:tc>
          <w:tcPr>
            <w:tcW w:type="dxa" w:w="4320"/>
          </w:tcPr>
          <w:p>
            <w:r>
              <w:t>Leaflet 1.9.4 + OpenStreetMap tile layer; Task 1 writeup rationale</w:t>
            </w:r>
          </w:p>
        </w:tc>
      </w:tr>
      <w:tr>
        <w:tc>
          <w:tcPr>
            <w:tcW w:type="dxa" w:w="4320"/>
          </w:tcPr>
          <w:p>
            <w:r>
              <w:t>#5 Create high level design for map</w:t>
            </w:r>
          </w:p>
        </w:tc>
        <w:tc>
          <w:tcPr>
            <w:tcW w:type="dxa" w:w="4320"/>
          </w:tcPr>
          <w:p>
            <w:r>
              <w:t>This document, which consolidates the selected implemented design</w:t>
            </w:r>
          </w:p>
        </w:tc>
      </w:tr>
    </w:tbl>
    <w:p>
      <w:r>
        <w:t>Repository baseline reviewed: SnackAttack-dev-sprint-2.zip, supplied 15 October 2026. This design describes source and archived task documentation; it is not a substitute for instructor/team acceptance or live functional testing.</w:t>
      </w:r>
    </w:p>
    <w:sectPr w:rsidR="00FC693F" w:rsidRPr="0006063C" w:rsidSect="00034616">
      <w:headerReference w:type="default" r:id="rId9"/>
      <w:footerReference w:type="default" r:id="rId10"/>
      <w:pgSz w:w="12240" w:h="15840"/>
      <w:pgMar w:top="1152" w:right="1800" w:bottom="1037"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ETSU • SnackAttack • 15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SnackAttack  |  Sprint 2  |  Design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35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35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3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