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bookmarkStart w:id="1" w:name="_GoBack"/>
      <w:bookmarkEnd w:id="1"/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Technical parameters for </w:t>
      </w:r>
      <w:bookmarkStart w:id="0" w:name="OLE_LINK2"/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bookmarkEnd w:id="0"/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</w:p>
    <w:tbl>
      <w:tblPr>
        <w:tblStyle w:val="5"/>
        <w:tblW w:w="9239" w:type="dxa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7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Size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A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ccording to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 xml:space="preserve"> customer’s requirements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Standard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GB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DIN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JIS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BS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ASTM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Material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 Q345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urface treatment 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P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ainted with epoxy paint or zinc rich paint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Package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 xml:space="preserve">In bundle or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pallet or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according to the requirements of customers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Delivery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Container or Bulk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Shipment Time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According to the quantity and specification of each 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Production Usage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lang w:val="en-US" w:eastAsia="zh-CN"/>
              </w:rPr>
              <w:t>Used in industrial or civil fields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Product Characteristics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Fine gloss exterior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anti-corrosive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High strength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satisfactory property of the steel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A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nti-seismic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, wind resistance , environmental protection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4 . Fire-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 xml:space="preserve"> resistant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clean and health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50-year-long life expectancy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Remark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Payment terms :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T/T,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L/C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03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Terms of trade</w:t>
            </w:r>
          </w:p>
        </w:tc>
        <w:tc>
          <w:tcPr>
            <w:tcW w:w="724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FOB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CFR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CIF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EXW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1572"/>
    <w:rsid w:val="706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