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2"/>
          <w:szCs w:val="32"/>
        </w:rPr>
        <w:t xml:space="preserve">Insurance Claims Analysis (MySQL)</w:t>
      </w:r>
    </w:p>
    <w:p>
      <w:pPr>
        <w:spacing w:after="200"/>
        <w:jc w:val="center"/>
      </w:pPr>
      <w:r>
        <w:rPr>
          <w:rFonts w:ascii="Calibri" w:cs="Calibri" w:eastAsia="Calibri" w:hAnsi="Calibri"/>
          <w:color w:val="555555"/>
          <w:sz w:val="20"/>
          <w:szCs w:val="20"/>
        </w:rPr>
        <w:t xml:space="preserve">Ukanwoke Ebubechukwu Daniel  |  Project Summary</w:t>
      </w:r>
    </w:p>
    <w:p>
      <w:pPr>
        <w:pBdr>
          <w:bottom w:val="single" w:color="1F3864" w:sz="6" w:space="2"/>
        </w:pBdr>
        <w:spacing w:after="100" w:before="260"/>
      </w:pPr>
      <w:r>
        <w:rPr>
          <w:rFonts w:ascii="Calibri" w:cs="Calibri" w:eastAsia="Calibri" w:hAnsi="Calibri"/>
          <w:b/>
          <w:bCs/>
          <w:color w:val="1F3864"/>
          <w:sz w:val="26"/>
          <w:szCs w:val="26"/>
        </w:rPr>
        <w:t xml:space="preserve">Overview</w:t>
      </w:r>
    </w:p>
    <w:p>
      <w:pPr>
        <w:spacing w:after="100"/>
      </w:pPr>
      <w:r>
        <w:rPr>
          <w:rFonts w:ascii="Calibri" w:cs="Calibri" w:eastAsia="Calibri" w:hAnsi="Calibri"/>
          <w:color w:val="333333"/>
          <w:sz w:val="20"/>
          <w:szCs w:val="20"/>
        </w:rPr>
        <w:t xml:space="preserve">This project analyzed a relational insurance dataset (customers, policies, and claims tables) using MySQL to answer business questions relevant to underwriting, claims operations, and fraud review. It builds on an earlier SQL data cleaning project (a separate global layoffs dataset) by applying the same rigor to a multi-table, joined analysis — covering table relationships, aggregation, conditional logic, and window functions.</w:t>
      </w:r>
    </w:p>
    <w:p>
      <w:pPr>
        <w:pBdr>
          <w:bottom w:val="single" w:color="1F3864" w:sz="6" w:space="2"/>
        </w:pBdr>
        <w:spacing w:after="100" w:before="260"/>
      </w:pPr>
      <w:r>
        <w:rPr>
          <w:rFonts w:ascii="Calibri" w:cs="Calibri" w:eastAsia="Calibri" w:hAnsi="Calibri"/>
          <w:b/>
          <w:bCs/>
          <w:color w:val="1F3864"/>
          <w:sz w:val="26"/>
          <w:szCs w:val="26"/>
        </w:rPr>
        <w:t xml:space="preserve">Dataset Structure</w:t>
      </w:r>
    </w:p>
    <w:p>
      <w:pPr>
        <w:pStyle w:val="ListParagraph"/>
        <w:numPr>
          <w:ilvl w:val="0"/>
          <w:numId w:val="2"/>
        </w:numPr>
        <w:spacing w:after="40"/>
      </w:pPr>
      <w:r>
        <w:rPr>
          <w:rFonts w:ascii="Calibri" w:cs="Calibri" w:eastAsia="Calibri" w:hAnsi="Calibri"/>
          <w:color w:val="333333"/>
          <w:sz w:val="20"/>
          <w:szCs w:val="20"/>
        </w:rPr>
        <w:t xml:space="preserve">customers — customer_id, name, gender, age, region, signup_date</w:t>
      </w:r>
    </w:p>
    <w:p>
      <w:pPr>
        <w:pStyle w:val="ListParagraph"/>
        <w:numPr>
          <w:ilvl w:val="0"/>
          <w:numId w:val="2"/>
        </w:numPr>
        <w:spacing w:after="40"/>
      </w:pPr>
      <w:r>
        <w:rPr>
          <w:rFonts w:ascii="Calibri" w:cs="Calibri" w:eastAsia="Calibri" w:hAnsi="Calibri"/>
          <w:color w:val="333333"/>
          <w:sz w:val="20"/>
          <w:szCs w:val="20"/>
        </w:rPr>
        <w:t xml:space="preserve">policies — policy_id, customer_id, policy_type, premium_amount, start_date, end_date</w:t>
      </w:r>
    </w:p>
    <w:p>
      <w:pPr>
        <w:pStyle w:val="ListParagraph"/>
        <w:numPr>
          <w:ilvl w:val="0"/>
          <w:numId w:val="2"/>
        </w:numPr>
        <w:spacing w:after="40"/>
      </w:pPr>
      <w:r>
        <w:rPr>
          <w:rFonts w:ascii="Calibri" w:cs="Calibri" w:eastAsia="Calibri" w:hAnsi="Calibri"/>
          <w:color w:val="333333"/>
          <w:sz w:val="20"/>
          <w:szCs w:val="20"/>
        </w:rPr>
        <w:t xml:space="preserve">claims — claim_id, policy_id, claim_type, claim_date, amount_claimed, payout_amount, status, fraud_flag</w:t>
      </w:r>
    </w:p>
    <w:p>
      <w:pPr>
        <w:spacing w:after="100"/>
      </w:pPr>
      <w:r>
        <w:rPr>
          <w:rFonts w:ascii="Calibri" w:cs="Calibri" w:eastAsia="Calibri" w:hAnsi="Calibri"/>
          <w:color w:val="333333"/>
          <w:sz w:val="20"/>
          <w:szCs w:val="20"/>
        </w:rPr>
        <w:t xml:space="preserve">Relationship: one customer can hold multiple policies; one policy can have multiple claims.</w:t>
      </w:r>
    </w:p>
    <w:p>
      <w:pPr>
        <w:pBdr>
          <w:bottom w:val="single" w:color="1F3864" w:sz="6" w:space="2"/>
        </w:pBdr>
        <w:spacing w:after="100" w:before="260"/>
      </w:pPr>
      <w:r>
        <w:rPr>
          <w:rFonts w:ascii="Calibri" w:cs="Calibri" w:eastAsia="Calibri" w:hAnsi="Calibri"/>
          <w:b/>
          <w:bCs/>
          <w:color w:val="1F3864"/>
          <w:sz w:val="26"/>
          <w:szCs w:val="26"/>
        </w:rPr>
        <w:t xml:space="preserve">Key Analysis &amp; Findings</w:t>
      </w:r>
    </w:p>
    <w:p>
      <w:pPr>
        <w:spacing w:after="60" w:before="180"/>
      </w:pPr>
      <w:r>
        <w:rPr>
          <w:rFonts w:ascii="Calibri" w:cs="Calibri" w:eastAsia="Calibri" w:hAnsi="Calibri"/>
          <w:b/>
          <w:bCs/>
          <w:color w:val="1F3864"/>
          <w:sz w:val="21"/>
          <w:szCs w:val="21"/>
        </w:rPr>
        <w:t xml:space="preserve">1. Data Preparation</w:t>
      </w:r>
    </w:p>
    <w:p>
      <w:pPr>
        <w:pStyle w:val="ListParagraph"/>
        <w:numPr>
          <w:ilvl w:val="0"/>
          <w:numId w:val="2"/>
        </w:numPr>
        <w:spacing w:after="40"/>
      </w:pPr>
      <w:r>
        <w:rPr>
          <w:rFonts w:ascii="Calibri" w:cs="Calibri" w:eastAsia="Calibri" w:hAnsi="Calibri"/>
          <w:color w:val="333333"/>
          <w:sz w:val="20"/>
          <w:szCs w:val="20"/>
        </w:rPr>
        <w:t xml:space="preserve">Corrected inconsistent name formatting — removed courtesy title prefixes (Dr., Mrs.) while preserving professional credential suffixes (MD, DDS, DVM) and generational suffixes (Jr.)</w:t>
      </w:r>
    </w:p>
    <w:p>
      <w:pPr>
        <w:pStyle w:val="ListParagraph"/>
        <w:numPr>
          <w:ilvl w:val="0"/>
          <w:numId w:val="2"/>
        </w:numPr>
        <w:spacing w:after="40"/>
      </w:pPr>
      <w:r>
        <w:rPr>
          <w:rFonts w:ascii="Calibri" w:cs="Calibri" w:eastAsia="Calibri" w:hAnsi="Calibri"/>
          <w:color w:val="333333"/>
          <w:sz w:val="20"/>
          <w:szCs w:val="20"/>
        </w:rPr>
        <w:t xml:space="preserve">Standardized inconsistent status casing (e.g., “UNDER REVIEW” → “Under Review”) to prevent fragmented groupings in analysis</w:t>
      </w:r>
    </w:p>
    <w:p>
      <w:pPr>
        <w:pStyle w:val="ListParagraph"/>
        <w:numPr>
          <w:ilvl w:val="0"/>
          <w:numId w:val="2"/>
        </w:numPr>
        <w:spacing w:after="40"/>
      </w:pPr>
      <w:r>
        <w:rPr>
          <w:rFonts w:ascii="Calibri" w:cs="Calibri" w:eastAsia="Calibri" w:hAnsi="Calibri"/>
          <w:color w:val="333333"/>
          <w:sz w:val="20"/>
          <w:szCs w:val="20"/>
        </w:rPr>
        <w:t xml:space="preserve">Converted claim_date from text to a proper DATE data type to enable accurate time-based querying</w:t>
      </w:r>
    </w:p>
    <w:p>
      <w:pPr>
        <w:pStyle w:val="ListParagraph"/>
        <w:numPr>
          <w:ilvl w:val="0"/>
          <w:numId w:val="2"/>
        </w:numPr>
        <w:spacing w:after="40"/>
      </w:pPr>
      <w:r>
        <w:rPr>
          <w:rFonts w:ascii="Calibri" w:cs="Calibri" w:eastAsia="Calibri" w:hAnsi="Calibri"/>
          <w:color w:val="333333"/>
          <w:sz w:val="20"/>
          <w:szCs w:val="20"/>
        </w:rPr>
        <w:t xml:space="preserve">Removed temporary working columns (e.g., row_num) used only for deduplication logic, keeping the final table analysis-ready</w:t>
      </w:r>
    </w:p>
    <w:p>
      <w:pPr>
        <w:spacing w:after="60" w:before="180"/>
      </w:pPr>
      <w:r>
        <w:rPr>
          <w:rFonts w:ascii="Calibri" w:cs="Calibri" w:eastAsia="Calibri" w:hAnsi="Calibri"/>
          <w:b/>
          <w:bCs/>
          <w:color w:val="1F3864"/>
          <w:sz w:val="21"/>
          <w:szCs w:val="21"/>
        </w:rPr>
        <w:t xml:space="preserve">2. Table Joins — Customer, Policy &amp; Claim Relationships</w:t>
      </w:r>
    </w:p>
    <w:p>
      <w:pPr>
        <w:pStyle w:val="ListParagraph"/>
        <w:numPr>
          <w:ilvl w:val="0"/>
          <w:numId w:val="2"/>
        </w:numPr>
        <w:spacing w:after="40"/>
      </w:pPr>
      <w:r>
        <w:rPr>
          <w:rFonts w:ascii="Calibri" w:cs="Calibri" w:eastAsia="Calibri" w:hAnsi="Calibri"/>
          <w:color w:val="333333"/>
          <w:sz w:val="20"/>
          <w:szCs w:val="20"/>
        </w:rPr>
        <w:t xml:space="preserve">Built a full joined report linking customers → policies → claims using correct foreign key relationships</w:t>
      </w:r>
    </w:p>
    <w:p>
      <w:pPr>
        <w:pStyle w:val="ListParagraph"/>
        <w:numPr>
          <w:ilvl w:val="0"/>
          <w:numId w:val="2"/>
        </w:numPr>
        <w:spacing w:after="40"/>
      </w:pPr>
      <w:r>
        <w:rPr>
          <w:rFonts w:ascii="Calibri" w:cs="Calibri" w:eastAsia="Calibri" w:hAnsi="Calibri"/>
          <w:color w:val="333333"/>
          <w:sz w:val="20"/>
          <w:szCs w:val="20"/>
        </w:rPr>
        <w:t xml:space="preserve">Applied INNER JOIN to isolate customers with active policies and claims, and LEFT JOIN to preserve the full customer base — including customers with no policy history — for a complete stakeholder view</w:t>
      </w:r>
    </w:p>
    <w:p>
      <w:pPr>
        <w:pStyle w:val="ListParagraph"/>
        <w:numPr>
          <w:ilvl w:val="0"/>
          <w:numId w:val="2"/>
        </w:numPr>
        <w:spacing w:after="40"/>
      </w:pPr>
      <w:r>
        <w:rPr>
          <w:rFonts w:ascii="Calibri" w:cs="Calibri" w:eastAsia="Calibri" w:hAnsi="Calibri"/>
          <w:color w:val="333333"/>
          <w:sz w:val="20"/>
          <w:szCs w:val="20"/>
        </w:rPr>
        <w:t xml:space="preserve">Quantified the customer base by activity: total customers vs. customers with at least one claim, useful for measuring engagement/conversion</w:t>
      </w:r>
    </w:p>
    <w:p>
      <w:pPr>
        <w:spacing w:after="60" w:before="180"/>
      </w:pPr>
      <w:r>
        <w:rPr>
          <w:rFonts w:ascii="Calibri" w:cs="Calibri" w:eastAsia="Calibri" w:hAnsi="Calibri"/>
          <w:b/>
          <w:bCs/>
          <w:color w:val="1F3864"/>
          <w:sz w:val="21"/>
          <w:szCs w:val="21"/>
        </w:rPr>
        <w:t xml:space="preserve">3. Policy &amp; Claim Volume Analysis</w:t>
      </w:r>
    </w:p>
    <w:p>
      <w:pPr>
        <w:pStyle w:val="ListParagraph"/>
        <w:numPr>
          <w:ilvl w:val="0"/>
          <w:numId w:val="2"/>
        </w:numPr>
        <w:spacing w:after="40"/>
      </w:pPr>
      <w:r>
        <w:rPr>
          <w:rFonts w:ascii="Calibri" w:cs="Calibri" w:eastAsia="Calibri" w:hAnsi="Calibri"/>
          <w:color w:val="333333"/>
          <w:sz w:val="20"/>
          <w:szCs w:val="20"/>
        </w:rPr>
        <w:t xml:space="preserve">Counted policies and claims per customer using COUNT(DISTINCT …) to avoid inflated counts from one-to-many joins</w:t>
      </w:r>
    </w:p>
    <w:p>
      <w:pPr>
        <w:pStyle w:val="ListParagraph"/>
        <w:numPr>
          <w:ilvl w:val="0"/>
          <w:numId w:val="2"/>
        </w:numPr>
        <w:spacing w:after="40"/>
      </w:pPr>
      <w:r>
        <w:rPr>
          <w:rFonts w:ascii="Calibri" w:cs="Calibri" w:eastAsia="Calibri" w:hAnsi="Calibri"/>
          <w:color w:val="333333"/>
          <w:sz w:val="20"/>
          <w:szCs w:val="20"/>
        </w:rPr>
        <w:t xml:space="preserve">Measured claims-per-policy ratio by gender — a fairer comparison than raw counts, since it normalizes for group size</w:t>
      </w:r>
    </w:p>
    <w:p>
      <w:pPr>
        <w:pStyle w:val="ListParagraph"/>
        <w:numPr>
          <w:ilvl w:val="0"/>
          <w:numId w:val="2"/>
        </w:numPr>
        <w:spacing w:after="40"/>
      </w:pPr>
      <w:r>
        <w:rPr>
          <w:rFonts w:ascii="Calibri" w:cs="Calibri" w:eastAsia="Calibri" w:hAnsi="Calibri"/>
          <w:color w:val="333333"/>
          <w:sz w:val="20"/>
          <w:szCs w:val="20"/>
        </w:rPr>
        <w:t xml:space="preserve">Broke down claim volume by status (Approved, Rejected, Pending, Under Review) with percentage share of total claims</w:t>
      </w:r>
    </w:p>
    <w:p>
      <w:pPr>
        <w:spacing w:after="60" w:before="180"/>
      </w:pPr>
      <w:r>
        <w:rPr>
          <w:rFonts w:ascii="Calibri" w:cs="Calibri" w:eastAsia="Calibri" w:hAnsi="Calibri"/>
          <w:b/>
          <w:bCs/>
          <w:color w:val="1F3864"/>
          <w:sz w:val="21"/>
          <w:szCs w:val="21"/>
        </w:rPr>
        <w:t xml:space="preserve">4. Financial Exposure Analysis</w:t>
      </w:r>
    </w:p>
    <w:p>
      <w:pPr>
        <w:pStyle w:val="ListParagraph"/>
        <w:numPr>
          <w:ilvl w:val="0"/>
          <w:numId w:val="2"/>
        </w:numPr>
        <w:spacing w:after="40"/>
      </w:pPr>
      <w:r>
        <w:rPr>
          <w:rFonts w:ascii="Calibri" w:cs="Calibri" w:eastAsia="Calibri" w:hAnsi="Calibri"/>
          <w:color w:val="333333"/>
          <w:sz w:val="20"/>
          <w:szCs w:val="20"/>
        </w:rPr>
        <w:t xml:space="preserve">Calculated total amount claimed vs. total amount paid out, and the resulting shortfall across the full claims book</w:t>
      </w:r>
    </w:p>
    <w:p>
      <w:pPr>
        <w:pStyle w:val="ListParagraph"/>
        <w:numPr>
          <w:ilvl w:val="0"/>
          <w:numId w:val="2"/>
        </w:numPr>
        <w:spacing w:after="40"/>
      </w:pPr>
      <w:r>
        <w:rPr>
          <w:rFonts w:ascii="Calibri" w:cs="Calibri" w:eastAsia="Calibri" w:hAnsi="Calibri"/>
          <w:color w:val="333333"/>
          <w:sz w:val="20"/>
          <w:szCs w:val="20"/>
        </w:rPr>
        <w:t xml:space="preserve">Isolated claims still Pending or Under Review to quantify open financial exposure not yet resolved</w:t>
      </w:r>
    </w:p>
    <w:p>
      <w:pPr>
        <w:pStyle w:val="ListParagraph"/>
        <w:numPr>
          <w:ilvl w:val="0"/>
          <w:numId w:val="2"/>
        </w:numPr>
        <w:spacing w:after="40"/>
      </w:pPr>
      <w:r>
        <w:rPr>
          <w:rFonts w:ascii="Calibri" w:cs="Calibri" w:eastAsia="Calibri" w:hAnsi="Calibri"/>
          <w:color w:val="333333"/>
          <w:sz w:val="20"/>
          <w:szCs w:val="20"/>
        </w:rPr>
        <w:t xml:space="preserve">Broke down the payout gap by status, distinguishing rejected claims, unresolved claims, and the standard reduction applied to approved payouts</w:t>
      </w:r>
    </w:p>
    <w:p>
      <w:pPr>
        <w:spacing w:after="60" w:before="180"/>
      </w:pPr>
      <w:r>
        <w:rPr>
          <w:rFonts w:ascii="Calibri" w:cs="Calibri" w:eastAsia="Calibri" w:hAnsi="Calibri"/>
          <w:b/>
          <w:bCs/>
          <w:color w:val="1F3864"/>
          <w:sz w:val="21"/>
          <w:szCs w:val="21"/>
        </w:rPr>
        <w:t xml:space="preserve">5. Fraud Flag Review</w:t>
      </w:r>
    </w:p>
    <w:p>
      <w:pPr>
        <w:pStyle w:val="ListParagraph"/>
        <w:numPr>
          <w:ilvl w:val="0"/>
          <w:numId w:val="2"/>
        </w:numPr>
        <w:spacing w:after="40"/>
      </w:pPr>
      <w:r>
        <w:rPr>
          <w:rFonts w:ascii="Calibri" w:cs="Calibri" w:eastAsia="Calibri" w:hAnsi="Calibri"/>
          <w:color w:val="333333"/>
          <w:sz w:val="20"/>
          <w:szCs w:val="20"/>
        </w:rPr>
        <w:t xml:space="preserve">Calculated the overall percentage of claims flagged for suspected fraud</w:t>
      </w:r>
    </w:p>
    <w:p>
      <w:pPr>
        <w:pStyle w:val="ListParagraph"/>
        <w:numPr>
          <w:ilvl w:val="0"/>
          <w:numId w:val="2"/>
        </w:numPr>
        <w:spacing w:after="40"/>
      </w:pPr>
      <w:r>
        <w:rPr>
          <w:rFonts w:ascii="Calibri" w:cs="Calibri" w:eastAsia="Calibri" w:hAnsi="Calibri"/>
          <w:color w:val="333333"/>
          <w:sz w:val="20"/>
          <w:szCs w:val="20"/>
        </w:rPr>
        <w:t xml:space="preserve">Identified flagged claims that were still Approved — a process-risk indicator, since these represent suspected-fraud cases where payout occurred anyway</w:t>
      </w:r>
    </w:p>
    <w:p>
      <w:pPr>
        <w:pStyle w:val="ListParagraph"/>
        <w:numPr>
          <w:ilvl w:val="0"/>
          <w:numId w:val="2"/>
        </w:numPr>
        <w:spacing w:after="40"/>
      </w:pPr>
      <w:r>
        <w:rPr>
          <w:rFonts w:ascii="Calibri" w:cs="Calibri" w:eastAsia="Calibri" w:hAnsi="Calibri"/>
          <w:color w:val="333333"/>
          <w:sz w:val="20"/>
          <w:szCs w:val="20"/>
        </w:rPr>
        <w:t xml:space="preserve">Broke down flagged and flagged-approved claims by policy_type to identify where fraud review volume is concentrated</w:t>
      </w:r>
    </w:p>
    <w:p>
      <w:pPr>
        <w:pStyle w:val="ListParagraph"/>
        <w:numPr>
          <w:ilvl w:val="0"/>
          <w:numId w:val="2"/>
        </w:numPr>
        <w:spacing w:after="40"/>
      </w:pPr>
      <w:r>
        <w:rPr>
          <w:rFonts w:ascii="Calibri" w:cs="Calibri" w:eastAsia="Calibri" w:hAnsi="Calibri"/>
          <w:color w:val="333333"/>
          <w:sz w:val="20"/>
          <w:szCs w:val="20"/>
        </w:rPr>
        <w:t xml:space="preserve">Found Travel policies carried the highest volume of flagged and flagged-approved claims, while Life policies (Death Benefit claims) carried the highest single payout amount among flagged-approved claims — highlighting a volume vs. severity distinction relevant to prioritizing fraud review resources</w:t>
      </w:r>
    </w:p>
    <w:p>
      <w:pPr>
        <w:pStyle w:val="ListParagraph"/>
        <w:numPr>
          <w:ilvl w:val="0"/>
          <w:numId w:val="2"/>
        </w:numPr>
        <w:spacing w:after="40"/>
      </w:pPr>
      <w:r>
        <w:rPr>
          <w:rFonts w:ascii="Calibri" w:cs="Calibri" w:eastAsia="Calibri" w:hAnsi="Calibri"/>
          <w:color w:val="333333"/>
          <w:sz w:val="20"/>
          <w:szCs w:val="20"/>
        </w:rPr>
        <w:t xml:space="preserve">Used a window function (MAX/MIN OVER PARTITION BY) to identify the highest- and lowest-value flagged-and-approved payouts within each policy type and claim type category, and traced them back to specific customers for follow-up</w:t>
      </w:r>
    </w:p>
    <w:p>
      <w:pPr>
        <w:pBdr>
          <w:bottom w:val="single" w:color="1F3864" w:sz="6" w:space="2"/>
        </w:pBdr>
        <w:spacing w:after="100" w:before="260"/>
      </w:pPr>
      <w:r>
        <w:rPr>
          <w:rFonts w:ascii="Calibri" w:cs="Calibri" w:eastAsia="Calibri" w:hAnsi="Calibri"/>
          <w:b/>
          <w:bCs/>
          <w:color w:val="1F3864"/>
          <w:sz w:val="26"/>
          <w:szCs w:val="26"/>
        </w:rPr>
        <w:t xml:space="preserve">Tools &amp; Techniques Used</w:t>
      </w:r>
    </w:p>
    <w:p>
      <w:pPr>
        <w:pStyle w:val="ListParagraph"/>
        <w:numPr>
          <w:ilvl w:val="0"/>
          <w:numId w:val="2"/>
        </w:numPr>
        <w:spacing w:after="40"/>
      </w:pPr>
      <w:r>
        <w:rPr>
          <w:rFonts w:ascii="Calibri" w:cs="Calibri" w:eastAsia="Calibri" w:hAnsi="Calibri"/>
          <w:color w:val="333333"/>
          <w:sz w:val="20"/>
          <w:szCs w:val="20"/>
        </w:rPr>
        <w:t xml:space="preserve">MySQL: JOINs (INNER, LEFT), GROUP BY, HAVING, CASE WHEN, subqueries, window functions (PARTITION BY)</w:t>
      </w:r>
    </w:p>
    <w:p>
      <w:pPr>
        <w:pStyle w:val="ListParagraph"/>
        <w:numPr>
          <w:ilvl w:val="0"/>
          <w:numId w:val="2"/>
        </w:numPr>
        <w:spacing w:after="40"/>
      </w:pPr>
      <w:r>
        <w:rPr>
          <w:rFonts w:ascii="Calibri" w:cs="Calibri" w:eastAsia="Calibri" w:hAnsi="Calibri"/>
          <w:color w:val="333333"/>
          <w:sz w:val="20"/>
          <w:szCs w:val="20"/>
        </w:rPr>
        <w:t xml:space="preserve">Data cleaning: TRIM, REPLACE, data type conversion (ALTER TABLE … MODIFY COLUMN)</w:t>
      </w:r>
    </w:p>
    <w:p>
      <w:pPr>
        <w:pStyle w:val="ListParagraph"/>
        <w:numPr>
          <w:ilvl w:val="0"/>
          <w:numId w:val="2"/>
        </w:numPr>
        <w:spacing w:after="40"/>
      </w:pPr>
      <w:r>
        <w:rPr>
          <w:rFonts w:ascii="Calibri" w:cs="Calibri" w:eastAsia="Calibri" w:hAnsi="Calibri"/>
          <w:color w:val="333333"/>
          <w:sz w:val="20"/>
          <w:szCs w:val="20"/>
        </w:rPr>
        <w:t xml:space="preserve">Aggregate functions: COUNT, COUNT(DISTINCT), SUM, MAX, MIN, ROUND</w:t>
      </w:r>
    </w:p>
    <w:p>
      <w:pPr>
        <w:pBdr>
          <w:bottom w:val="single" w:color="1F3864" w:sz="6" w:space="2"/>
        </w:pBdr>
        <w:spacing w:after="100" w:before="260"/>
      </w:pPr>
      <w:r>
        <w:rPr>
          <w:rFonts w:ascii="Calibri" w:cs="Calibri" w:eastAsia="Calibri" w:hAnsi="Calibri"/>
          <w:b/>
          <w:bCs/>
          <w:color w:val="1F3864"/>
          <w:sz w:val="26"/>
          <w:szCs w:val="26"/>
        </w:rPr>
        <w:t xml:space="preserve">Business Value</w:t>
      </w:r>
    </w:p>
    <w:p>
      <w:pPr>
        <w:spacing w:after="100"/>
      </w:pPr>
      <w:r>
        <w:rPr>
          <w:rFonts w:ascii="Calibri" w:cs="Calibri" w:eastAsia="Calibri" w:hAnsi="Calibri"/>
          <w:color w:val="333333"/>
          <w:sz w:val="20"/>
          <w:szCs w:val="20"/>
        </w:rPr>
        <w:t xml:space="preserve">This analysis mirrors the kind of reporting a claims or underwriting team would use to monitor exposure, flag process gaps (e.g., flagged claims still being approved), and prioritize fraud review by both frequency and financial severity — rather than relying on volume alone.</w:t>
      </w:r>
    </w:p>
    <w:p>
      <w:pPr>
        <w:pBdr>
          <w:bottom w:val="single" w:color="1F3864" w:sz="6" w:space="2"/>
        </w:pBdr>
        <w:spacing w:after="100" w:before="260"/>
      </w:pPr>
      <w:r>
        <w:rPr>
          <w:rFonts w:ascii="Calibri" w:cs="Calibri" w:eastAsia="Calibri" w:hAnsi="Calibri"/>
          <w:b/>
          <w:bCs/>
          <w:color w:val="1F3864"/>
          <w:sz w:val="26"/>
          <w:szCs w:val="26"/>
        </w:rPr>
        <w:t xml:space="preserve">Sample Query</w:t>
      </w:r>
    </w:p>
    <w:p>
      <w:pPr>
        <w:spacing w:after="100"/>
      </w:pPr>
      <w:r>
        <w:rPr>
          <w:rFonts w:ascii="Calibri" w:cs="Calibri" w:eastAsia="Calibri" w:hAnsi="Calibri"/>
          <w:color w:val="333333"/>
          <w:sz w:val="20"/>
          <w:szCs w:val="20"/>
        </w:rPr>
        <w:t xml:space="preserve">Fraud exposure summary by policy type:</w:t>
      </w:r>
    </w:p>
    <w:p>
      <w:pPr>
        <w:shd w:fill="F2F2F2" w:val="clear"/>
        <w:spacing w:after="100" w:before="40"/>
        <w:ind w:left="288"/>
      </w:pPr>
      <w:r>
        <w:rPr>
          <w:rFonts w:ascii="Consolas" w:cs="Consolas" w:eastAsia="Consolas" w:hAnsi="Consolas"/>
          <w:color w:val="222222"/>
          <w:sz w:val="18"/>
          <w:szCs w:val="18"/>
        </w:rPr>
        <w:t xml:space="preserve">SELECT policy_type,</w:t>
      </w:r>
    </w:p>
    <w:p>
      <w:pPr>
        <w:shd w:fill="F2F2F2" w:val="clear"/>
        <w:spacing w:after="100" w:before="40"/>
        <w:ind w:left="288"/>
      </w:pPr>
      <w:r>
        <w:rPr>
          <w:rFonts w:ascii="Consolas" w:cs="Consolas" w:eastAsia="Consolas" w:hAnsi="Consolas"/>
          <w:color w:val="222222"/>
          <w:sz w:val="18"/>
          <w:szCs w:val="18"/>
        </w:rPr>
        <w:t xml:space="preserve">    COUNT(DISTINCT CASE WHEN fraud_flag='Yes' THEN claim_id END) AS flagged_claims,</w:t>
      </w:r>
    </w:p>
    <w:p>
      <w:pPr>
        <w:shd w:fill="F2F2F2" w:val="clear"/>
        <w:spacing w:after="100" w:before="40"/>
        <w:ind w:left="288"/>
      </w:pPr>
      <w:r>
        <w:rPr>
          <w:rFonts w:ascii="Consolas" w:cs="Consolas" w:eastAsia="Consolas" w:hAnsi="Consolas"/>
          <w:color w:val="222222"/>
          <w:sz w:val="18"/>
          <w:szCs w:val="18"/>
        </w:rPr>
        <w:t xml:space="preserve">    COUNT(DISTINCT CASE WHEN fraud_flag='Yes' AND status='Approved'</w:t>
      </w:r>
    </w:p>
    <w:p>
      <w:pPr>
        <w:shd w:fill="F2F2F2" w:val="clear"/>
        <w:spacing w:after="100" w:before="40"/>
        <w:ind w:left="288"/>
      </w:pPr>
      <w:r>
        <w:rPr>
          <w:rFonts w:ascii="Consolas" w:cs="Consolas" w:eastAsia="Consolas" w:hAnsi="Consolas"/>
          <w:color w:val="222222"/>
          <w:sz w:val="18"/>
          <w:szCs w:val="18"/>
        </w:rPr>
        <w:t xml:space="preserve">        THEN claim_id END) AS flagged_and_approved</w:t>
      </w:r>
    </w:p>
    <w:p>
      <w:pPr>
        <w:shd w:fill="F2F2F2" w:val="clear"/>
        <w:spacing w:after="100" w:before="40"/>
        <w:ind w:left="288"/>
      </w:pPr>
      <w:r>
        <w:rPr>
          <w:rFonts w:ascii="Consolas" w:cs="Consolas" w:eastAsia="Consolas" w:hAnsi="Consolas"/>
          <w:color w:val="222222"/>
          <w:sz w:val="18"/>
          <w:szCs w:val="18"/>
        </w:rPr>
        <w:t xml:space="preserve">FROM claims_full_report2</w:t>
      </w:r>
    </w:p>
    <w:p>
      <w:pPr>
        <w:shd w:fill="F2F2F2" w:val="clear"/>
        <w:spacing w:after="100" w:before="40"/>
        <w:ind w:left="288"/>
      </w:pPr>
      <w:r>
        <w:rPr>
          <w:rFonts w:ascii="Consolas" w:cs="Consolas" w:eastAsia="Consolas" w:hAnsi="Consolas"/>
          <w:color w:val="222222"/>
          <w:sz w:val="18"/>
          <w:szCs w:val="18"/>
        </w:rPr>
        <w:t xml:space="preserve">GROUP BY policy_type</w:t>
      </w:r>
    </w:p>
    <w:p>
      <w:pPr>
        <w:shd w:fill="F2F2F2" w:val="clear"/>
        <w:spacing w:after="100" w:before="40"/>
        <w:ind w:left="288"/>
      </w:pPr>
      <w:r>
        <w:rPr>
          <w:rFonts w:ascii="Consolas" w:cs="Consolas" w:eastAsia="Consolas" w:hAnsi="Consolas"/>
          <w:color w:val="222222"/>
          <w:sz w:val="18"/>
          <w:szCs w:val="18"/>
        </w:rPr>
        <w:t xml:space="preserve">ORDER BY flagged_claims DESC;</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2026-08-26T22:36:41.089Z</dcterms:created>
  <dcterms:modified xsi:type="dcterms:W3CDTF">2026-08-26T22:36:41.100Z</dcterms:modified>
</cp:coreProperties>
</file>

<file path=docProps/custom.xml><?xml version="1.0" encoding="utf-8"?>
<Properties xmlns="http://schemas.openxmlformats.org/officeDocument/2006/custom-properties" xmlns:vt="http://schemas.openxmlformats.org/officeDocument/2006/docPropsVTypes"/>
</file>