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4717" w14:textId="2756959D" w:rsidR="00C22E97" w:rsidRPr="00C9351C" w:rsidRDefault="00C22E97" w:rsidP="001B4078">
      <w:pPr>
        <w:pStyle w:val="a8"/>
        <w:rPr>
          <w:color w:val="000000"/>
        </w:rPr>
      </w:pPr>
      <w:hyperlink r:id="rIdHyperlink" w:history="1">
        <w:r w:rsidRPr="00C9351C">
          <w:rPr>
            <w:rStyle w:val="ac"/>
            <w:rFonts w:ascii="SimSun" w:eastAsia="SimSun" w:hAnsi="SimSun"/>
            <w:color w:val="000000"/>
          </w:rPr>
          <w:t>孙秀花、焦征艳再审审查与审判监督行政裁定书</w:t>
        </w:r>
      </w:hyperlink>
    </w:p>
    <w:p w14:paraId="24459C13" w14:textId="392D7E47" w:rsidR="009B136D" w:rsidRPr="009B136D" w:rsidRDefault="009B136D" w:rsidP="0038202C">
      <w:pPr>
        <w:pStyle w:val="aa"/>
        <w:spacing w:before="211"/>
        <w:ind w:firstLine="480"/>
      </w:pPr>
      <w:r w:rsidRPr="009B136D">
        <w:rPr>
          <w:rFonts w:ascii="SimSun" w:eastAsia="SimSun" w:hAnsi="SimSun"/>
        </w:rPr>
        <w:t>审理法院</w:t>
      </w:r>
      <w:r w:rsidRPr="009B136D">
        <w:rPr>
          <w:rFonts w:ascii="SimSun" w:eastAsia="SimSun" w:hAnsi="SimSun"/>
        </w:rPr>
        <w:t>：</w:t>
      </w:r>
      <w:r w:rsidR="000B5500">
        <w:rPr>
          <w:rFonts w:ascii="SimSun" w:eastAsia="SimSun" w:hAnsi="SimSun"/>
        </w:rPr>
        <w:t xml:space="preserve">　</w:t>
      </w:r>
      <w:r w:rsidRPr="0038202C">
        <w:rPr>
          <w:rFonts w:ascii="SimSun" w:eastAsia="SimSun" w:hAnsi="SimSun"/>
          <w:b w:val="0"/>
        </w:rPr>
        <w:t>最高人民法院</w:t>
      </w:r>
    </w:p>
    <w:p w14:paraId="0417337D" w14:textId="1AE06093" w:rsidR="009B136D" w:rsidRPr="009B136D" w:rsidRDefault="009B136D" w:rsidP="0038202C">
      <w:pPr>
        <w:pStyle w:val="aa"/>
        <w:spacing w:before="211"/>
        <w:ind w:firstLine="480"/>
      </w:pPr>
      <w:r w:rsidRPr="009B136D">
        <w:rPr>
          <w:rFonts w:ascii="SimSun" w:eastAsia="SimSun" w:hAnsi="SimSun"/>
        </w:rPr>
        <w:t>案</w:t>
      </w:r>
      <w:r w:rsidR="005A5DC5">
        <w:rPr>
          <w:rFonts w:ascii="SimSun" w:eastAsia="SimSun" w:hAnsi="SimSun"/>
        </w:rPr>
        <w:t xml:space="preserve">　　</w:t>
      </w:r>
      <w:r w:rsidRPr="009B136D">
        <w:rPr>
          <w:rFonts w:ascii="SimSun" w:eastAsia="SimSun" w:hAnsi="SimSun"/>
        </w:rPr>
        <w:t>号</w:t>
      </w:r>
      <w:r w:rsidRPr="009B136D">
        <w:rPr>
          <w:rFonts w:ascii="SimSun" w:eastAsia="SimSun" w:hAnsi="SimSun"/>
        </w:rPr>
        <w:t>：</w:t>
      </w:r>
      <w:r w:rsidR="000B5500">
        <w:rPr>
          <w:rFonts w:ascii="SimSun" w:eastAsia="SimSun" w:hAnsi="SimSun"/>
        </w:rPr>
        <w:t xml:space="preserve">　</w:t>
      </w:r>
      <w:r w:rsidR="0023484A" w:rsidRPr="0023484A">
        <w:rPr>
          <w:rFonts w:ascii="SimSun" w:eastAsia="SimSun" w:hAnsi="SimSun"/>
          <w:b w:val="0"/>
        </w:rPr>
        <w:t>（2020）最高法行申89号</w:t>
      </w:r>
    </w:p>
    <w:p w14:paraId="091EF178" w14:textId="3947E513" w:rsidR="009B136D" w:rsidRPr="009B136D" w:rsidRDefault="009B136D" w:rsidP="0038202C">
      <w:pPr>
        <w:pStyle w:val="aa"/>
        <w:spacing w:before="211"/>
        <w:ind w:firstLine="480"/>
      </w:pPr>
      <w:r w:rsidRPr="009B136D">
        <w:rPr>
          <w:rFonts w:ascii="SimSun" w:eastAsia="SimSun" w:hAnsi="SimSun"/>
        </w:rPr>
        <w:t>案</w:t>
      </w:r>
      <w:r w:rsidR="005A5DC5">
        <w:rPr>
          <w:rFonts w:ascii="SimSun" w:eastAsia="SimSun" w:hAnsi="SimSun"/>
        </w:rPr>
        <w:t xml:space="preserve">　　</w:t>
      </w:r>
      <w:r w:rsidRPr="009B136D">
        <w:rPr>
          <w:rFonts w:ascii="SimSun" w:eastAsia="SimSun" w:hAnsi="SimSun"/>
        </w:rPr>
        <w:t>由</w:t>
      </w:r>
      <w:r w:rsidRPr="009B136D">
        <w:rPr>
          <w:rFonts w:ascii="SimSun" w:eastAsia="SimSun" w:hAnsi="SimSun"/>
        </w:rPr>
        <w:t>：</w:t>
      </w:r>
      <w:r w:rsidR="000B5500">
        <w:rPr>
          <w:rFonts w:ascii="SimSun" w:eastAsia="SimSun" w:hAnsi="SimSun"/>
        </w:rPr>
        <w:t xml:space="preserve">　</w:t>
      </w:r>
      <w:r w:rsidRPr="0038202C">
        <w:rPr>
          <w:rFonts w:ascii="SimSun" w:eastAsia="SimSun" w:hAnsi="SimSun"/>
          <w:b w:val="0"/>
        </w:rPr>
        <w:t>其他行政行为</w:t>
      </w:r>
      <w:bookmarkStart w:id="0" w:name="_GoBack"/>
      <w:bookmarkEnd w:id="0"/>
    </w:p>
    <w:p w14:paraId="1B119224" w14:textId="4A69E4DD" w:rsidR="00353B19" w:rsidRPr="00353B19" w:rsidRDefault="009B136D" w:rsidP="00353B19">
      <w:pPr>
        <w:pStyle w:val="aa"/>
        <w:spacing w:before="211"/>
        <w:ind w:firstLine="480"/>
        <w:rPr>
          <w:b w:val="0"/>
        </w:rPr>
      </w:pPr>
      <w:r w:rsidRPr="009B136D">
        <w:rPr>
          <w:rFonts w:ascii="SimSun" w:eastAsia="SimSun" w:hAnsi="SimSun"/>
        </w:rPr>
        <w:t>裁判</w:t>
      </w:r>
      <w:r w:rsidRPr="009B136D">
        <w:rPr>
          <w:rFonts w:ascii="SimSun" w:eastAsia="SimSun" w:hAnsi="SimSun"/>
        </w:rPr>
        <w:t>日期：</w:t>
      </w:r>
      <w:r w:rsidR="000B5500">
        <w:rPr>
          <w:rFonts w:ascii="SimSun" w:eastAsia="SimSun" w:hAnsi="SimSun"/>
        </w:rPr>
        <w:t xml:space="preserve">　</w:t>
      </w:r>
      <w:r w:rsidRPr="0038202C">
        <w:rPr>
          <w:rFonts w:ascii="SimSun" w:eastAsia="SimSun" w:hAnsi="SimSun"/>
          <w:b w:val="0"/>
        </w:rPr>
        <w:t>2020年09月02日</w:t>
      </w:r>
    </w:p>
    <w:p w14:paraId="6A82092E" w14:textId="77777777" w:rsidR="00C22E97" w:rsidRPr="009D53B9" w:rsidRDefault="00C22E97" w:rsidP="00F93335">
      <w:pPr>
        <w:pStyle w:val="1"/>
        <w:spacing w:beforeLines="100" w:before="423" w:line="240" w:lineRule="exact"/>
      </w:pPr>
      <w:r w:rsidRPr="009D53B9">
        <w:rPr>
          <w:rFonts w:ascii="SimSun" w:eastAsia="SimSun" w:hAnsi="SimSun"/>
        </w:rPr>
        <w:t>最高人民法院</w:t>
      </w:r>
    </w:p>
    <w:p w14:paraId="19A72306" w14:textId="77777777" w:rsidR="00C22E97" w:rsidRPr="009D53B9" w:rsidRDefault="00C22E97" w:rsidP="00F93335">
      <w:pPr>
        <w:pStyle w:val="1"/>
        <w:spacing w:line="240" w:lineRule="exact"/>
      </w:pPr>
      <w:r w:rsidRPr="009D53B9">
        <w:rPr>
          <w:rFonts w:ascii="SimSun" w:eastAsia="SimSun" w:hAnsi="SimSun"/>
        </w:rPr>
        <w:t>行政裁定书</w:t>
      </w:r>
    </w:p>
    <w:p w14:paraId="3BF75394" w14:textId="77777777" w:rsidR="00C22E97" w:rsidRPr="00D4147E" w:rsidRDefault="00C22E97" w:rsidP="0038202C">
      <w:pPr>
        <w:spacing w:before="211"/>
        <w:ind w:firstLine="480"/>
        <w:jc w:val="right"/>
      </w:pPr>
      <w:r w:rsidRPr="00D4147E">
        <w:rPr>
          <w:rFonts w:ascii="SimSun" w:eastAsia="SimSun" w:hAnsi="SimSun"/>
        </w:rPr>
        <w:t>（2020）最高法行申89号</w:t>
      </w:r>
    </w:p>
    <!-- 正文 -->
    <!-- 当事人 --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再审申请人（一审原告、二审上诉人）：孙秀花，女，1956年10月21日出生，汉族，住河南省郑州市。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再审申请人（一审原告、二审上诉人）：焦征艳，女，1981年1月7日出生，汉族，住河南省郑州市。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再审申请人（一审原告、二审上诉人）：焦峰超，男，1991年4月29日出生，汉族，住河南省郑州市。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共同委托诉讼代理人：徐雅超，河南中豫律师事务所律师。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共同委托诉讼代理人：贾光娟，河南中豫律师事务所律师。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被申请人（一审被告、二审被上诉人）：河南省郑州市郑东新区管理委员会，住所地河南省郑州市郑东新区商务外环路22号。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法定代表人：王鹏，该管理委员会主任。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委托诉讼代理人：王鑫敏，该管理委员会工作人员。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委托诉讼代理人：黄琨，河南荟智源策律师事务所律师。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被申请人（一审被告、二审被上诉人）：河南省郑州市郑东新区商都路办事处，住所地河南省郑州市郑东新区万通街与康平路交叉口。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法定代表人：张俊忠，该办事处主任。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委托诉讼代理人：武英林，上海锦天城（郑州）律师事务所律师。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委托诉讼代理人：吴跃永，上海锦天城（郑州）律师事务所律师。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被申请人（一审被告、二审被上诉人）：河南省郑东新区商都路办事处白佛村村民委员会，住所地河南省郑州市郑东新区博学路与莲湖路交叉口向东800米。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法定代表人：焦保富，该村民委员会主任。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委托诉讼代理人：武英林，上海锦天城（郑州）律师事务所律师。</w:t>
      </w:r>
    </w:p>
    <w:p w14:paraId="1A4E29A9" w14:textId="77777777" w:rsidR="00C22E97" w:rsidRPr="00D4147E" w:rsidRDefault="00C22E97" w:rsidP="009D53B9">
      <w:pPr>
        <w:spacing w:beforeLines="0" w:before="0"/>
        <w:ind w:firstLine="480"/>
        <w:rPr>
          <w:rFonts w:ascii="SimSun" w:eastAsia="SimSun" w:hAnsi="SimSun"/>
        </w:rPr>
      </w:pPr>
      <w:r w:rsidRPr="00D4147E">
        <w:rPr>
          <w:rFonts w:ascii="SimSun" w:eastAsia="SimSun" w:hAnsi="SimSun"/>
        </w:rPr>
        <w:t>委托诉讼代理人：吴跃永，上海锦天城（郑州）律师事务所律师。</w:t>
      </w:r>
    </w:p>
    <!-- 内容 -->
    <w:p w14:paraId="42318F3F" w14:textId="77777777" w:rsidR="00C22E97" w:rsidRPr="003F7DB5" w:rsidRDefault="00C22E97" w:rsidP="009D53B9">
      <w:pPr>
        <w:spacing w:before="211"/>
        <w:ind w:firstLine="480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再审申请人孙秀花、焦征艳、焦峰超（以下简称孙秀花等3人）因诉河南省郑州市郑东新区管理委员会（以下简称郑东新区管委会）、河南省郑州市郑东新区商都路办事处（以下简称商都路办事处）、河南省郑州市郑东新区商都路办事处白佛村村民委员会（以下简称白佛村委会）履行行政协议一案，不服河南省高级人民法院（2019）豫行终1663号行政判决，向本院申请再审。本院依法组成合议庭对本案进行了审查，并于2020年7月20日就本案组织询问。再审申请人孙秀花等3人的共同委托诉讼代理人徐雅超和贾光娟、被申请人郑东新区管委会的委托诉讼代理人王鑫敏和黄琨、被申请人商都路办事处、白佛村委会的共同委托诉讼代理人武英林和吴跃永到庭参加询问，本案现已审查终结。</w:t>
      </w:r>
    </w:p>
    <w:p w14:paraId="42318F3F" w14:textId="77777777" w:rsidR="00C22E97" w:rsidRPr="003F7DB5" w:rsidRDefault="00C22E97" w:rsidP="009D53B9">
      <w:pPr>
        <w:spacing w:before="211"/>
        <w:ind w:firstLine="480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孙秀花等3人申请再审称：一、原审法院认定事实错误。（一）申请人签订的《郑东新区商都路办事处村民住宅拆迁协议书》（以下简称案涉协议）中并未对拆迁、补偿、安置等各项内容进行约定，上述内容是在与每户被征迁户签订的《村民住房申报表》、《建设项目被征地村民户口登记表》、《郑东新区建设用地补偿费用结算总表》中进行约定的，故上述表格应当和案涉协议是一体的，是案涉协议的共同内容。（二）郑东文[2012]202号《穆庄白佛征迁安置补偿实施方案》在案涉协议签订前没有向白佛村村民公示，不能作为本案的证据及依据。（三）申请人家庭在老人去世前已经按照《村民住房申报表》上的人口数量被扣除了41000元/每人的购房款，该款项至今未退，也未分房。二、原审法院适用法律错误。（一）是否给予安置房福利属于赋权性行政行为，应选择较为宽松的审查标准，当行政约定与行政规定相矛盾时，应优先适用行政约定，且案涉协议并不违反合同法等法律、法规的强制性规定。（二）诚实信用原则是行政法的基本原则，被申请人在回迁安置前已经与申请人签订案涉协议及相关附件，并收取了相应的购房款，就应当按照案涉协议及附件所确定的人数分配安置房。综上，原审判决认定事实不清，适用法律错误，请求撤销原审判决，改判支持申请人一审的诉讼请求。</w:t>
      </w:r>
    </w:p>
    <w:p w14:paraId="42318F3F" w14:textId="77777777" w:rsidR="00C22E97" w:rsidRPr="003F7DB5" w:rsidRDefault="00C22E97" w:rsidP="009D53B9">
      <w:pPr>
        <w:spacing w:before="211"/>
        <w:ind w:firstLine="480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本院经审查认为，孙秀花等3人提起本案诉讼，请求判令被申请人按照案涉协议的内容，为其已故家庭成员分配70平方米安置房。原审法院查明，案涉协议在第二条约定由征迁人严格按照相关法律、法规和《穆庄白佛征迁安置补偿实施方案》规定的程序和标准，对被征迁人兑付补偿费用，但是对于安置人口如何确定、安置房如何分配在案涉协议中没有明确约定。2012年10月10日郑东新区管委会印发的《穆庄白佛征迁安置补偿方案》中关于“人口界定”部分明确“2002年7月22日以后至发布回迁公告之日，死亡人员不享受安置补偿。”案涉征迁项目的回迁安置方案最终确定2015年12月31日为人口界定截止日，该日之前死亡的不享受住房安置。因申请人的家庭成员于案涉协议签订后、回迁公告发布前就已去世，因此，申请人要求按照案涉协议为其已故家庭成员分配安置房的主张，没有事实根据。原审判决驳回诉讼请求，并无不当。</w:t>
      </w:r>
    </w:p>
    <w:p w14:paraId="42318F3F" w14:textId="77777777" w:rsidR="00C22E97" w:rsidRPr="003F7DB5" w:rsidRDefault="00C22E97" w:rsidP="009D53B9">
      <w:pPr>
        <w:spacing w:before="211"/>
        <w:ind w:firstLine="480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本案需要特别指出的是，相较于国有土地上房屋征收侧重于被征收房屋价值的补偿，集体土地上房屋征收更侧重于被征迁集体经济组织成员的安置。实践中，从征迁工作启动到安置房建成分配，需要经历一段时间，在此时间段内集体经济组织内人口因出生、死亡、婚姻关系发生变化等原因，数量处在不断变化中。因此，确定一个时间节点来界定需安置对象及数量就显得尤为重要。无论如何确定，总有一部分人认为因此而利益受损，如将征迁公告发布之时作为安置对象的确定时点，则征迁公告发布后至安置房回迁安置前出生的人员就不能获得安置；如将回迁安置时作为安置对象的确定时点，则安置房建成分配前去世人员的家属可能会觉得利益受损。所以，只要该时点的确定对全体征迁项目内集体组织成员普遍适用、符合绝大多数成员的利益，就无明显不当。</w:t>
      </w:r>
    </w:p>
    <w:p w14:paraId="42318F3F" w14:textId="77777777" w:rsidR="00C22E97" w:rsidRPr="003F7DB5" w:rsidRDefault="00C22E97" w:rsidP="009D53B9">
      <w:pPr>
        <w:spacing w:before="211"/>
        <w:ind w:firstLine="480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综上，孙秀花等3人的再审申请不符合《中华人民共和国行政诉讼法》第九十一条规定的情形。依照《最高人民法院关于适用&lt;中华人民共和国行政诉讼法&gt;的解释》第一百一十六条第二款之规定，裁定如下：</w:t>
      </w:r>
    </w:p>
    <w:p w14:paraId="42318F3F" w14:textId="77777777" w:rsidR="00C22E97" w:rsidRPr="003F7DB5" w:rsidRDefault="00C22E97" w:rsidP="009D53B9">
      <w:pPr>
        <w:spacing w:before="211"/>
        <w:ind w:firstLine="480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驳回孙秀花、焦征艳、焦峰超的再审申请。</w:t>
      </w:r>
    </w:p>
    <!-- 审判员 -->
    <w:p w14:paraId="5C189A8C" w14:textId="675BD8FF" w:rsidR="00C22E97" w:rsidRDefault="00C22E97" w:rsidP="009D53B9">
      <w:pPr>
        <w:spacing w:beforeLines="0" w:before="0"/>
        <w:ind w:firstLine="480"/>
        <w:jc w:val="right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审判长　李小梅</w:t>
      </w:r>
    </w:p>
    <w:p w14:paraId="5C189A8C" w14:textId="675BD8FF" w:rsidR="00C22E97" w:rsidRDefault="00C22E97" w:rsidP="009D53B9">
      <w:pPr>
        <w:spacing w:beforeLines="0" w:before="0"/>
        <w:ind w:firstLine="480"/>
        <w:jc w:val="right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审判员　聂振华</w:t>
      </w:r>
    </w:p>
    <w:p w14:paraId="5C189A8C" w14:textId="675BD8FF" w:rsidR="00C22E97" w:rsidRDefault="00C22E97" w:rsidP="009D53B9">
      <w:pPr>
        <w:spacing w:beforeLines="0" w:before="0"/>
        <w:ind w:firstLine="480"/>
        <w:jc w:val="right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审判员　袁晓磊</w:t>
      </w:r>
    </w:p>
    <w:p w14:paraId="5C189A8C" w14:textId="675BD8FF" w:rsidR="00C22E97" w:rsidRDefault="00C22E97" w:rsidP="009D53B9">
      <w:pPr>
        <w:spacing w:beforeLines="0" w:before="0"/>
        <w:ind w:firstLine="480"/>
        <w:jc w:val="right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二〇二〇年九月二日</w:t>
      </w:r>
    </w:p>
    <w:p w14:paraId="5C189A8C" w14:textId="675BD8FF" w:rsidR="00C22E97" w:rsidRDefault="00C22E97" w:rsidP="009D53B9">
      <w:pPr>
        <w:spacing w:beforeLines="0" w:before="0"/>
        <w:ind w:firstLine="480"/>
        <w:jc w:val="right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法官助理　章文英</w:t>
      </w:r>
    </w:p>
    <w:p w14:paraId="5C189A8C" w14:textId="675BD8FF" w:rsidR="00C22E97" w:rsidRDefault="00C22E97" w:rsidP="009D53B9">
      <w:pPr>
        <w:spacing w:beforeLines="0" w:before="0"/>
        <w:ind w:firstLine="480"/>
        <w:jc w:val="right"/>
        <w:rPr>
          <w:rFonts w:ascii="SimSun" w:eastAsia="SimSun" w:hAnsi="SimSun"/>
        </w:rPr>
      </w:pPr>
      <w:r w:rsidRPr="003F7DB5">
        <w:rPr>
          <w:rFonts w:ascii="SimSun" w:eastAsia="SimSun" w:hAnsi="SimSun"/>
        </w:rPr>
        <w:t>书记员　刘会贞</w:t>
      </w:r>
    </w:p>
    <!-- 附件 -->
    <w:sectPr w:rsidR="00B9313F" w:rsidSect="006262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B9C5" w14:textId="77777777" w:rsidR="008D479F" w:rsidRDefault="008D479F" w:rsidP="0038202C">
      <w:pPr>
        <w:spacing w:before="120"/>
        <w:ind w:firstLine="480"/>
      </w:pPr>
      <w:r>
        <w:separator/>
      </w:r>
    </w:p>
    <w:p w14:paraId="27156ABF" w14:textId="77777777" w:rsidR="008D479F" w:rsidRDefault="008D479F" w:rsidP="0038202C">
      <w:pPr>
        <w:spacing w:before="120"/>
        <w:ind w:firstLine="480"/>
      </w:pPr>
    </w:p>
  </w:endnote>
  <w:endnote w:type="continuationSeparator" w:id="0">
    <w:p w14:paraId="3500DF53" w14:textId="77777777" w:rsidR="008D479F" w:rsidRDefault="008D479F" w:rsidP="0038202C">
      <w:pPr>
        <w:spacing w:before="120"/>
        <w:ind w:firstLine="480"/>
      </w:pPr>
      <w:r>
        <w:continuationSeparator/>
      </w:r>
    </w:p>
    <w:p w14:paraId="7D8430F7" w14:textId="77777777" w:rsidR="008D479F" w:rsidRDefault="008D479F" w:rsidP="0038202C">
      <w:pPr>
        <w:spacing w:before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标题 CS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70C" w14:textId="73AE6023" w:rsidR="00BE2026" w:rsidRDefault="00C22E97" w:rsidP="0038202C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C064FEC" w14:textId="77777777" w:rsidR="00E709D0" w:rsidRDefault="00C22E97" w:rsidP="0038202C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350565" w14:textId="77777777" w:rsidR="00E709D0" w:rsidRDefault="008D479F" w:rsidP="0038202C">
    <w:pPr>
      <w:pStyle w:val="a5"/>
      <w:spacing w:before="120"/>
      <w:ind w:firstLine="360"/>
    </w:pPr>
  </w:p>
  <w:p w14:paraId="3D0339DF" w14:textId="77777777" w:rsidR="006E1723" w:rsidRDefault="006E1723" w:rsidP="0038202C">
    <w:pPr>
      <w:spacing w:before="12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3EB79" w14:textId="6771E145" w:rsidR="006E1723" w:rsidRPr="00F30576" w:rsidRDefault="00C04E12" w:rsidP="002A3526">
    <w:pPr>
      <w:spacing w:before="120"/>
      <w:ind w:firstLineChars="0" w:firstLine="0"/>
      <w:jc w:val="center"/>
      <w:rPr>
        <w:rFonts w:ascii="宋体" w:eastAsia="宋体" w:hAnsi="宋体"/>
        <w:sz w:val="18"/>
        <w:szCs w:val="18"/>
      </w:rPr>
    </w:pPr>
    <w:r w:rsidRPr="00F30576">
      <w:rPr>
        <w:rFonts w:ascii="宋体" w:eastAsia="宋体" w:hAnsi="宋体"/>
        <w:sz w:val="18"/>
        <w:szCs w:val="18"/>
      </w:rPr>
      <w:fldChar w:fldCharType="begin"/>
    </w:r>
    <w:r w:rsidRPr="00F30576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F30576">
      <w:rPr>
        <w:rFonts w:ascii="宋体" w:eastAsia="宋体" w:hAnsi="宋体"/>
        <w:sz w:val="18"/>
        <w:szCs w:val="18"/>
      </w:rPr>
      <w:fldChar w:fldCharType="separate"/>
    </w:r>
    <w:r w:rsidRPr="00F30576">
      <w:rPr>
        <w:rFonts w:ascii="宋体" w:eastAsia="宋体" w:hAnsi="宋体"/>
        <w:noProof/>
        <w:sz w:val="18"/>
        <w:szCs w:val="18"/>
      </w:rPr>
      <w:t>1</w:t>
    </w:r>
    <w:r w:rsidRPr="00F30576">
      <w:rPr>
        <w:rFonts w:ascii="宋体" w:eastAsia="宋体" w:hAnsi="宋体"/>
        <w:sz w:val="18"/>
        <w:szCs w:val="18"/>
      </w:rPr>
      <w:fldChar w:fldCharType="end"/>
    </w:r>
    <w:r w:rsidRPr="00F30576">
      <w:rPr>
        <w:rFonts w:ascii="宋体" w:eastAsia="宋体" w:hAnsi="宋体"/>
        <w:sz w:val="18"/>
        <w:szCs w:val="18"/>
      </w:rPr>
      <w:t xml:space="preserve"> </w:t>
    </w:r>
    <w:r w:rsidR="002A3526" w:rsidRPr="00F30576">
      <w:rPr>
        <w:rFonts w:ascii="宋体" w:eastAsia="宋体" w:hAnsi="宋体" w:hint="eastAsia"/>
        <w:sz w:val="18"/>
        <w:szCs w:val="18"/>
      </w:rPr>
      <w:t>/</w:t>
    </w:r>
    <w:r w:rsidRPr="00F30576">
      <w:rPr>
        <w:rFonts w:ascii="宋体" w:eastAsia="宋体" w:hAnsi="宋体"/>
        <w:sz w:val="18"/>
        <w:szCs w:val="18"/>
      </w:rPr>
      <w:t xml:space="preserve"> </w:t>
    </w:r>
    <w:r w:rsidRPr="00F30576">
      <w:rPr>
        <w:rFonts w:ascii="宋体" w:eastAsia="宋体" w:hAnsi="宋体"/>
        <w:sz w:val="18"/>
        <w:szCs w:val="18"/>
      </w:rPr>
      <w:fldChar w:fldCharType="begin"/>
    </w:r>
    <w:r w:rsidRPr="00F30576">
      <w:rPr>
        <w:rFonts w:ascii="宋体" w:eastAsia="宋体" w:hAnsi="宋体"/>
        <w:sz w:val="18"/>
        <w:szCs w:val="18"/>
      </w:rPr>
      <w:instrText xml:space="preserve"> NUMPAGES  \* MERGEFORMAT </w:instrText>
    </w:r>
    <w:r w:rsidRPr="00F30576">
      <w:rPr>
        <w:rFonts w:ascii="宋体" w:eastAsia="宋体" w:hAnsi="宋体"/>
        <w:sz w:val="18"/>
        <w:szCs w:val="18"/>
      </w:rPr>
      <w:fldChar w:fldCharType="separate"/>
    </w:r>
    <w:r w:rsidRPr="00F30576">
      <w:rPr>
        <w:rFonts w:ascii="宋体" w:eastAsia="宋体" w:hAnsi="宋体"/>
        <w:noProof/>
        <w:sz w:val="18"/>
        <w:szCs w:val="18"/>
      </w:rPr>
      <w:t>7</w:t>
    </w:r>
    <w:r w:rsidRPr="00F30576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1A638" w14:textId="77777777" w:rsidR="009D53B9" w:rsidRDefault="009D53B9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BF7B1" w14:textId="77777777" w:rsidR="008D479F" w:rsidRDefault="008D479F" w:rsidP="0038202C">
      <w:pPr>
        <w:spacing w:before="120"/>
        <w:ind w:firstLine="480"/>
      </w:pPr>
      <w:r>
        <w:separator/>
      </w:r>
    </w:p>
    <w:p w14:paraId="23AA1932" w14:textId="77777777" w:rsidR="008D479F" w:rsidRDefault="008D479F" w:rsidP="0038202C">
      <w:pPr>
        <w:spacing w:before="120"/>
        <w:ind w:firstLine="480"/>
      </w:pPr>
    </w:p>
  </w:footnote>
  <w:footnote w:type="continuationSeparator" w:id="0">
    <w:p w14:paraId="2D22AEFC" w14:textId="77777777" w:rsidR="008D479F" w:rsidRDefault="008D479F" w:rsidP="0038202C">
      <w:pPr>
        <w:spacing w:before="120"/>
        <w:ind w:firstLine="480"/>
      </w:pPr>
      <w:r>
        <w:continuationSeparator/>
      </w:r>
    </w:p>
    <w:p w14:paraId="269FBE09" w14:textId="77777777" w:rsidR="008D479F" w:rsidRDefault="008D479F" w:rsidP="0038202C">
      <w:pPr>
        <w:spacing w:before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6CFB0" w14:textId="77777777" w:rsidR="009D53B9" w:rsidRDefault="009D53B9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5E81C" w14:textId="42A06DD5" w:rsidR="006E1723" w:rsidRDefault="006F3C28" w:rsidP="00EC293A">
    <w:pPr>
      <w:pStyle w:val="a3"/>
      <w:spacing w:beforeLines="0" w:before="0" w:line="240" w:lineRule="auto"/>
      <w:ind w:firstLineChars="0" w:firstLine="0"/>
    </w:pPr>
    <w:r w:rsidRPr="006F3C28">
      <w:rPr>
        <w:rFonts w:ascii="SimSun" w:eastAsia="SimSun" w:hAnsi="SimSun"/>
      </w:rPr>
      <w:t>孙秀花、焦征艳再审审查与审判监督行政裁定书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0AB33" w14:textId="77777777" w:rsidR="009D53B9" w:rsidRDefault="009D53B9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4A478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0873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C8A4F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B90BA9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8637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AAAE7B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B36CF6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A1475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30AC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B20499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97"/>
    <w:rsid w:val="00066AEE"/>
    <w:rsid w:val="000B5500"/>
    <w:rsid w:val="000C55CD"/>
    <w:rsid w:val="001255C2"/>
    <w:rsid w:val="001B4078"/>
    <w:rsid w:val="0023484A"/>
    <w:rsid w:val="0025253B"/>
    <w:rsid w:val="002A3526"/>
    <w:rsid w:val="002D7396"/>
    <w:rsid w:val="00353B19"/>
    <w:rsid w:val="0038202C"/>
    <w:rsid w:val="0043703A"/>
    <w:rsid w:val="00467123"/>
    <w:rsid w:val="004C2D01"/>
    <w:rsid w:val="004D5CD5"/>
    <w:rsid w:val="005032C1"/>
    <w:rsid w:val="005A5DC5"/>
    <w:rsid w:val="0062628A"/>
    <w:rsid w:val="006D1069"/>
    <w:rsid w:val="006E1723"/>
    <w:rsid w:val="006F3C28"/>
    <w:rsid w:val="007D5048"/>
    <w:rsid w:val="00857259"/>
    <w:rsid w:val="008D479F"/>
    <w:rsid w:val="009B136D"/>
    <w:rsid w:val="009D3464"/>
    <w:rsid w:val="009D53B9"/>
    <w:rsid w:val="00A53CBC"/>
    <w:rsid w:val="00B603D8"/>
    <w:rsid w:val="00B8390B"/>
    <w:rsid w:val="00BD55F8"/>
    <w:rsid w:val="00C04E12"/>
    <w:rsid w:val="00C22E97"/>
    <w:rsid w:val="00C47B69"/>
    <w:rsid w:val="00C552F4"/>
    <w:rsid w:val="00C9351C"/>
    <w:rsid w:val="00D22040"/>
    <w:rsid w:val="00D4147E"/>
    <w:rsid w:val="00E614C4"/>
    <w:rsid w:val="00EC293A"/>
    <w:rsid w:val="00EF2D29"/>
    <w:rsid w:val="00F30576"/>
    <w:rsid w:val="00F93335"/>
    <w:rsid w:val="00FA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C28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3B9"/>
    <w:pPr>
      <w:widowControl w:val="0"/>
      <w:spacing w:beforeLines="50" w:before="50" w:line="480" w:lineRule="exact"/>
      <w:ind w:firstLineChars="200" w:firstLine="200"/>
      <w:jc w:val="both"/>
    </w:pPr>
    <w:rPr>
      <w:rFonts w:ascii="DengXian" w:eastAsia="DengXian" w:hAnsi="DengXian"/>
    </w:rPr>
  </w:style>
  <w:style w:type="paragraph" w:styleId="1">
    <w:name w:val="heading 1"/>
    <w:basedOn w:val="a"/>
    <w:next w:val="a"/>
    <w:link w:val="10"/>
    <w:uiPriority w:val="9"/>
    <w:qFormat/>
    <w:rsid w:val="009D53B9"/>
    <w:pPr>
      <w:spacing w:before="211"/>
      <w:ind w:firstLineChars="0"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E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E97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22E97"/>
  </w:style>
  <w:style w:type="paragraph" w:styleId="a8">
    <w:name w:val="Title"/>
    <w:basedOn w:val="a"/>
    <w:next w:val="a"/>
    <w:link w:val="a9"/>
    <w:uiPriority w:val="10"/>
    <w:qFormat/>
    <w:rsid w:val="001B4078"/>
    <w:pPr>
      <w:spacing w:beforeLines="200" w:before="846" w:afterLines="100" w:after="423" w:line="560" w:lineRule="exact"/>
      <w:ind w:firstLineChars="0" w:firstLine="0"/>
      <w:jc w:val="center"/>
      <w:outlineLvl w:val="0"/>
    </w:pPr>
    <w:rPr>
      <w:rFonts w:ascii="微软雅黑" w:eastAsia="微软雅黑" w:hAnsi="微软雅黑" w:cs="Times New Roman (标题 CS)"/>
      <w:b/>
      <w:bCs/>
      <w:color w:val="FE6301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B4078"/>
    <w:rPr>
      <w:rFonts w:ascii="微软雅黑" w:eastAsia="微软雅黑" w:hAnsi="微软雅黑" w:cs="Times New Roman (标题 CS)"/>
      <w:b/>
      <w:bCs/>
      <w:color w:val="FE6301"/>
      <w:sz w:val="32"/>
      <w:szCs w:val="32"/>
    </w:rPr>
  </w:style>
  <w:style w:type="paragraph" w:styleId="aa">
    <w:name w:val="Quote"/>
    <w:basedOn w:val="a"/>
    <w:next w:val="a"/>
    <w:link w:val="ab"/>
    <w:uiPriority w:val="29"/>
    <w:qFormat/>
    <w:rsid w:val="009D53B9"/>
    <w:pPr>
      <w:widowControl/>
      <w:spacing w:after="100" w:afterAutospacing="1" w:line="240" w:lineRule="exact"/>
      <w:jc w:val="left"/>
    </w:pPr>
    <w:rPr>
      <w:rFonts w:cs="宋体"/>
      <w:b/>
      <w:bCs/>
      <w:iCs/>
      <w:color w:val="404040"/>
      <w:kern w:val="0"/>
      <w:szCs w:val="21"/>
    </w:rPr>
  </w:style>
  <w:style w:type="character" w:customStyle="1" w:styleId="ab">
    <w:name w:val="引用 字符"/>
    <w:basedOn w:val="a0"/>
    <w:link w:val="aa"/>
    <w:uiPriority w:val="29"/>
    <w:rsid w:val="009D53B9"/>
    <w:rPr>
      <w:rFonts w:ascii="DengXian" w:eastAsia="DengXian" w:hAnsi="DengXian" w:cs="宋体"/>
      <w:b/>
      <w:bCs/>
      <w:iCs/>
      <w:color w:val="404040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9D53B9"/>
    <w:rPr>
      <w:rFonts w:ascii="DengXian" w:eastAsia="DengXian" w:hAnsi="DengXian"/>
      <w:b/>
    </w:rPr>
  </w:style>
  <w:style w:type="character" w:styleId="ac">
    <w:name w:val="Hyperlink"/>
    <w:basedOn w:val="a0"/>
    <w:uiPriority w:val="99"/>
    <w:unhideWhenUsed/>
    <w:rsid w:val="00EF2D29"/>
    <w:rPr>
      <w:color w:val="FE6301"/>
      <w:u w:val="none"/>
    </w:rPr>
  </w:style>
  <w:style w:type="character" w:styleId="ad">
    <w:name w:val="Unresolved Mention"/>
    <w:basedOn w:val="a0"/>
    <w:uiPriority w:val="99"/>
    <w:rsid w:val="00B8390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47B69"/>
    <w:rPr>
      <w:color w:val="FE630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8" Type="http://schemas.openxmlformats.org/officeDocument/2006/relationships/header"
                  Target="header2.xml"/>
    <Relationship Id="rId13" Type="http://schemas.openxmlformats.org/officeDocument/2006/relationships/fontTable"
                  Target="fontTable.xml"/>
    <Relationship Id="rId3" Type="http://schemas.openxmlformats.org/officeDocument/2006/relationships/settings"
                  Target="settings.xml"/>
    <Relationship Id="rId7" Type="http://schemas.openxmlformats.org/officeDocument/2006/relationships/header"
                  Target="header1.xml"/>
    <Relationship Id="rId12" Type="http://schemas.openxmlformats.org/officeDocument/2006/relationships/footer"
                  Target="footer3.xml"/>
    <Relationship Id="rId2" Type="http://schemas.openxmlformats.org/officeDocument/2006/relationships/styles"
                  Target="styles.xml"/>
    <Relationship Id="rId1" Type="http://schemas.openxmlformats.org/officeDocument/2006/relationships/numbering"
                  Target="numbering.xml"/>
    <Relationship Id="rId6" Type="http://schemas.openxmlformats.org/officeDocument/2006/relationships/endnotes"
                  Target="endnotes.xml"/>
    <Relationship Id="rId11" Type="http://schemas.openxmlformats.org/officeDocument/2006/relationships/header"
                  Target="header3.xml"/>
    <Relationship Id="rId5" Type="http://schemas.openxmlformats.org/officeDocument/2006/relationships/footnotes"
                  Target="footnotes.xml"/>
    <Relationship Id="rId10" Type="http://schemas.openxmlformats.org/officeDocument/2006/relationships/footer"
                  Target="footer2.xml"/>
    <Relationship Id="rId4" Type="http://schemas.openxmlformats.org/officeDocument/2006/relationships/webSettings"
                  Target="webSettings.xml"/>
    <Relationship Id="rId9" Type="http://schemas.openxmlformats.org/officeDocument/2006/relationships/footer"
                  Target="footer1.xml"/>
    <Relationship Id="rId14" Type="http://schemas.openxmlformats.org/officeDocument/2006/relationships/theme"
                  Target="theme/theme1.xml"/>
    <Relationship Id="rIdHyperlink"
                  Type="http://schemas.openxmlformats.org/officeDocument/2006/relationships/hyperlink"
                  Target="https://alphalawyer.cn/judgement-search/api/v1/es/redict/1/5EB18B98BB84F2E70F30E7C2FD22459A?publishType=0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31</cp:revision>
  <dcterms:created xsi:type="dcterms:W3CDTF">2018-11-14T09:39:00Z</dcterms:created>
  <dcterms:modified xsi:type="dcterms:W3CDTF">2021-11-16T08:39:00Z</dcterms:modified>
</cp:coreProperties>
</file>