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0796B"/>
          <w:sz w:val="20"/>
        </w:rPr>
        <w:t>DOCTOR DISCOVERY</w:t>
      </w:r>
    </w:p>
    <w:p>
      <w:pPr>
        <w:spacing w:after="60"/>
      </w:pPr>
      <w:r>
        <w:rPr>
          <w:b/>
          <w:color w:val="1F4E79"/>
          <w:sz w:val="50"/>
        </w:rPr>
        <w:t>15-Minute Interview Guide</w:t>
      </w:r>
    </w:p>
    <w:p>
      <w:pPr>
        <w:spacing w:after="240"/>
      </w:pPr>
      <w:r>
        <w:rPr>
          <w:color w:val="586069"/>
          <w:sz w:val="22"/>
        </w:rPr>
        <w:t>Pune endocrinology and diabetes clinics • Version 0.1 • 6 August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15 min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Understand current behaviour before testing a concept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Comparable evidence against H1–H6</w:t>
            </w:r>
          </w:p>
        </w:tc>
      </w:tr>
    </w:tbl>
    <w:p>
      <w:pPr>
        <w:pStyle w:val="Heading1"/>
      </w:pPr>
      <w:r>
        <w:t>Before the call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20"/>
            <w:shd w:fill="E8F3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0796B"/>
              </w:rPr>
              <w:t xml:space="preserve">Research boundary  </w:t>
            </w:r>
            <w:r>
              <w:t>This is product discovery, not clinical care. Do not collect patient names, phone numbers, record numbers, identifiable case details, transcripts, prescriptions, diagnoses, or audio. Use synthetic or fully de-identified examples only.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288" w:hanging="173"/>
      </w:pPr>
      <w:r>
        <w:t>Confirm the doctor matches the target cohort: owner/co-owner endocrinologist or diabetologist in a private Pune outpatient clinic; preferred threshold is 8+ follow-up patients per day.</w:t>
      </w:r>
    </w:p>
    <w:p>
      <w:pPr>
        <w:pStyle w:val="ListBullet"/>
        <w:spacing w:after="60"/>
        <w:ind w:left="288" w:hanging="173"/>
      </w:pPr>
      <w:r>
        <w:t>Open the tracking workbook and assign a neutral Interview ID (for example, INT-001). Record the doctor or clinic name only if you have a legitimate business reason and permission; do not enter patient information.</w:t>
      </w:r>
    </w:p>
    <w:p>
      <w:pPr>
        <w:pStyle w:val="ListBullet"/>
        <w:spacing w:after="60"/>
        <w:ind w:left="288" w:hanging="173"/>
      </w:pPr>
      <w:r>
        <w:t>Ask permission to take written notes. Do not record audio unless separately planned, consented, and handled under an approved research protocol.</w:t>
      </w:r>
    </w:p>
    <w:p>
      <w:pPr>
        <w:pStyle w:val="ListBullet"/>
        <w:spacing w:after="60"/>
        <w:ind w:left="288" w:hanging="173"/>
      </w:pPr>
      <w:r>
        <w:t>Keep the conversation behavioural: ask about the last real occurrence, current tools, time spent, and concrete next steps. Avoid selling or teaching during the evidence section.</w:t>
      </w:r>
    </w:p>
    <w:p>
      <w:pPr>
        <w:pStyle w:val="Heading1"/>
      </w:pPr>
      <w:r>
        <w:t>Opening script • 0:00–1:00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20"/>
            <w:shd w:fill="E8F3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0796B"/>
              </w:rPr>
              <w:t xml:space="preserve">Say  </w:t>
            </w:r>
            <w:r>
              <w:t>“Thank you for making time. I’m researching how specialist doctors prepare for follow-ups and document consultations. This is not a product demo or a clinical evaluation. I’d like to understand your current workflow. I’ll take written notes, but please don’t share any patient-identifiable details. Is that okay?”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288" w:hanging="173"/>
      </w:pPr>
      <w:r>
        <w:t>If no: thank them and stop. If yes: continue.</w:t>
      </w:r>
    </w:p>
    <w:p>
      <w:pPr>
        <w:pStyle w:val="ListBullet"/>
        <w:spacing w:after="60"/>
        <w:ind w:left="288" w:hanging="173"/>
      </w:pPr>
      <w:r>
        <w:t>Ask: “May I quote your comments anonymously in our research notes?” Record Yes / No.</w:t>
      </w:r>
    </w:p>
    <w:p>
      <w:pPr>
        <w:pStyle w:val="Heading1"/>
      </w:pPr>
      <w:r>
        <w:t>1. Clinic and follow-up context • 1:00–3:00</w:t>
      </w:r>
    </w:p>
    <w:p>
      <w:pPr>
        <w:pStyle w:val="ListNumber"/>
        <w:spacing w:after="60"/>
        <w:ind w:left="360" w:hanging="216"/>
      </w:pPr>
      <w:r>
        <w:t>“Roughly how many patients do you see on a typical clinic day, and what share are follow-ups?”</w:t>
      </w:r>
    </w:p>
    <w:p>
      <w:pPr>
        <w:pStyle w:val="ListBullet2"/>
        <w:spacing w:after="60"/>
        <w:ind w:left="547" w:hanging="173"/>
      </w:pPr>
      <w:r>
        <w:t>Probe: diabetes/endocrine follow-ups per day; clinic size; role in buying decisions.</w:t>
      </w:r>
    </w:p>
    <w:p>
      <w:pPr>
        <w:pStyle w:val="ListNumber"/>
        <w:spacing w:after="60"/>
        <w:ind w:left="360" w:hanging="216"/>
      </w:pPr>
      <w:r>
        <w:t>“What languages or language combinations are common in these consultations?”</w:t>
      </w:r>
    </w:p>
    <w:p>
      <w:pPr>
        <w:pStyle w:val="ListBullet2"/>
        <w:spacing w:after="60"/>
        <w:ind w:left="547" w:hanging="173"/>
      </w:pPr>
      <w:r>
        <w:t>Probe: English, Hindi, Marathi, code-switching; who else commonly speaks.</w:t>
      </w:r>
    </w:p>
    <w:p>
      <w:pPr>
        <w:pStyle w:val="Heading1"/>
      </w:pPr>
      <w:r>
        <w:t>2. Last real follow-up and missing context • 3:00–6:00</w:t>
      </w:r>
    </w:p>
    <w:p>
      <w:pPr>
        <w:pStyle w:val="ListNumber"/>
        <w:spacing w:after="60"/>
        <w:ind w:left="360" w:hanging="216"/>
      </w:pPr>
      <w:r>
        <w:t>“Think of the last diabetes or endocrine follow-up where finding previous information was difficult. What happened, step by step?”</w:t>
      </w:r>
    </w:p>
    <w:p>
      <w:pPr>
        <w:pStyle w:val="ListBullet2"/>
        <w:spacing w:after="60"/>
        <w:ind w:left="547" w:hanging="173"/>
      </w:pPr>
      <w:r>
        <w:t>Probe: what the doctor needed; where it was stored; how they searched; how often this occurs.</w:t>
      </w:r>
    </w:p>
    <w:p>
      <w:pPr>
        <w:pStyle w:val="ListNumber"/>
        <w:spacing w:after="60"/>
        <w:ind w:left="360" w:hanging="216"/>
      </w:pPr>
      <w:r>
        <w:t>“What prior context is most important before you continue or change a plan?”</w:t>
      </w:r>
    </w:p>
    <w:p>
      <w:pPr>
        <w:pStyle w:val="ListBullet2"/>
        <w:spacing w:after="60"/>
        <w:ind w:left="547" w:hanging="173"/>
      </w:pPr>
      <w:r>
        <w:t>Probe without suggesting answers: prior assessment, medication history, investigations, response, adverse effects, adherence, pending follow-up.</w:t>
      </w:r>
    </w:p>
    <w:p>
      <w:pPr>
        <w:pStyle w:val="ListNumber"/>
        <w:spacing w:after="60"/>
        <w:ind w:left="360" w:hanging="216"/>
      </w:pPr>
      <w:r>
        <w:t>“What happens when that context is missing or slow to find?”</w:t>
      </w:r>
    </w:p>
    <w:p>
      <w:pPr>
        <w:pStyle w:val="ListBullet2"/>
        <w:spacing w:after="60"/>
        <w:ind w:left="547" w:hanging="173"/>
      </w:pPr>
      <w:r>
        <w:t>Probe: time, confidence, repeated questions, delayed documentation, interrupted flow. Ask for minutes on a typical day.</w:t>
      </w:r>
    </w:p>
    <w:p>
      <w:pPr>
        <w:pStyle w:val="Heading1"/>
      </w:pPr>
      <w:r>
        <w:t>3. Documentation behaviour • 6:00–8:00</w:t>
      </w:r>
    </w:p>
    <w:p>
      <w:pPr>
        <w:pStyle w:val="ListNumber"/>
        <w:spacing w:after="60"/>
        <w:ind w:left="360" w:hanging="216"/>
      </w:pPr>
      <w:r>
        <w:t>“What do you write during the consultation, immediately afterward, and later in the day?”</w:t>
      </w:r>
    </w:p>
    <w:p>
      <w:pPr>
        <w:pStyle w:val="ListNumber"/>
        <w:spacing w:after="60"/>
        <w:ind w:left="360" w:hanging="216"/>
      </w:pPr>
      <w:r>
        <w:t>“Where does each part go today—paper, prescription software, EMR, WhatsApp, PDFs, or somewhere else?”</w:t>
      </w:r>
    </w:p>
    <w:p>
      <w:pPr>
        <w:pStyle w:val="ListNumber"/>
        <w:spacing w:after="60"/>
        <w:ind w:left="360" w:hanging="216"/>
      </w:pPr>
      <w:r>
        <w:t>“For a typical relevant follow-up, how many minutes does documentation take? What gets deferred?”</w:t>
      </w:r>
    </w:p>
    <w:p>
      <w:pPr>
        <w:pStyle w:val="ListBullet2"/>
        <w:spacing w:after="60"/>
        <w:ind w:left="547" w:hanging="173"/>
      </w:pPr>
      <w:r>
        <w:t>Capture current spend on staff or software only after the workflow is clear.</w:t>
      </w:r>
    </w:p>
    <w:p>
      <w:pPr>
        <w:pStyle w:val="Heading1"/>
      </w:pPr>
      <w:r>
        <w:t>4. Concept test: doctor-controlled draft and memory • 8:00–11:00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20"/>
            <w:shd w:fill="E8EE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0796B"/>
              </w:rPr>
              <w:t xml:space="preserve">Read neutrally  </w:t>
            </w:r>
            <w:r>
              <w:t>“Imagine a tool that creates a draft note from a consented consultation and supporting records. The doctor must review or edit it and explicitly approve it before it can update a concise longitudinal patient memory. It does not diagnose, prescribe, change medication, or finalize a record on its own.”</w:t>
            </w:r>
          </w:p>
        </w:tc>
      </w:tr>
    </w:tbl>
    <w:p>
      <w:pPr>
        <w:spacing w:after="0"/>
      </w:pPr>
    </w:p>
    <w:p>
      <w:pPr>
        <w:pStyle w:val="ListNumber"/>
        <w:spacing w:after="60"/>
        <w:ind w:left="360" w:hanging="216"/>
      </w:pPr>
      <w:r>
        <w:t>“What would be useful—or not useful—about that workflow?”</w:t>
      </w:r>
    </w:p>
    <w:p>
      <w:pPr>
        <w:pStyle w:val="ListNumber"/>
        <w:spacing w:after="60"/>
        <w:ind w:left="360" w:hanging="216"/>
      </w:pPr>
      <w:r>
        <w:t>“What would you need to see before approving a draft?”</w:t>
      </w:r>
    </w:p>
    <w:p>
      <w:pPr>
        <w:pStyle w:val="ListBullet2"/>
        <w:spacing w:after="60"/>
        <w:ind w:left="547" w:hanging="173"/>
      </w:pPr>
      <w:r>
        <w:t>Probe: source evidence, uncertainty, speaker attribution, medication details, investigations, temporal context.</w:t>
      </w:r>
    </w:p>
    <w:p>
      <w:pPr>
        <w:pStyle w:val="ListNumber"/>
        <w:spacing w:after="60"/>
        <w:ind w:left="360" w:hanging="216"/>
      </w:pPr>
      <w:r>
        <w:t>“Which errors are annoying, and which would make the workflow unsafe or unusable?”</w:t>
      </w:r>
    </w:p>
    <w:p>
      <w:pPr>
        <w:pStyle w:val="ListNumber"/>
        <w:spacing w:after="60"/>
        <w:ind w:left="360" w:hanging="216"/>
      </w:pPr>
      <w:r>
        <w:t>“How much review or editing time per note would still feel worthwhile?”</w:t>
      </w:r>
    </w:p>
    <w:p>
      <w:pPr>
        <w:pStyle w:val="ListNumber"/>
        <w:spacing w:after="60"/>
        <w:ind w:left="360" w:hanging="216"/>
      </w:pPr>
      <w:r>
        <w:t>“Would an approved note updating a concise follow-up memory help? What must never be inferred or added automatically?”</w:t>
      </w:r>
    </w:p>
    <w:p>
      <w:pPr>
        <w:pStyle w:val="Heading1"/>
      </w:pPr>
      <w:r>
        <w:t>5. Recording, language, noise, and trust • 11:00–13:00</w:t>
      </w:r>
    </w:p>
    <w:p>
      <w:pPr>
        <w:pStyle w:val="ListNumber"/>
        <w:spacing w:after="60"/>
        <w:ind w:left="360" w:hanging="216"/>
      </w:pPr>
      <w:r>
        <w:t>“Would you consider consultation recording with explicit patient consent and visible pause/stop controls? What would prevent you?”</w:t>
      </w:r>
    </w:p>
    <w:p>
      <w:pPr>
        <w:pStyle w:val="ListNumber"/>
        <w:spacing w:after="60"/>
        <w:ind w:left="360" w:hanging="216"/>
      </w:pPr>
      <w:r>
        <w:t>“What room conditions would make capture difficult?”</w:t>
      </w:r>
    </w:p>
    <w:p>
      <w:pPr>
        <w:pStyle w:val="ListBullet2"/>
        <w:spacing w:after="60"/>
        <w:ind w:left="547" w:hanging="173"/>
      </w:pPr>
      <w:r>
        <w:t>Probe: overlapping voices, attendant, interruptions, masks, low speech, examination away from device.</w:t>
      </w:r>
    </w:p>
    <w:p>
      <w:pPr>
        <w:pStyle w:val="ListNumber"/>
        <w:spacing w:after="60"/>
        <w:ind w:left="360" w:hanging="216"/>
      </w:pPr>
      <w:r>
        <w:t>“When the system is unsure who said something or what was said, what should it do?”</w:t>
      </w:r>
    </w:p>
    <w:p>
      <w:pPr>
        <w:pStyle w:val="ListBullet2"/>
        <w:spacing w:after="60"/>
        <w:ind w:left="547" w:hanging="173"/>
      </w:pPr>
      <w:r>
        <w:t>Expected safe direction: preserve and surface uncertainty for doctor verification; never guess.</w:t>
      </w:r>
    </w:p>
    <w:p>
      <w:pPr>
        <w:pStyle w:val="ListNumber"/>
        <w:spacing w:after="60"/>
        <w:ind w:left="360" w:hanging="216"/>
      </w:pPr>
      <w:r>
        <w:t>“What questions would patients ask about storage, access, or deletion?”</w:t>
      </w:r>
    </w:p>
    <w:p>
      <w:pPr>
        <w:pStyle w:val="Heading1"/>
      </w:pPr>
      <w:r>
        <w:t>6. Trial intent and willingness to pay • 13:00–14:30</w:t>
      </w:r>
    </w:p>
    <w:p>
      <w:pPr>
        <w:pStyle w:val="ListNumber"/>
        <w:spacing w:after="60"/>
        <w:ind w:left="360" w:hanging="216"/>
      </w:pPr>
      <w:r>
        <w:t>“What do you currently pay for—software or staff—to reduce documentation or follow-up workload?”</w:t>
      </w:r>
    </w:p>
    <w:p>
      <w:pPr>
        <w:pStyle w:val="ListNumber"/>
        <w:spacing w:after="60"/>
        <w:ind w:left="360" w:hanging="216"/>
      </w:pPr>
      <w:r>
        <w:t>“Who would decide whether to run or buy this?”</w:t>
      </w:r>
    </w:p>
    <w:p>
      <w:pPr>
        <w:pStyle w:val="ListNumber"/>
        <w:spacing w:after="60"/>
        <w:ind w:left="360" w:hanging="216"/>
      </w:pPr>
      <w:r>
        <w:t>“Would you try a four-week prototype or pilot if setup took less than one hour? What evidence would you need?”</w:t>
      </w:r>
    </w:p>
    <w:p>
      <w:pPr>
        <w:pStyle w:val="ListNumber"/>
        <w:spacing w:after="60"/>
        <w:ind w:left="360" w:hanging="216"/>
      </w:pPr>
      <w:r>
        <w:t>“Would you consider a paid pilot, refundable deposit, or letter of intent if those conditions were met?”</w:t>
      </w:r>
    </w:p>
    <w:p>
      <w:pPr>
        <w:pStyle w:val="ListNumber"/>
        <w:spacing w:after="60"/>
        <w:ind w:left="360" w:hanging="216"/>
      </w:pPr>
      <w:r>
        <w:t>“Which pricing unit feels natural: per doctor, per clinic, per consultation, or monthly tier?”</w:t>
      </w:r>
    </w:p>
    <w:p>
      <w:pPr>
        <w:pStyle w:val="ListNumber"/>
        <w:spacing w:after="60"/>
        <w:ind w:left="360" w:hanging="216"/>
      </w:pPr>
      <w:r>
        <w:t>“At what monthly price would it be easy to try; require clear evidence; and be too expensive?”</w:t>
      </w:r>
    </w:p>
    <w:p>
      <w:pPr>
        <w:pStyle w:val="Heading1"/>
      </w:pPr>
      <w:r>
        <w:t>Close • 14:30–15:00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20"/>
            <w:shd w:fill="E8F3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0796B"/>
              </w:rPr>
              <w:t xml:space="preserve">Say  </w:t>
            </w:r>
            <w:r>
              <w:t>“Thank you. The next step, if useful, would be a short review of a synthetic-data prototype—not real patient data. May I contact you for that? Is there one other doctor with a similar workflow whom I should speak with?”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288" w:hanging="173"/>
      </w:pPr>
      <w:r>
        <w:t>Confirm the concrete next action, owner, and date. Do not treat compliments as a buying signal.</w:t>
      </w:r>
    </w:p>
    <w:p>
      <w:pPr>
        <w:pStyle w:val="Heading1"/>
      </w:pPr>
      <w:r>
        <w:t>Interviewer scoring • complete immediately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HOW TO SCORE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Pain severity (1–5)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 = negligible; 3 = recurring but managed; 5 = frequent, costly, and actively seeking change.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Buying signal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None / Weak / Moderate / Strong. Strong requires a concrete pilot action, decision-maker access, success criteria, or a real price/deposit discussion.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Recording stance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Yes / Conditional / No. Capture conditions or objections verbatim.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Review tolerance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Maximum acceptable minutes per draft, in the doctor’s own estimate.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Evidence type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Separate observed behaviour, direct statement, founder interpretation, and follow-up question.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Next action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One dated, owned action; otherwise “None.”</w:t>
            </w:r>
          </w:p>
        </w:tc>
      </w:tr>
    </w:tbl>
    <w:p>
      <w:pPr>
        <w:pStyle w:val="Heading1"/>
      </w:pPr>
      <w:r>
        <w:t>Evidence map and review gates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HYPOTHESIS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SUPPORTING GATE AFTER 10 QUALIFIED INTERVIEWS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H1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Longitudinal recall is a weekly problem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≥7 report weekly problem; ≥5 quantify time, quality, or confidence cost.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H2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Documentation burden is meaningful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≥6 spend ≥3 minutes per relevant visit or regularly defer documentation.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H3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Approved longitudinal memory has value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≥6 name a concrete use case and will test with synthetic or acceptable cases.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H4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Mandatory review is necessary and workable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≥8 say explicit approval is necessary and workable.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H5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Consented capture can work in clinics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≥5 will test recording/assisted capture subject to consent and controls.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H6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Endocrinology remains the beachhead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Specialty-specific need is present and no comparison specialty has materially stronger evidence.</w:t>
            </w:r>
          </w:p>
        </w:tc>
      </w:tr>
    </w:tbl>
    <w:p>
      <w:pPr>
        <w:pStyle w:val="Heading1"/>
      </w:pPr>
      <w:r>
        <w:t>Bias controls</w:t>
      </w:r>
    </w:p>
    <w:p>
      <w:pPr>
        <w:pStyle w:val="ListBullet"/>
        <w:spacing w:after="60"/>
        <w:ind w:left="288" w:hanging="173"/>
      </w:pPr>
      <w:r>
        <w:t>Ask about the last real event before presenting the concept.</w:t>
      </w:r>
    </w:p>
    <w:p>
      <w:pPr>
        <w:pStyle w:val="ListBullet"/>
        <w:spacing w:after="60"/>
        <w:ind w:left="288" w:hanging="173"/>
      </w:pPr>
      <w:r>
        <w:t>Do not lead with “AI,” time savings, or a preferred price.</w:t>
      </w:r>
    </w:p>
    <w:p>
      <w:pPr>
        <w:pStyle w:val="ListBullet"/>
        <w:spacing w:after="60"/>
        <w:ind w:left="288" w:hanging="173"/>
      </w:pPr>
      <w:r>
        <w:t>Count behaviour and commitments, not politeness or enthusiasm.</w:t>
      </w:r>
    </w:p>
    <w:p>
      <w:pPr>
        <w:pStyle w:val="ListBullet"/>
        <w:spacing w:after="60"/>
        <w:ind w:left="288" w:hanging="173"/>
      </w:pPr>
      <w:r>
        <w:t>Write the strongest disconfirming evidence, not only supporting evidence.</w:t>
      </w:r>
    </w:p>
    <w:p>
      <w:pPr>
        <w:pStyle w:val="ListBullet"/>
        <w:spacing w:after="60"/>
        <w:ind w:left="288" w:hanging="173"/>
      </w:pPr>
      <w:r>
        <w:t>Review the cohort after interviews 5 and 10; do not pivot after one conversation.</w:t>
      </w:r>
    </w:p>
    <w:p>
      <w:pPr>
        <w:pStyle w:val="ListBullet"/>
        <w:spacing w:after="60"/>
        <w:ind w:left="288" w:hanging="173"/>
      </w:pPr>
      <w:r>
        <w:t>Do not move to real patient data because a doctor is interested. Safety, consent, legal, security, and readiness gates remain separate.</w:t>
      </w:r>
    </w:p>
    <w:p>
      <w:pPr>
        <w:pStyle w:val="Heading1"/>
      </w:pPr>
      <w:r>
        <w:t>Safety completion check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20"/>
            <w:shd w:fill="E8F3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00796B"/>
              </w:rPr>
              <w:t xml:space="preserve">Confirmed  </w:t>
            </w:r>
            <w:r>
              <w:t>This guide does not introduce autonomous diagnosis, treatment recommendation, prescription change, unapproved patient sharing, public audio, cross-clinic access, or durable memory from unapproved content. Any clinical AI output discussed remains a draft until explicit doctor approval.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86069"/>
        <w:sz w:val="16"/>
      </w:rPr>
      <w:t>Research use only • No patient-identifiable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86069"/>
        <w:sz w:val="16"/>
      </w:rPr>
      <w:t>SMARAN HEALTH  |  DOCTOR DISCOVERY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079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Smaran Health — 15-Minute Doctor Interview Guide</dc:title>
  <dc:subject>Task 7 discovery interview script</dc:subject>
  <dc:creator>Smaran Health</dc:creator>
  <cp:keywords>doctor discovery, endocrinology, interview guide, privacy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