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Security Assessment Report</w:t>
      </w:r>
    </w:p>
    <w:p>
      <w:pPr>
        <w:spacing w:after="40"/>
      </w:pPr>
      <w:r>
        <w:rPr>
          <w:color w:val="555555"/>
          <w:sz w:val="30"/>
          <w:szCs w:val="30"/>
        </w:rPr>
        <w:t xml:space="preserve">ATT Attendance Risk API</w:t>
      </w:r>
    </w:p>
    <w:p>
      <w:pPr>
        <w:spacing w:after="300"/>
      </w:pPr>
      <w:r>
        <w:rPr>
          <w:color w:val="777777"/>
          <w:sz w:val="20"/>
          <w:szCs w:val="20"/>
        </w:rPr>
        <w:t xml:space="preserve">Target: weekly-attendance-risk-production-1453.up.railway.app  |  Date: 24 September 2026</w:t>
      </w:r>
    </w:p>
    <w:p>
      <w:pPr>
        <w:pStyle w:val="Heading1"/>
        <w:spacing w:after="160" w:before="320"/>
      </w:pPr>
      <w:r>
        <w:t xml:space="preserve">1. Executive Summary</w:t>
      </w:r>
    </w:p>
    <w:p>
      <w:pPr>
        <w:spacing w:after="120"/>
      </w:pPr>
      <w:r>
        <w:rPr>
          <w:b w:val="false"/>
          <w:bCs w:val="false"/>
          <w:i w:val="false"/>
          <w:iCs w:val="false"/>
          <w:sz w:val="22"/>
          <w:szCs w:val="22"/>
        </w:rPr>
        <w:t xml:space="preserve">This report documents a manual, black-box security review of the ATT Attendance Risk API, a FastAPI-based backend supporting a mobile attendance-risk application. Testing was performed directly against the production Swagger UI (/docs) with the team's authorization. Five findings were identified, including one Critical-severity issue (unauthenticated denial-of-service) that caused a real, multi-hour production outage during testing.</w:t>
      </w:r>
    </w:p>
    <w:p>
      <w:pPr>
        <w:spacing w:after="120"/>
      </w:pPr>
      <w:r>
        <w:rPr>
          <w:b w:val="false"/>
          <w:bCs w:val="false"/>
          <w:i w:val="false"/>
          <w:iCs w:val="false"/>
          <w:sz w:val="22"/>
          <w:szCs w:val="22"/>
        </w:rPr>
        <w:t xml:space="preserve">The most urgent issue is the complete absence of authentication, rate limiting, and concurrency control across all endpoints. A test of only 100 requests to processing endpoints left the service unresponsive; a subsequent batch of 20 requests took over three hours without a reply. This is not a theoretical risk — it was reproduced live on the production deployment.</w:t>
      </w:r>
    </w:p>
    <w:p>
      <w:pPr>
        <w:pStyle w:val="Heading2"/>
        <w:spacing w:after="120" w:before="260"/>
      </w:pPr>
      <w:r>
        <w:t xml:space="preserve">Findings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2C3E50" w:color="auto" w:val="clear"/>
            <w:vAlign w:val="center"/>
          </w:tcPr>
          <w:p>
            <w:r>
              <w:rPr>
                <w:b/>
                <w:bCs/>
                <w:color w:val="FFFFFF"/>
                <w:sz w:val="20"/>
                <w:szCs w:val="20"/>
              </w:rPr>
              <w:t xml:space="preserve">#</w:t>
            </w:r>
          </w:p>
        </w:tc>
        <w:tc>
          <w:tcPr>
            <w:tcW w:type="dxa" w:w="4200"/>
            <w:shd w:fill="2C3E50" w:color="auto" w:val="clear"/>
            <w:vAlign w:val="center"/>
          </w:tcPr>
          <w:p>
            <w:r>
              <w:rPr>
                <w:b/>
                <w:bCs/>
                <w:color w:val="FFFFFF"/>
                <w:sz w:val="20"/>
                <w:szCs w:val="20"/>
              </w:rPr>
              <w:t xml:space="preserve">Finding</w:t>
            </w:r>
          </w:p>
        </w:tc>
        <w:tc>
          <w:tcPr>
            <w:tcW w:type="dxa" w:w="1800"/>
            <w:shd w:fill="2C3E50" w:color="auto" w:val="clear"/>
            <w:vAlign w:val="center"/>
          </w:tcPr>
          <w:p>
            <w:r>
              <w:rPr>
                <w:b/>
                <w:bCs/>
                <w:color w:val="FFFFFF"/>
                <w:sz w:val="20"/>
                <w:szCs w:val="20"/>
              </w:rPr>
              <w:t xml:space="preserve">Severity</w:t>
            </w:r>
          </w:p>
        </w:tc>
        <w:tc>
          <w:tcPr>
            <w:tcW w:type="dxa" w:w="3100"/>
            <w:shd w:fill="2C3E50" w:color="auto" w:val="clear"/>
            <w:vAlign w:val="center"/>
          </w:tcPr>
          <w:p>
            <w:r>
              <w:rPr>
                <w:b/>
                <w:bCs/>
                <w:color w:val="FFFFFF"/>
                <w:sz w:val="20"/>
                <w:szCs w:val="20"/>
              </w:rPr>
              <w:t xml:space="preserve">Status</w:t>
            </w:r>
          </w:p>
        </w:tc>
      </w:tr>
      <w:tr>
        <w:tc>
          <w:tcPr>
            <w:tcW w:type="dxa" w:w="3000"/>
            <w:vAlign w:val="center"/>
          </w:tcPr>
          <w:p>
            <w:r>
              <w:rPr>
                <w:b w:val="false"/>
                <w:bCs w:val="false"/>
                <w:color w:val="000000"/>
                <w:sz w:val="20"/>
                <w:szCs w:val="20"/>
              </w:rPr>
              <w:t xml:space="preserve">1</w:t>
            </w:r>
          </w:p>
        </w:tc>
        <w:tc>
          <w:tcPr>
            <w:tcW w:type="dxa" w:w="3000"/>
            <w:vAlign w:val="center"/>
          </w:tcPr>
          <w:p>
            <w:r>
              <w:rPr>
                <w:b w:val="false"/>
                <w:bCs w:val="false"/>
                <w:color w:val="000000"/>
                <w:sz w:val="20"/>
                <w:szCs w:val="20"/>
              </w:rPr>
              <w:t xml:space="preserve">No rate limiting / concurrency control → Denial of Service</w:t>
            </w:r>
          </w:p>
        </w:tc>
        <w:tc>
          <w:tcPr>
            <w:tcW w:type="dxa" w:w="1600"/>
            <w:shd w:fill="C0392B" w:color="auto" w:val="clear"/>
            <w:vAlign w:val="center"/>
          </w:tcPr>
          <w:p>
            <w:pPr>
              <w:jc w:val="center"/>
            </w:pPr>
            <w:r>
              <w:rPr>
                <w:b/>
                <w:bCs/>
                <w:color w:val="FFFFFF"/>
              </w:rPr>
              <w:t xml:space="preserve">CRITICAL</w:t>
            </w:r>
          </w:p>
        </w:tc>
        <w:tc>
          <w:tcPr>
            <w:tcW w:type="dxa" w:w="3000"/>
            <w:vAlign w:val="center"/>
          </w:tcPr>
          <w:p>
            <w:r>
              <w:rPr>
                <w:b w:val="false"/>
                <w:bCs w:val="false"/>
                <w:color w:val="000000"/>
                <w:sz w:val="20"/>
                <w:szCs w:val="20"/>
              </w:rPr>
              <w:t xml:space="preserve">Confirmed — caused live outage</w:t>
            </w:r>
          </w:p>
        </w:tc>
      </w:tr>
      <w:tr>
        <w:tc>
          <w:tcPr>
            <w:tcW w:type="dxa" w:w="3000"/>
            <w:vAlign w:val="center"/>
          </w:tcPr>
          <w:p>
            <w:r>
              <w:rPr>
                <w:b w:val="false"/>
                <w:bCs w:val="false"/>
                <w:color w:val="000000"/>
                <w:sz w:val="20"/>
                <w:szCs w:val="20"/>
              </w:rPr>
              <w:t xml:space="preserve">2</w:t>
            </w:r>
          </w:p>
        </w:tc>
        <w:tc>
          <w:tcPr>
            <w:tcW w:type="dxa" w:w="3000"/>
            <w:vAlign w:val="center"/>
          </w:tcPr>
          <w:p>
            <w:r>
              <w:rPr>
                <w:b w:val="false"/>
                <w:bCs w:val="false"/>
                <w:color w:val="000000"/>
                <w:sz w:val="20"/>
                <w:szCs w:val="20"/>
              </w:rPr>
              <w:t xml:space="preserve">No authentication on any endpoint</w:t>
            </w:r>
          </w:p>
        </w:tc>
        <w:tc>
          <w:tcPr>
            <w:tcW w:type="dxa" w:w="1600"/>
            <w:shd w:fill="E67E22" w:color="auto" w:val="clear"/>
            <w:vAlign w:val="center"/>
          </w:tcPr>
          <w:p>
            <w:pPr>
              <w:jc w:val="center"/>
            </w:pPr>
            <w:r>
              <w:rPr>
                <w:b/>
                <w:bCs/>
                <w:color w:val="FFFFFF"/>
              </w:rPr>
              <w:t xml:space="preserve">HIGH</w:t>
            </w:r>
          </w:p>
        </w:tc>
        <w:tc>
          <w:tcPr>
            <w:tcW w:type="dxa" w:w="3000"/>
            <w:vAlign w:val="center"/>
          </w:tcPr>
          <w:p>
            <w:r>
              <w:rPr>
                <w:b w:val="false"/>
                <w:bCs w:val="false"/>
                <w:color w:val="000000"/>
                <w:sz w:val="20"/>
                <w:szCs w:val="20"/>
              </w:rPr>
              <w:t xml:space="preserve">Confirmed</w:t>
            </w:r>
          </w:p>
        </w:tc>
      </w:tr>
      <w:tr>
        <w:tc>
          <w:tcPr>
            <w:tcW w:type="dxa" w:w="3000"/>
            <w:vAlign w:val="center"/>
          </w:tcPr>
          <w:p>
            <w:r>
              <w:rPr>
                <w:b w:val="false"/>
                <w:bCs w:val="false"/>
                <w:color w:val="000000"/>
                <w:sz w:val="20"/>
                <w:szCs w:val="20"/>
              </w:rPr>
              <w:t xml:space="preserve">3</w:t>
            </w:r>
          </w:p>
        </w:tc>
        <w:tc>
          <w:tcPr>
            <w:tcW w:type="dxa" w:w="3000"/>
            <w:vAlign w:val="center"/>
          </w:tcPr>
          <w:p>
            <w:r>
              <w:rPr>
                <w:b w:val="false"/>
                <w:bCs w:val="false"/>
                <w:color w:val="000000"/>
                <w:sz w:val="20"/>
                <w:szCs w:val="20"/>
              </w:rPr>
              <w:t xml:space="preserve">Sensitive personal data (PII) exposed without access control</w:t>
            </w:r>
          </w:p>
        </w:tc>
        <w:tc>
          <w:tcPr>
            <w:tcW w:type="dxa" w:w="1600"/>
            <w:shd w:fill="E67E22" w:color="auto" w:val="clear"/>
            <w:vAlign w:val="center"/>
          </w:tcPr>
          <w:p>
            <w:pPr>
              <w:jc w:val="center"/>
            </w:pPr>
            <w:r>
              <w:rPr>
                <w:b/>
                <w:bCs/>
                <w:color w:val="FFFFFF"/>
              </w:rPr>
              <w:t xml:space="preserve">HIGH</w:t>
            </w:r>
          </w:p>
        </w:tc>
        <w:tc>
          <w:tcPr>
            <w:tcW w:type="dxa" w:w="3000"/>
            <w:vAlign w:val="center"/>
          </w:tcPr>
          <w:p>
            <w:r>
              <w:rPr>
                <w:b w:val="false"/>
                <w:bCs w:val="false"/>
                <w:color w:val="000000"/>
                <w:sz w:val="20"/>
                <w:szCs w:val="20"/>
              </w:rPr>
              <w:t xml:space="preserve">Confirmed</w:t>
            </w:r>
          </w:p>
        </w:tc>
      </w:tr>
      <w:tr>
        <w:tc>
          <w:tcPr>
            <w:tcW w:type="dxa" w:w="3000"/>
            <w:vAlign w:val="center"/>
          </w:tcPr>
          <w:p>
            <w:r>
              <w:rPr>
                <w:b w:val="false"/>
                <w:bCs w:val="false"/>
                <w:color w:val="000000"/>
                <w:sz w:val="20"/>
                <w:szCs w:val="20"/>
              </w:rPr>
              <w:t xml:space="preserve">4</w:t>
            </w:r>
          </w:p>
        </w:tc>
        <w:tc>
          <w:tcPr>
            <w:tcW w:type="dxa" w:w="3000"/>
            <w:vAlign w:val="center"/>
          </w:tcPr>
          <w:p>
            <w:r>
              <w:rPr>
                <w:b w:val="false"/>
                <w:bCs w:val="false"/>
                <w:color w:val="000000"/>
                <w:sz w:val="20"/>
                <w:szCs w:val="20"/>
              </w:rPr>
              <w:t xml:space="preserve">Internal server information disclosure (root user, internal paths, log data)</w:t>
            </w:r>
          </w:p>
        </w:tc>
        <w:tc>
          <w:tcPr>
            <w:tcW w:type="dxa" w:w="1600"/>
            <w:shd w:fill="F1C40F" w:color="auto" w:val="clear"/>
            <w:vAlign w:val="center"/>
          </w:tcPr>
          <w:p>
            <w:pPr>
              <w:jc w:val="center"/>
            </w:pPr>
            <w:r>
              <w:rPr>
                <w:b/>
                <w:bCs/>
                <w:color w:val="FFFFFF"/>
              </w:rPr>
              <w:t xml:space="preserve">MEDIUM</w:t>
            </w:r>
          </w:p>
        </w:tc>
        <w:tc>
          <w:tcPr>
            <w:tcW w:type="dxa" w:w="3000"/>
            <w:vAlign w:val="center"/>
          </w:tcPr>
          <w:p>
            <w:r>
              <w:rPr>
                <w:b w:val="false"/>
                <w:bCs w:val="false"/>
                <w:color w:val="000000"/>
                <w:sz w:val="20"/>
                <w:szCs w:val="20"/>
              </w:rPr>
              <w:t xml:space="preserve">Confirmed</w:t>
            </w:r>
          </w:p>
        </w:tc>
      </w:tr>
      <w:tr>
        <w:tc>
          <w:tcPr>
            <w:tcW w:type="dxa" w:w="3000"/>
            <w:vAlign w:val="center"/>
          </w:tcPr>
          <w:p>
            <w:r>
              <w:rPr>
                <w:b w:val="false"/>
                <w:bCs w:val="false"/>
                <w:color w:val="000000"/>
                <w:sz w:val="20"/>
                <w:szCs w:val="20"/>
              </w:rPr>
              <w:t xml:space="preserve">5</w:t>
            </w:r>
          </w:p>
        </w:tc>
        <w:tc>
          <w:tcPr>
            <w:tcW w:type="dxa" w:w="3000"/>
            <w:vAlign w:val="center"/>
          </w:tcPr>
          <w:p>
            <w:r>
              <w:rPr>
                <w:b w:val="false"/>
                <w:bCs w:val="false"/>
                <w:color w:val="000000"/>
                <w:sz w:val="20"/>
                <w:szCs w:val="20"/>
              </w:rPr>
              <w:t xml:space="preserve">Path traversal on /download endpoint</w:t>
            </w:r>
          </w:p>
        </w:tc>
        <w:tc>
          <w:tcPr>
            <w:tcW w:type="dxa" w:w="1600"/>
            <w:shd w:fill="3498DB" w:color="auto" w:val="clear"/>
            <w:vAlign w:val="center"/>
          </w:tcPr>
          <w:p>
            <w:pPr>
              <w:jc w:val="center"/>
            </w:pPr>
            <w:r>
              <w:rPr>
                <w:b/>
                <w:bCs/>
                <w:color w:val="FFFFFF"/>
              </w:rPr>
              <w:t xml:space="preserve">INFO</w:t>
            </w:r>
          </w:p>
        </w:tc>
        <w:tc>
          <w:tcPr>
            <w:tcW w:type="dxa" w:w="3000"/>
            <w:vAlign w:val="center"/>
          </w:tcPr>
          <w:p>
            <w:r>
              <w:rPr>
                <w:b w:val="false"/>
                <w:bCs w:val="false"/>
                <w:color w:val="000000"/>
                <w:sz w:val="20"/>
                <w:szCs w:val="20"/>
              </w:rPr>
              <w:t xml:space="preserve">Tested — Not Vulnerable</w:t>
            </w:r>
          </w:p>
        </w:tc>
      </w:tr>
    </w:tbl>
    <w:p>
      <w:pPr>
        <w:pStyle w:val="Heading1"/>
        <w:spacing w:after="160" w:before="320"/>
      </w:pPr>
      <w:r>
        <w:t xml:space="preserve">2. Scope &amp; Methodology</w:t>
      </w:r>
    </w:p>
    <w:p>
      <w:pPr>
        <w:spacing w:after="120"/>
      </w:pPr>
      <w:r>
        <w:rPr>
          <w:b w:val="false"/>
          <w:bCs w:val="false"/>
          <w:i w:val="false"/>
          <w:iCs w:val="false"/>
          <w:sz w:val="22"/>
          <w:szCs w:val="22"/>
        </w:rPr>
        <w:t xml:space="preserve">Testing was carried out manually through the Swagger UI ("Try it out") exposed at /docs, against the live production instance hosted on Railway. No automated scanners or exploitation frameworks were used; all requests were single, deliberate HTTP calls, with the exception of the rate-limit test described in Finding 1.</w:t>
      </w:r>
    </w:p>
    <w:p>
      <w:pPr>
        <w:pStyle w:val="ListParagraph"/>
        <w:numPr>
          <w:ilvl w:val="0"/>
          <w:numId w:val="1"/>
        </w:numPr>
        <w:spacing w:after="60"/>
      </w:pPr>
      <w:r>
        <w:t xml:space="preserve">Target: GET /, GET /download, POST /validate-data, POST /build-fact-table, POST /dashboard-kpis, POST /baseline-flags</w:t>
      </w:r>
    </w:p>
    <w:p>
      <w:pPr>
        <w:pStyle w:val="ListParagraph"/>
        <w:numPr>
          <w:ilvl w:val="0"/>
          <w:numId w:val="1"/>
        </w:numPr>
        <w:spacing w:after="60"/>
      </w:pPr>
      <w:r>
        <w:t xml:space="preserve">Approach: black-box, no credentials available or required</w:t>
      </w:r>
    </w:p>
    <w:p>
      <w:pPr>
        <w:pStyle w:val="ListParagraph"/>
        <w:numPr>
          <w:ilvl w:val="0"/>
          <w:numId w:val="1"/>
        </w:numPr>
        <w:spacing w:after="60"/>
      </w:pPr>
      <w:r>
        <w:t xml:space="preserve">Authorization: internal team testing of an in-development application</w:t>
      </w:r>
    </w:p>
    <w:p>
      <w:pPr>
        <w:pStyle w:val="Heading1"/>
        <w:spacing w:after="160" w:before="320"/>
      </w:pPr>
      <w:r>
        <w:t xml:space="preserve">3. Detailed Findings</w:t>
      </w:r>
    </w:p>
    <w:p>
      <w:pPr>
        <w:spacing w:after="80" w:before="300"/>
      </w:pPr>
      <w:r>
        <w:rPr>
          <w:b/>
          <w:bCs/>
          <w:sz w:val="26"/>
          <w:szCs w:val="26"/>
        </w:rPr>
        <w:t xml:space="preserve">3.1. No Rate Limiting or Concurrency Control (Denial of Service)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C0392B" w:color="auto" w:val="clear"/>
            <w:vAlign w:val="center"/>
          </w:tcPr>
          <w:p>
            <w:pPr>
              <w:jc w:val="center"/>
            </w:pPr>
            <w:r>
              <w:rPr>
                <w:b/>
                <w:bCs/>
                <w:color w:val="FFFFFF"/>
              </w:rPr>
              <w:t xml:space="preserve">CRITICAL</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All POST endpoints (/validate-data, /build-fact-table, /dashboard-kpis, /baseline-flags)</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None of the processing endpoints enforce a rate limit, request queue cap, or timeout. Each call triggers synchronous, resource-intensive data processing (pandas operations over thousands of rows, file writes). Because requests appear to be handled sequentially with no limit on how many can be queued, a burst of requests overwhelms the service.</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Test 1: ~100 requests sent to processing endpoints in quick succession -&gt; service stopped responding to any request.</w:t>
      </w:r>
    </w:p>
    <w:p>
      <w:pPr>
        <w:shd w:fill="F2F2F2" w:color="auto" w:val="clear"/>
        <w:spacing w:after="120"/>
      </w:pPr>
      <w:r>
        <w:rPr>
          <w:rFonts w:ascii="Consolas" w:cs="Consolas" w:eastAsia="Consolas" w:hAnsi="Consolas"/>
          <w:sz w:val="20"/>
          <w:szCs w:val="20"/>
        </w:rPr>
        <w:t xml:space="preserve">Test 2: a further 20 requests sent afterward -&gt; no response received after 3+ hours (ongoing at time of writing).</w:t>
      </w:r>
    </w:p>
    <w:p>
      <w:pPr>
        <w:spacing w:after="100"/>
      </w:pPr>
      <w:r>
        <w:rPr>
          <w:b/>
          <w:bCs/>
        </w:rPr>
        <w:t xml:space="preserve">Impact: </w:t>
      </w:r>
      <w:r>
        <w:t xml:space="preserve">A single user, with no authentication and no special tooling — just the public Swagger UI — can take the entire API offline for hours. This was not a simulated result: it reproduced a genuine outage on the production deployment during this assessment. Any dependent mobile app or dashboard would be fully unavailable for the duration.</w:t>
      </w:r>
    </w:p>
    <w:p>
      <w:pPr>
        <w:spacing w:after="200"/>
      </w:pPr>
      <w:r>
        <w:rPr>
          <w:b/>
          <w:bCs/>
        </w:rPr>
        <w:t xml:space="preserve">Recommendation: </w:t>
      </w:r>
      <w:r>
        <w:t xml:space="preserve">Add rate limiting per IP/client (e.g. slowapi for FastAPI, or an API gateway/WAF in front of Railway). Move heavy processing (validate-data, build-fact-table, dashboard-kpis, baseline-flags) to a background job/queue (Celery, RQ, or FastAPI BackgroundTasks with a worker) so HTTP requests return immediately and processing is capped in concurrency. Add request timeouts and a hard cap on concurrent jobs. Restart/monitor the Railway service and consider auto-restart on health-check failure.</w:t>
      </w:r>
    </w:p>
    <w:p>
      <w:pPr>
        <w:spacing w:after="80" w:before="300"/>
      </w:pPr>
      <w:r>
        <w:rPr>
          <w:b/>
          <w:bCs/>
          <w:sz w:val="26"/>
          <w:szCs w:val="26"/>
        </w:rPr>
        <w:t xml:space="preserve">3.2. No Authentication on Any Endpoint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E67E22" w:color="auto" w:val="clear"/>
            <w:vAlign w:val="center"/>
          </w:tcPr>
          <w:p>
            <w:pPr>
              <w:jc w:val="center"/>
            </w:pPr>
            <w:r>
              <w:rPr>
                <w:b/>
                <w:bCs/>
                <w:color w:val="FFFFFF"/>
              </w:rPr>
              <w:t xml:space="preserve">HIGH</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All endpoints</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Every endpoint, including the ones that process the full dataset and write output files, is reachable by anyone with the URL — no API key, token, or login is required or enforced.</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All requests in this assessment succeeded (200 OK) with only the 'accept: */*' header — no Authorization header was ever sent.</w:t>
      </w:r>
    </w:p>
    <w:p>
      <w:pPr>
        <w:spacing w:after="100"/>
      </w:pPr>
      <w:r>
        <w:rPr>
          <w:b/>
          <w:bCs/>
        </w:rPr>
        <w:t xml:space="preserve">Impact: </w:t>
      </w:r>
      <w:r>
        <w:t xml:space="preserve">Anyone who discovers or is given the Swagger URL can run the entire data pipeline, view processed outputs, and download generated files. Combined with Finding 3.1, this also means anyone can trigger the denial-of-service condition at will.</w:t>
      </w:r>
    </w:p>
    <w:p>
      <w:pPr>
        <w:spacing w:after="200"/>
      </w:pPr>
      <w:r>
        <w:rPr>
          <w:b/>
          <w:bCs/>
        </w:rPr>
        <w:t xml:space="preserve">Recommendation: </w:t>
      </w:r>
      <w:r>
        <w:t xml:space="preserve">Require authentication (API key, OAuth2/JWT, or at minimum HTTP Basic over HTTPS) on every endpoint before this API is used with real data. Keep the Swagger UI itself restricted or disabled in production.</w:t>
      </w:r>
    </w:p>
    <w:p>
      <w:pPr>
        <w:spacing w:after="80" w:before="300"/>
      </w:pPr>
      <w:r>
        <w:rPr>
          <w:b/>
          <w:bCs/>
          <w:sz w:val="26"/>
          <w:szCs w:val="26"/>
        </w:rPr>
        <w:t xml:space="preserve">3.3. Sensitive Personal Data (PII) Exposed Without Access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E67E22" w:color="auto" w:val="clear"/>
            <w:vAlign w:val="center"/>
          </w:tcPr>
          <w:p>
            <w:pPr>
              <w:jc w:val="center"/>
            </w:pPr>
            <w:r>
              <w:rPr>
                <w:b/>
                <w:bCs/>
                <w:color w:val="FFFFFF"/>
              </w:rPr>
              <w:t xml:space="preserve">HIGH</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POST /validate-data</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Calling this endpoint returns, in plain JSON, real-looking student and staff records: full names, email addresses, IDs, departments, and year levels for 300 students and 12 staff members. There is no authentication, and the data is not masked or paginated.</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Response excerpt: staff records with fields "staff_id, name, email, role, department" (e.g. STF001, Farida Rizk, staff1@bua.edu.eg).</w:t>
      </w:r>
    </w:p>
    <w:p>
      <w:pPr>
        <w:shd w:fill="F2F2F2" w:color="auto" w:val="clear"/>
        <w:spacing w:after="120"/>
      </w:pPr>
      <w:r>
        <w:rPr>
          <w:rFonts w:ascii="Consolas" w:cs="Consolas" w:eastAsia="Consolas" w:hAnsi="Consolas"/>
          <w:sz w:val="20"/>
          <w:szCs w:val="20"/>
        </w:rPr>
        <w:t xml:space="preserve">Response excerpt: 300 student records with fields "student_id, name, email, year_level, department".</w:t>
      </w:r>
    </w:p>
    <w:p>
      <w:pPr>
        <w:spacing w:after="100"/>
      </w:pPr>
      <w:r>
        <w:rPr>
          <w:b/>
          <w:bCs/>
        </w:rPr>
        <w:t xml:space="preserve">Impact: </w:t>
      </w:r>
      <w:r>
        <w:t xml:space="preserve">If this dataset is or becomes real student/staff data rather than a demo set, this is a direct personal-data breach exposed to anyone with the URL — a serious privacy and, depending on jurisdiction, regulatory issue (e.g. data protection law).</w:t>
      </w:r>
    </w:p>
    <w:p>
      <w:pPr>
        <w:spacing w:after="200"/>
      </w:pPr>
      <w:r>
        <w:rPr>
          <w:b/>
          <w:bCs/>
        </w:rPr>
        <w:t xml:space="preserve">Recommendation: </w:t>
      </w:r>
      <w:r>
        <w:t xml:space="preserve">Never return raw PII in an unauthenticated API response. Restrict this endpoint behind authentication, return only aggregated/summary output over the API (keep row-level PII server-side or behind stricter access), and confirm whether the current dataset is synthetic/demo data before this goes further into production.</w:t>
      </w:r>
    </w:p>
    <w:p>
      <w:pPr>
        <w:spacing w:after="80" w:before="300"/>
      </w:pPr>
      <w:r>
        <w:rPr>
          <w:b/>
          <w:bCs/>
          <w:sz w:val="26"/>
          <w:szCs w:val="26"/>
        </w:rPr>
        <w:t xml:space="preserve">3.4. Internal Server Information Disclosure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F1C40F" w:color="auto" w:val="clear"/>
            <w:vAlign w:val="center"/>
          </w:tcPr>
          <w:p>
            <w:pPr>
              <w:jc w:val="center"/>
            </w:pPr>
            <w:r>
              <w:rPr>
                <w:b/>
                <w:bCs/>
                <w:color w:val="FFFFFF"/>
              </w:rPr>
              <w:t xml:space="preserve">MEDIUM</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POST /baseline-flags (and stdout/stderr returned by other processing endpoints)</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Endpoint responses include raw stdout/stderr from the underlying scripts, which leak internal implementation details: the process runs as the 'root' user inside its container, and the full internal file path of the input dataset is disclosed.</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stderr: "Run started by user: root"</w:t>
      </w:r>
    </w:p>
    <w:p>
      <w:pPr>
        <w:shd w:fill="F2F2F2" w:color="auto" w:val="clear"/>
        <w:spacing w:after="120"/>
      </w:pPr>
      <w:r>
        <w:rPr>
          <w:rFonts w:ascii="Consolas" w:cs="Consolas" w:eastAsia="Consolas" w:hAnsi="Consolas"/>
          <w:sz w:val="20"/>
          <w:szCs w:val="20"/>
        </w:rPr>
        <w:t xml:space="preserve">stderr: "Input file: /app/data/processed/ATT_demo_dataset_converted.xlsx"</w:t>
      </w:r>
    </w:p>
    <w:p>
      <w:pPr>
        <w:spacing w:after="100"/>
      </w:pPr>
      <w:r>
        <w:rPr>
          <w:b/>
          <w:bCs/>
        </w:rPr>
        <w:t xml:space="preserve">Impact: </w:t>
      </w:r>
      <w:r>
        <w:t xml:space="preserve">Running application processes as root violates least-privilege practice — if any other vulnerability (e.g. injection) is ever introduced, its impact is maximized. Disclosing internal paths and log/stdout content to API callers also gives an attacker a head start in mapping the server's internals, and log data should generally not be forwarded to API responses at all.</w:t>
      </w:r>
    </w:p>
    <w:p>
      <w:pPr>
        <w:spacing w:after="200"/>
      </w:pPr>
      <w:r>
        <w:rPr>
          <w:b/>
          <w:bCs/>
        </w:rPr>
        <w:t xml:space="preserve">Recommendation: </w:t>
      </w:r>
      <w:r>
        <w:t xml:space="preserve">Run the application as a non-root user inside the container. Do not return raw stdout/stderr/log content to API clients — log it server-side only and return a minimal status/result object instead.</w:t>
      </w:r>
    </w:p>
    <w:p>
      <w:pPr>
        <w:spacing w:after="80" w:before="300"/>
      </w:pPr>
      <w:r>
        <w:rPr>
          <w:b/>
          <w:bCs/>
          <w:sz w:val="26"/>
          <w:szCs w:val="26"/>
        </w:rPr>
        <w:t xml:space="preserve">3.5. Path Traversal on /download — Tested, Not Exploitable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3498DB" w:color="auto" w:val="clear"/>
            <w:vAlign w:val="center"/>
          </w:tcPr>
          <w:p>
            <w:pPr>
              <w:jc w:val="center"/>
            </w:pPr>
            <w:r>
              <w:rPr>
                <w:b/>
                <w:bCs/>
                <w:color w:val="FFFFFF"/>
              </w:rPr>
              <w:t xml:space="preserve">INFORMATIONAL</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GET /download?path=</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The /download endpoint accepts a free-text 'path' query parameter and was tested for directory traversal, a common vulnerability in file-download endpoints.</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Payloads tried: ../main.py, ../../main.py, ../.env, ../../.env, ..%2fmain.py, ..\main.py, docs/../main.py, /etc/passwd, ../main.py%00.md</w:t>
      </w:r>
    </w:p>
    <w:p>
      <w:pPr>
        <w:shd w:fill="F2F2F2" w:color="auto" w:val="clear"/>
        <w:spacing w:after="120"/>
      </w:pPr>
      <w:r>
        <w:rPr>
          <w:rFonts w:ascii="Consolas" w:cs="Consolas" w:eastAsia="Consolas" w:hAnsi="Consolas"/>
          <w:sz w:val="20"/>
          <w:szCs w:val="20"/>
        </w:rPr>
        <w:t xml:space="preserve">All attempts returned HTTP 403 with body: {"detail": "That path is not downloadable."}</w:t>
      </w:r>
    </w:p>
    <w:p>
      <w:pPr>
        <w:shd w:fill="F2F2F2" w:color="auto" w:val="clear"/>
        <w:spacing w:after="120"/>
      </w:pPr>
      <w:r>
        <w:rPr>
          <w:rFonts w:ascii="Consolas" w:cs="Consolas" w:eastAsia="Consolas" w:hAnsi="Consolas"/>
          <w:sz w:val="20"/>
          <w:szCs w:val="20"/>
        </w:rPr>
        <w:t xml:space="preserve">A legitimate path (docs/data_quality_report.md) correctly returned HTTP 200 with the file.</w:t>
      </w:r>
    </w:p>
    <w:p>
      <w:pPr>
        <w:spacing w:after="100"/>
      </w:pPr>
      <w:r>
        <w:rPr>
          <w:b/>
          <w:bCs/>
        </w:rPr>
        <w:t xml:space="preserve">Impact: </w:t>
      </w:r>
      <w:r>
        <w:t xml:space="preserve">No impact — the endpoint appears to validate requested paths against an allow-list of files actually produced by the pipeline, rather than resolving arbitrary filesystem paths. This is good practice and should be preserved.</w:t>
      </w:r>
    </w:p>
    <w:p>
      <w:pPr>
        <w:spacing w:after="200"/>
      </w:pPr>
      <w:r>
        <w:rPr>
          <w:b/>
          <w:bCs/>
        </w:rPr>
        <w:t xml:space="preserve">Recommendation: </w:t>
      </w:r>
      <w:r>
        <w:t xml:space="preserve">No fix required. Recommend adding an automated regression test for this allow-list check so it is not accidentally weakened in future changes, and confirming the same validation logic is applied consistently if new file types or output paths are added later.</w:t>
      </w:r>
    </w:p>
    <w:p>
      <w:pPr>
        <w:pStyle w:val="Heading1"/>
        <w:spacing w:after="160" w:before="320"/>
      </w:pPr>
      <w:r>
        <w:t xml:space="preserve">4. Overall Risk &amp; Priority</w:t>
      </w:r>
    </w:p>
    <w:p>
      <w:pPr>
        <w:spacing w:after="120"/>
      </w:pPr>
      <w:r>
        <w:rPr>
          <w:b w:val="false"/>
          <w:bCs w:val="false"/>
          <w:i w:val="false"/>
          <w:iCs w:val="false"/>
          <w:sz w:val="22"/>
          <w:szCs w:val="22"/>
        </w:rPr>
        <w:t xml:space="preserve">The API is not currently safe to expose publicly or to connect to real production data. The combination of no authentication, no rate limiting, and PII exposure means the confidentiality, integrity, and availability of the system are all at risk simultaneously.</w:t>
      </w:r>
    </w:p>
    <w:p>
      <w:pPr>
        <w:pStyle w:val="Heading2"/>
        <w:spacing w:after="120" w:before="260"/>
      </w:pPr>
      <w:r>
        <w:t xml:space="preserve">Recommended priority order</w:t>
      </w:r>
    </w:p>
    <w:p>
      <w:pPr>
        <w:pStyle w:val="ListParagraph"/>
        <w:numPr>
          <w:ilvl w:val="0"/>
          <w:numId w:val="1"/>
        </w:numPr>
        <w:spacing w:after="60"/>
      </w:pPr>
      <w:r>
        <w:t xml:space="preserve">1) Fix Finding 3.1 (rate limiting / background processing) immediately — this is an active, reproducible outage risk.</w:t>
      </w:r>
    </w:p>
    <w:p>
      <w:pPr>
        <w:pStyle w:val="ListParagraph"/>
        <w:numPr>
          <w:ilvl w:val="0"/>
          <w:numId w:val="1"/>
        </w:numPr>
        <w:spacing w:after="60"/>
      </w:pPr>
      <w:r>
        <w:t xml:space="preserve">2) Add authentication to all endpoints (Finding 3.2) before any further testing or real data is used.</w:t>
      </w:r>
    </w:p>
    <w:p>
      <w:pPr>
        <w:pStyle w:val="ListParagraph"/>
        <w:numPr>
          <w:ilvl w:val="0"/>
          <w:numId w:val="1"/>
        </w:numPr>
        <w:spacing w:after="60"/>
      </w:pPr>
      <w:r>
        <w:t xml:space="preserve">3) Restrict/mask PII returned by /validate-data (Finding 3.3).</w:t>
      </w:r>
    </w:p>
    <w:p>
      <w:pPr>
        <w:pStyle w:val="ListParagraph"/>
        <w:numPr>
          <w:ilvl w:val="0"/>
          <w:numId w:val="1"/>
        </w:numPr>
        <w:spacing w:after="60"/>
      </w:pPr>
      <w:r>
        <w:t xml:space="preserve">4) Remove root execution and stop forwarding stdout/stderr to clients (Finding 3.4).</w:t>
      </w:r>
    </w:p>
    <w:p>
      <w:pPr>
        <w:pStyle w:val="ListParagraph"/>
        <w:numPr>
          <w:ilvl w:val="0"/>
          <w:numId w:val="1"/>
        </w:numPr>
        <w:spacing w:after="60"/>
      </w:pPr>
      <w:r>
        <w:t xml:space="preserve">5) Keep the existing /download allow-list validation as-is (Finding 3.5); add a regression test.</w:t>
      </w:r>
    </w:p>
    <w:p>
      <w:pPr>
        <w:pStyle w:val="Heading1"/>
        <w:spacing w:after="160" w:before="320"/>
      </w:pPr>
      <w:r>
        <w:t xml:space="preserve">5. Notes on Testing</w:t>
      </w:r>
    </w:p>
    <w:p>
      <w:pPr>
        <w:spacing w:after="120"/>
      </w:pPr>
      <w:r>
        <w:rPr>
          <w:b w:val="false"/>
          <w:bCs w:val="false"/>
          <w:i w:val="false"/>
          <w:iCs w:val="false"/>
          <w:sz w:val="22"/>
          <w:szCs w:val="22"/>
        </w:rPr>
        <w:t xml:space="preserve">All testing was performed via the public Swagger 'Try it out' interface with single, manual requests, except for the rate-limit test in Finding 3.1. No destructive payloads were executed and no file contents from any successful traversal attempt were viewed, since all traversal attempts were blocked (403). The denial-of-service condition observed in Finding 3.1 was unintentional in scale — a modest 100-request test was sufficient to trigger it.</w:t>
      </w:r>
    </w:p>
    <w:p>
      <w:pPr>
        <w:pStyle w:val="Heading1"/>
        <w:spacing w:after="160" w:before="320"/>
      </w:pPr>
      <w:r>
        <w:t xml:space="preserve">Appendix: Severity Level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C3E50" w:color="auto" w:val="clear"/>
            <w:vAlign w:val="center"/>
          </w:tcPr>
          <w:p>
            <w:r>
              <w:rPr>
                <w:b/>
                <w:bCs/>
                <w:color w:val="FFFFFF"/>
                <w:sz w:val="20"/>
                <w:szCs w:val="20"/>
              </w:rPr>
              <w:t xml:space="preserve">Level</w:t>
            </w:r>
          </w:p>
        </w:tc>
        <w:tc>
          <w:tcPr>
            <w:tcW w:type="dxa" w:w="7400"/>
            <w:shd w:fill="2C3E50" w:color="auto" w:val="clear"/>
            <w:vAlign w:val="center"/>
          </w:tcPr>
          <w:p>
            <w:r>
              <w:rPr>
                <w:b/>
                <w:bCs/>
                <w:color w:val="FFFFFF"/>
                <w:sz w:val="20"/>
                <w:szCs w:val="20"/>
              </w:rPr>
              <w:t xml:space="preserve">Meaning</w:t>
            </w:r>
          </w:p>
        </w:tc>
      </w:tr>
      <w:tr>
        <w:tc>
          <w:tcPr>
            <w:tcW w:type="dxa" w:w="1600"/>
            <w:shd w:fill="C0392B" w:color="auto" w:val="clear"/>
            <w:vAlign w:val="center"/>
          </w:tcPr>
          <w:p>
            <w:pPr>
              <w:jc w:val="center"/>
            </w:pPr>
            <w:r>
              <w:rPr>
                <w:b/>
                <w:bCs/>
                <w:color w:val="FFFFFF"/>
              </w:rPr>
              <w:t xml:space="preserve">CRITICAL</w:t>
            </w:r>
          </w:p>
        </w:tc>
        <w:tc>
          <w:tcPr>
            <w:tcW w:type="dxa" w:w="7400"/>
            <w:vAlign w:val="center"/>
          </w:tcPr>
          <w:p>
            <w:r>
              <w:rPr>
                <w:b w:val="false"/>
                <w:bCs w:val="false"/>
                <w:color w:val="000000"/>
                <w:sz w:val="20"/>
                <w:szCs w:val="20"/>
              </w:rPr>
              <w:t xml:space="preserve">Immediate, severe impact is possible (full outage, complete compromise). Requires urgent, immediate remediation.</w:t>
            </w:r>
          </w:p>
        </w:tc>
      </w:tr>
      <w:tr>
        <w:tc>
          <w:tcPr>
            <w:tcW w:type="dxa" w:w="1600"/>
            <w:shd w:fill="E67E22" w:color="auto" w:val="clear"/>
            <w:vAlign w:val="center"/>
          </w:tcPr>
          <w:p>
            <w:pPr>
              <w:jc w:val="center"/>
            </w:pPr>
            <w:r>
              <w:rPr>
                <w:b/>
                <w:bCs/>
                <w:color w:val="FFFFFF"/>
              </w:rPr>
              <w:t xml:space="preserve">HIGH</w:t>
            </w:r>
          </w:p>
        </w:tc>
        <w:tc>
          <w:tcPr>
            <w:tcW w:type="dxa" w:w="7400"/>
            <w:vAlign w:val="center"/>
          </w:tcPr>
          <w:p>
            <w:r>
              <w:rPr>
                <w:b w:val="false"/>
                <w:bCs w:val="false"/>
                <w:color w:val="000000"/>
                <w:sz w:val="20"/>
                <w:szCs w:val="20"/>
              </w:rPr>
              <w:t xml:space="preserve">Serious impact is possible (data leakage, unauthorized access). Requires prompt remediation.</w:t>
            </w:r>
          </w:p>
        </w:tc>
      </w:tr>
      <w:tr>
        <w:tc>
          <w:tcPr>
            <w:tcW w:type="dxa" w:w="1600"/>
            <w:shd w:fill="F1C40F" w:color="auto" w:val="clear"/>
            <w:vAlign w:val="center"/>
          </w:tcPr>
          <w:p>
            <w:pPr>
              <w:jc w:val="center"/>
            </w:pPr>
            <w:r>
              <w:rPr>
                <w:b/>
                <w:bCs/>
                <w:color w:val="FFFFFF"/>
              </w:rPr>
              <w:t xml:space="preserve">MEDIUM</w:t>
            </w:r>
          </w:p>
        </w:tc>
        <w:tc>
          <w:tcPr>
            <w:tcW w:type="dxa" w:w="7400"/>
            <w:vAlign w:val="center"/>
          </w:tcPr>
          <w:p>
            <w:r>
              <w:rPr>
                <w:b w:val="false"/>
                <w:bCs w:val="false"/>
                <w:color w:val="000000"/>
                <w:sz w:val="20"/>
                <w:szCs w:val="20"/>
              </w:rPr>
              <w:t xml:space="preserve">Weakens overall protection or makes other issues easier to exploit. Important but not urgent.</w:t>
            </w:r>
          </w:p>
        </w:tc>
      </w:tr>
      <w:tr>
        <w:tc>
          <w:tcPr>
            <w:tcW w:type="dxa" w:w="1600"/>
            <w:shd w:fill="3498DB" w:color="auto" w:val="clear"/>
            <w:vAlign w:val="center"/>
          </w:tcPr>
          <w:p>
            <w:pPr>
              <w:jc w:val="center"/>
            </w:pPr>
            <w:r>
              <w:rPr>
                <w:b/>
                <w:bCs/>
                <w:color w:val="FFFFFF"/>
              </w:rPr>
              <w:t xml:space="preserve">LOW</w:t>
            </w:r>
          </w:p>
        </w:tc>
        <w:tc>
          <w:tcPr>
            <w:tcW w:type="dxa" w:w="7400"/>
            <w:vAlign w:val="center"/>
          </w:tcPr>
          <w:p>
            <w:r>
              <w:rPr>
                <w:b w:val="false"/>
                <w:bCs w:val="false"/>
                <w:color w:val="000000"/>
                <w:sz w:val="20"/>
                <w:szCs w:val="20"/>
              </w:rPr>
              <w:t xml:space="preserve">Limited impact or difficult to exploit. Documented for completeness.</w:t>
            </w:r>
          </w:p>
        </w:tc>
      </w:tr>
      <w:tr>
        <w:tc>
          <w:tcPr>
            <w:tcW w:type="dxa" w:w="2200"/>
            <w:vAlign w:val="center"/>
          </w:tcPr>
          <w:p>
            <w:r>
              <w:rPr>
                <w:b w:val="false"/>
                <w:bCs w:val="false"/>
                <w:color w:val="000000"/>
                <w:sz w:val="20"/>
                <w:szCs w:val="20"/>
              </w:rPr>
              <w:t xml:space="preserve">INFORMATIONAL</w:t>
            </w:r>
          </w:p>
        </w:tc>
        <w:tc>
          <w:tcPr>
            <w:tcW w:type="dxa" w:w="7400"/>
            <w:vAlign w:val="center"/>
          </w:tcPr>
          <w:p>
            <w:r>
              <w:rPr>
                <w:b w:val="false"/>
                <w:bCs w:val="false"/>
                <w:color w:val="000000"/>
                <w:sz w:val="20"/>
                <w:szCs w:val="20"/>
              </w:rPr>
              <w:t xml:space="preserve">Not a vulnerability — a negative test result confirming a protection is working correctly.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2026-09-24T16:23:19.566Z</dcterms:created>
  <dcterms:modified xsi:type="dcterms:W3CDTF">2026-09-24T16:23:19.571Z</dcterms:modified>
</cp:coreProperties>
</file>

<file path=docProps/custom.xml><?xml version="1.0" encoding="utf-8"?>
<Properties xmlns="http://schemas.openxmlformats.org/officeDocument/2006/custom-properties" xmlns:vt="http://schemas.openxmlformats.org/officeDocument/2006/docPropsVTypes"/>
</file>