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4.xml" ContentType="application/vnd.openxmlformats-officedocument.themeOverride+xml"/>
  <Override PartName="/word/drawings/drawing1.xml" ContentType="application/vnd.openxmlformats-officedocument.drawingml.chartshapes+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drawings/drawing2.xml" ContentType="application/vnd.openxmlformats-officedocument.drawingml.chartshapes+xml"/>
  <Override PartName="/word/charts/chart7.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7.xml" ContentType="application/vnd.openxmlformats-officedocument.themeOverride+xml"/>
  <Override PartName="/word/drawings/drawing3.xml" ContentType="application/vnd.openxmlformats-officedocument.drawingml.chartshapes+xml"/>
  <Override PartName="/word/charts/chart8.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8.xml" ContentType="application/vnd.openxmlformats-officedocument.themeOverride+xml"/>
  <Override PartName="/word/drawings/drawing4.xml" ContentType="application/vnd.openxmlformats-officedocument.drawingml.chartshapes+xml"/>
  <Override PartName="/word/charts/chart9.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4.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5.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6.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7.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8.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3.xml" ContentType="application/vnd.openxmlformats-officedocument.themeOverride+xml"/>
  <Override PartName="/word/drawings/drawing5.xml" ContentType="application/vnd.openxmlformats-officedocument.drawingml.chartshapes+xml"/>
  <Override PartName="/word/charts/chart19.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20.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21.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22.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3.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4.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5.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6.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7.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8.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Ex1.xml" ContentType="application/vnd.ms-office.chartex+xml"/>
  <Override PartName="/word/charts/style26.xml" ContentType="application/vnd.ms-office.chartstyle+xml"/>
  <Override PartName="/word/charts/colors26.xml" ContentType="application/vnd.ms-office.chartcolorstyle+xml"/>
  <Override PartName="/word/charts/chartEx2.xml" ContentType="application/vnd.ms-office.chartex+xml"/>
  <Override PartName="/word/charts/style27.xml" ContentType="application/vnd.ms-office.chartstyle+xml"/>
  <Override PartName="/word/charts/colors27.xml" ContentType="application/vnd.ms-office.chartcolorstyle+xml"/>
  <Override PartName="/word/charts/chart29.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30.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1.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Ex3.xml" ContentType="application/vnd.ms-office.chartex+xml"/>
  <Override PartName="/word/charts/style31.xml" ContentType="application/vnd.ms-office.chartstyle+xml"/>
  <Override PartName="/word/charts/colors31.xml" ContentType="application/vnd.ms-office.chartcolorstyle+xml"/>
  <Override PartName="/word/charts/chartEx4.xml" ContentType="application/vnd.ms-office.chartex+xml"/>
  <Override PartName="/word/charts/style32.xml" ContentType="application/vnd.ms-office.chartstyle+xml"/>
  <Override PartName="/word/charts/colors32.xml" ContentType="application/vnd.ms-office.chartcolorstyle+xml"/>
  <Override PartName="/word/charts/chart32.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3.xml" ContentType="application/vnd.openxmlformats-officedocument.drawingml.chart+xml"/>
  <Override PartName="/word/charts/style34.xml" ContentType="application/vnd.ms-office.chartstyle+xml"/>
  <Override PartName="/word/charts/colors3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D8591" w14:textId="5AFF18CF" w:rsidR="001306A3" w:rsidRPr="001306A3" w:rsidRDefault="001306A3" w:rsidP="001306A3">
      <w:pPr>
        <w:spacing w:line="480" w:lineRule="auto"/>
        <w:ind w:firstLineChars="0" w:firstLine="0"/>
        <w:rPr>
          <w:rFonts w:eastAsia="楷体"/>
          <w:b/>
          <w:sz w:val="32"/>
          <w:szCs w:val="32"/>
        </w:rPr>
      </w:pPr>
      <w:bookmarkStart w:id="0" w:name="_Hlk38902105"/>
      <w:bookmarkEnd w:id="0"/>
      <w:r w:rsidRPr="001306A3">
        <w:rPr>
          <w:rFonts w:eastAsia="楷体" w:hint="eastAsia"/>
          <w:b/>
          <w:sz w:val="32"/>
          <w:szCs w:val="32"/>
        </w:rPr>
        <w:t>能源基金会资助项目</w:t>
      </w:r>
      <w:r w:rsidRPr="001306A3">
        <w:rPr>
          <w:rFonts w:eastAsia="楷体" w:hint="eastAsia"/>
          <w:b/>
          <w:sz w:val="32"/>
          <w:szCs w:val="32"/>
        </w:rPr>
        <w:t xml:space="preserve">            </w:t>
      </w:r>
      <w:r w:rsidRPr="001306A3">
        <w:rPr>
          <w:rFonts w:eastAsia="楷体" w:hint="eastAsia"/>
          <w:b/>
          <w:sz w:val="32"/>
          <w:szCs w:val="32"/>
        </w:rPr>
        <w:t>合同编号：</w:t>
      </w:r>
      <w:r w:rsidRPr="001306A3">
        <w:rPr>
          <w:rFonts w:eastAsia="楷体"/>
          <w:b/>
          <w:sz w:val="32"/>
          <w:szCs w:val="32"/>
        </w:rPr>
        <w:t>G-2104-32809</w:t>
      </w:r>
    </w:p>
    <w:p w14:paraId="68EA5AC0" w14:textId="77777777" w:rsidR="001306A3" w:rsidRPr="001306A3" w:rsidRDefault="001306A3" w:rsidP="001306A3">
      <w:pPr>
        <w:ind w:firstLineChars="0" w:firstLine="0"/>
      </w:pPr>
    </w:p>
    <w:p w14:paraId="35C9CBED" w14:textId="77777777" w:rsidR="001306A3" w:rsidRDefault="001306A3" w:rsidP="001306A3">
      <w:pPr>
        <w:ind w:firstLine="560"/>
      </w:pPr>
    </w:p>
    <w:p w14:paraId="1E9B35AD" w14:textId="01A86F7D" w:rsidR="001306A3" w:rsidRPr="00463609" w:rsidRDefault="001306A3" w:rsidP="001306A3">
      <w:pPr>
        <w:pStyle w:val="1"/>
        <w:spacing w:line="720" w:lineRule="auto"/>
        <w:ind w:firstLineChars="0" w:firstLine="0"/>
        <w:rPr>
          <w:rFonts w:ascii="方正小标宋简体" w:eastAsia="方正小标宋简体"/>
          <w:sz w:val="48"/>
          <w:szCs w:val="56"/>
        </w:rPr>
      </w:pPr>
      <w:bookmarkStart w:id="1" w:name="_Toc93782300"/>
      <w:r w:rsidRPr="00463609">
        <w:rPr>
          <w:rFonts w:ascii="方正小标宋简体" w:eastAsia="方正小标宋简体" w:hint="eastAsia"/>
          <w:sz w:val="48"/>
          <w:szCs w:val="56"/>
        </w:rPr>
        <w:t>碳中和背景下交通部门近零排放</w:t>
      </w:r>
      <w:bookmarkEnd w:id="1"/>
    </w:p>
    <w:p w14:paraId="7787D190" w14:textId="40EF1776" w:rsidR="00BC4F79" w:rsidRPr="00463609" w:rsidRDefault="001306A3" w:rsidP="001306A3">
      <w:pPr>
        <w:pStyle w:val="1"/>
        <w:spacing w:line="720" w:lineRule="auto"/>
        <w:ind w:firstLineChars="0" w:firstLine="0"/>
        <w:rPr>
          <w:rFonts w:ascii="方正小标宋简体" w:eastAsia="方正小标宋简体"/>
          <w:sz w:val="48"/>
          <w:szCs w:val="56"/>
        </w:rPr>
      </w:pPr>
      <w:bookmarkStart w:id="2" w:name="_Toc93782301"/>
      <w:r w:rsidRPr="00463609">
        <w:rPr>
          <w:rFonts w:ascii="方正小标宋简体" w:eastAsia="方正小标宋简体" w:hint="eastAsia"/>
          <w:sz w:val="48"/>
          <w:szCs w:val="56"/>
        </w:rPr>
        <w:t>战略</w:t>
      </w:r>
      <w:r w:rsidR="00274ACF" w:rsidRPr="00463609">
        <w:rPr>
          <w:rFonts w:ascii="方正小标宋简体" w:eastAsia="方正小标宋简体" w:hint="eastAsia"/>
          <w:sz w:val="48"/>
          <w:szCs w:val="56"/>
        </w:rPr>
        <w:t>、</w:t>
      </w:r>
      <w:r w:rsidRPr="00463609">
        <w:rPr>
          <w:rFonts w:ascii="方正小标宋简体" w:eastAsia="方正小标宋简体" w:hint="eastAsia"/>
          <w:sz w:val="48"/>
          <w:szCs w:val="56"/>
        </w:rPr>
        <w:t>路径</w:t>
      </w:r>
      <w:r w:rsidR="00274ACF" w:rsidRPr="00463609">
        <w:rPr>
          <w:rFonts w:ascii="方正小标宋简体" w:eastAsia="方正小标宋简体" w:hint="eastAsia"/>
          <w:sz w:val="48"/>
          <w:szCs w:val="56"/>
        </w:rPr>
        <w:t>、对策</w:t>
      </w:r>
      <w:r w:rsidRPr="00463609">
        <w:rPr>
          <w:rFonts w:ascii="方正小标宋简体" w:eastAsia="方正小标宋简体" w:hint="eastAsia"/>
          <w:sz w:val="48"/>
          <w:szCs w:val="56"/>
        </w:rPr>
        <w:t>研究</w:t>
      </w:r>
      <w:bookmarkEnd w:id="2"/>
    </w:p>
    <w:p w14:paraId="6177A4DB" w14:textId="45FC3E46" w:rsidR="001306A3" w:rsidRDefault="001306A3" w:rsidP="001306A3">
      <w:pPr>
        <w:ind w:firstLine="560"/>
      </w:pPr>
    </w:p>
    <w:p w14:paraId="78EDDFAA" w14:textId="52F88359" w:rsidR="001306A3" w:rsidRPr="002F092D" w:rsidRDefault="002F092D" w:rsidP="002F092D">
      <w:pPr>
        <w:ind w:firstLine="720"/>
        <w:jc w:val="center"/>
        <w:rPr>
          <w:sz w:val="36"/>
          <w:szCs w:val="28"/>
        </w:rPr>
      </w:pPr>
      <w:r w:rsidRPr="002F092D">
        <w:rPr>
          <w:rFonts w:hint="eastAsia"/>
          <w:sz w:val="36"/>
          <w:szCs w:val="28"/>
        </w:rPr>
        <w:t>中期报告</w:t>
      </w:r>
    </w:p>
    <w:p w14:paraId="1D3B75B4" w14:textId="0D1F3C2E" w:rsidR="001306A3" w:rsidRDefault="001306A3" w:rsidP="001306A3">
      <w:pPr>
        <w:ind w:firstLine="560"/>
      </w:pPr>
    </w:p>
    <w:p w14:paraId="025476A0" w14:textId="7D57774B" w:rsidR="001306A3" w:rsidRDefault="001306A3" w:rsidP="001306A3">
      <w:pPr>
        <w:ind w:firstLine="560"/>
      </w:pPr>
    </w:p>
    <w:p w14:paraId="1F8867AB" w14:textId="0BCB333C" w:rsidR="001306A3" w:rsidRDefault="001306A3" w:rsidP="001306A3">
      <w:pPr>
        <w:ind w:firstLine="560"/>
      </w:pPr>
    </w:p>
    <w:p w14:paraId="0D793401" w14:textId="7DCCCE78" w:rsidR="001306A3" w:rsidRDefault="001306A3" w:rsidP="001306A3">
      <w:pPr>
        <w:ind w:firstLine="560"/>
      </w:pPr>
    </w:p>
    <w:p w14:paraId="3519D611" w14:textId="3B362969" w:rsidR="001306A3" w:rsidRDefault="001306A3" w:rsidP="001306A3">
      <w:pPr>
        <w:ind w:firstLine="560"/>
      </w:pPr>
    </w:p>
    <w:p w14:paraId="27DF75D1" w14:textId="42B79024" w:rsidR="001306A3" w:rsidRDefault="001306A3" w:rsidP="001306A3">
      <w:pPr>
        <w:ind w:firstLine="560"/>
      </w:pPr>
    </w:p>
    <w:p w14:paraId="17219E48" w14:textId="77777777" w:rsidR="001306A3" w:rsidRDefault="001306A3" w:rsidP="001306A3">
      <w:pPr>
        <w:ind w:firstLine="560"/>
      </w:pPr>
    </w:p>
    <w:p w14:paraId="7B8AD6F4" w14:textId="18653CDD" w:rsidR="001306A3" w:rsidRDefault="001306A3" w:rsidP="001306A3">
      <w:pPr>
        <w:ind w:firstLine="560"/>
      </w:pPr>
    </w:p>
    <w:p w14:paraId="7EDCA540" w14:textId="71BC8694" w:rsidR="001306A3" w:rsidRDefault="001306A3" w:rsidP="001306A3">
      <w:pPr>
        <w:ind w:firstLine="560"/>
      </w:pPr>
    </w:p>
    <w:p w14:paraId="055B5AFF" w14:textId="77777777" w:rsidR="001306A3" w:rsidRPr="001306A3" w:rsidRDefault="001306A3" w:rsidP="001306A3">
      <w:pPr>
        <w:ind w:firstLineChars="0" w:firstLine="0"/>
        <w:jc w:val="center"/>
        <w:rPr>
          <w:rFonts w:eastAsia="黑体"/>
          <w:b/>
          <w:color w:val="000000"/>
          <w:sz w:val="36"/>
          <w:szCs w:val="24"/>
        </w:rPr>
      </w:pPr>
      <w:r w:rsidRPr="001306A3">
        <w:rPr>
          <w:rFonts w:eastAsia="黑体" w:hint="eastAsia"/>
          <w:b/>
          <w:color w:val="000000"/>
          <w:sz w:val="36"/>
          <w:szCs w:val="24"/>
        </w:rPr>
        <w:t>交通运输部科学研究院</w:t>
      </w:r>
    </w:p>
    <w:p w14:paraId="1CBEA93A" w14:textId="4C681182" w:rsidR="001306A3" w:rsidRPr="001306A3" w:rsidRDefault="001306A3" w:rsidP="001306A3">
      <w:pPr>
        <w:ind w:firstLineChars="0" w:firstLine="0"/>
        <w:jc w:val="center"/>
        <w:rPr>
          <w:rFonts w:eastAsia="黑体"/>
          <w:b/>
          <w:color w:val="000000"/>
          <w:sz w:val="36"/>
          <w:szCs w:val="24"/>
        </w:rPr>
      </w:pPr>
      <w:r w:rsidRPr="001306A3">
        <w:rPr>
          <w:rFonts w:eastAsia="黑体"/>
          <w:b/>
          <w:color w:val="000000"/>
          <w:sz w:val="36"/>
          <w:szCs w:val="24"/>
        </w:rPr>
        <w:t>20</w:t>
      </w:r>
      <w:r w:rsidRPr="001306A3">
        <w:rPr>
          <w:rFonts w:eastAsia="黑体" w:hint="eastAsia"/>
          <w:b/>
          <w:color w:val="000000"/>
          <w:sz w:val="36"/>
          <w:szCs w:val="24"/>
        </w:rPr>
        <w:t>2</w:t>
      </w:r>
      <w:r w:rsidR="00DE4C35">
        <w:rPr>
          <w:rFonts w:eastAsia="黑体"/>
          <w:b/>
          <w:color w:val="000000"/>
          <w:sz w:val="36"/>
          <w:szCs w:val="24"/>
        </w:rPr>
        <w:t>2</w:t>
      </w:r>
      <w:r w:rsidRPr="001306A3">
        <w:rPr>
          <w:rFonts w:eastAsia="黑体" w:hint="eastAsia"/>
          <w:b/>
          <w:color w:val="000000"/>
          <w:sz w:val="36"/>
          <w:szCs w:val="24"/>
        </w:rPr>
        <w:t>年</w:t>
      </w:r>
      <w:r w:rsidR="00DE4C35">
        <w:rPr>
          <w:rFonts w:eastAsia="黑体"/>
          <w:b/>
          <w:color w:val="000000"/>
          <w:sz w:val="36"/>
          <w:szCs w:val="24"/>
        </w:rPr>
        <w:t>1</w:t>
      </w:r>
      <w:r w:rsidRPr="001306A3">
        <w:rPr>
          <w:rFonts w:eastAsia="黑体" w:hint="eastAsia"/>
          <w:b/>
          <w:color w:val="000000"/>
          <w:sz w:val="36"/>
          <w:szCs w:val="24"/>
        </w:rPr>
        <w:t>月</w:t>
      </w:r>
    </w:p>
    <w:p w14:paraId="222FB0D0" w14:textId="77777777" w:rsidR="00347FBA" w:rsidRDefault="00347FBA" w:rsidP="001306A3">
      <w:pPr>
        <w:ind w:firstLine="560"/>
        <w:sectPr w:rsidR="00347FBA" w:rsidSect="00B01D38">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numberInDash"/>
          <w:cols w:space="425"/>
          <w:titlePg/>
          <w:docGrid w:type="lines" w:linePitch="381"/>
        </w:sectPr>
      </w:pPr>
    </w:p>
    <w:sdt>
      <w:sdtPr>
        <w:rPr>
          <w:rFonts w:ascii="Times New Roman" w:eastAsia="仿宋" w:hAnsi="Times New Roman" w:cs="Times New Roman"/>
          <w:color w:val="auto"/>
          <w:kern w:val="2"/>
          <w:sz w:val="28"/>
          <w:szCs w:val="22"/>
          <w:lang w:val="zh-CN"/>
        </w:rPr>
        <w:id w:val="-639959800"/>
        <w:docPartObj>
          <w:docPartGallery w:val="Table of Contents"/>
          <w:docPartUnique/>
        </w:docPartObj>
      </w:sdtPr>
      <w:sdtEndPr>
        <w:rPr>
          <w:b/>
          <w:bCs/>
        </w:rPr>
      </w:sdtEndPr>
      <w:sdtContent>
        <w:p w14:paraId="627FF2CE" w14:textId="424EA588" w:rsidR="00347FBA" w:rsidRPr="00315EF0" w:rsidRDefault="00347FBA" w:rsidP="00315EF0">
          <w:pPr>
            <w:pStyle w:val="TOC"/>
            <w:ind w:firstLine="560"/>
            <w:jc w:val="center"/>
            <w:rPr>
              <w:rFonts w:ascii="黑体" w:eastAsia="黑体" w:hAnsi="黑体"/>
              <w:color w:val="000000" w:themeColor="text1"/>
              <w:sz w:val="40"/>
              <w:szCs w:val="40"/>
            </w:rPr>
          </w:pPr>
          <w:r w:rsidRPr="00315EF0">
            <w:rPr>
              <w:rFonts w:ascii="黑体" w:eastAsia="黑体" w:hAnsi="黑体"/>
              <w:color w:val="000000" w:themeColor="text1"/>
              <w:sz w:val="40"/>
              <w:szCs w:val="40"/>
              <w:lang w:val="zh-CN"/>
            </w:rPr>
            <w:t>目</w:t>
          </w:r>
          <w:r w:rsidR="00315EF0">
            <w:rPr>
              <w:rFonts w:ascii="黑体" w:eastAsia="黑体" w:hAnsi="黑体" w:hint="eastAsia"/>
              <w:color w:val="000000" w:themeColor="text1"/>
              <w:sz w:val="40"/>
              <w:szCs w:val="40"/>
              <w:lang w:val="zh-CN"/>
            </w:rPr>
            <w:t xml:space="preserve"> </w:t>
          </w:r>
          <w:r w:rsidR="00315EF0">
            <w:rPr>
              <w:rFonts w:ascii="黑体" w:eastAsia="黑体" w:hAnsi="黑体"/>
              <w:color w:val="000000" w:themeColor="text1"/>
              <w:sz w:val="40"/>
              <w:szCs w:val="40"/>
              <w:lang w:val="zh-CN"/>
            </w:rPr>
            <w:t xml:space="preserve"> </w:t>
          </w:r>
          <w:r w:rsidRPr="00315EF0">
            <w:rPr>
              <w:rFonts w:ascii="黑体" w:eastAsia="黑体" w:hAnsi="黑体"/>
              <w:color w:val="000000" w:themeColor="text1"/>
              <w:sz w:val="40"/>
              <w:szCs w:val="40"/>
              <w:lang w:val="zh-CN"/>
            </w:rPr>
            <w:t>录</w:t>
          </w:r>
        </w:p>
        <w:p w14:paraId="384FA6C1" w14:textId="0B920F49" w:rsidR="00347FBA" w:rsidRPr="00315EF0" w:rsidRDefault="00347FBA" w:rsidP="00347FBA">
          <w:pPr>
            <w:pStyle w:val="TOC1"/>
            <w:tabs>
              <w:tab w:val="right" w:leader="dot" w:pos="8296"/>
            </w:tabs>
            <w:ind w:firstLineChars="0" w:firstLine="0"/>
            <w:rPr>
              <w:rFonts w:eastAsia="黑体"/>
              <w:noProof/>
            </w:rPr>
          </w:pPr>
          <w:r w:rsidRPr="00315EF0">
            <w:rPr>
              <w:rFonts w:eastAsia="黑体"/>
            </w:rPr>
            <w:fldChar w:fldCharType="begin"/>
          </w:r>
          <w:r w:rsidRPr="00315EF0">
            <w:rPr>
              <w:rFonts w:eastAsia="黑体"/>
            </w:rPr>
            <w:instrText xml:space="preserve"> TOC \o "1-3" \h \z \u </w:instrText>
          </w:r>
          <w:r w:rsidRPr="00315EF0">
            <w:rPr>
              <w:rFonts w:eastAsia="黑体"/>
            </w:rPr>
            <w:fldChar w:fldCharType="separate"/>
          </w:r>
          <w:hyperlink w:anchor="_Toc93782302" w:history="1">
            <w:r w:rsidRPr="00315EF0">
              <w:rPr>
                <w:rStyle w:val="af0"/>
                <w:rFonts w:eastAsia="黑体"/>
                <w:noProof/>
              </w:rPr>
              <w:t>1.</w:t>
            </w:r>
            <w:r w:rsidRPr="00315EF0">
              <w:rPr>
                <w:rStyle w:val="af0"/>
                <w:rFonts w:eastAsia="黑体"/>
                <w:noProof/>
              </w:rPr>
              <w:t>背景</w:t>
            </w:r>
            <w:r w:rsidRPr="00315EF0">
              <w:rPr>
                <w:rFonts w:eastAsia="黑体"/>
                <w:noProof/>
                <w:webHidden/>
              </w:rPr>
              <w:tab/>
            </w:r>
            <w:r w:rsidRPr="00315EF0">
              <w:rPr>
                <w:rFonts w:eastAsia="黑体"/>
                <w:noProof/>
                <w:webHidden/>
              </w:rPr>
              <w:fldChar w:fldCharType="begin"/>
            </w:r>
            <w:r w:rsidRPr="00315EF0">
              <w:rPr>
                <w:rFonts w:eastAsia="黑体"/>
                <w:noProof/>
                <w:webHidden/>
              </w:rPr>
              <w:instrText xml:space="preserve"> PAGEREF _Toc93782302 \h </w:instrText>
            </w:r>
            <w:r w:rsidRPr="00315EF0">
              <w:rPr>
                <w:rFonts w:eastAsia="黑体"/>
                <w:noProof/>
                <w:webHidden/>
              </w:rPr>
            </w:r>
            <w:r w:rsidRPr="00315EF0">
              <w:rPr>
                <w:rFonts w:eastAsia="黑体"/>
                <w:noProof/>
                <w:webHidden/>
              </w:rPr>
              <w:fldChar w:fldCharType="separate"/>
            </w:r>
            <w:r w:rsidRPr="00315EF0">
              <w:rPr>
                <w:rFonts w:eastAsia="黑体"/>
                <w:noProof/>
                <w:webHidden/>
              </w:rPr>
              <w:t>- 1 -</w:t>
            </w:r>
            <w:r w:rsidRPr="00315EF0">
              <w:rPr>
                <w:rFonts w:eastAsia="黑体"/>
                <w:noProof/>
                <w:webHidden/>
              </w:rPr>
              <w:fldChar w:fldCharType="end"/>
            </w:r>
          </w:hyperlink>
        </w:p>
        <w:p w14:paraId="62BD1320" w14:textId="03BC7FD9" w:rsidR="00347FBA" w:rsidRPr="00315EF0" w:rsidRDefault="007A5567" w:rsidP="00347FBA">
          <w:pPr>
            <w:pStyle w:val="TOC3"/>
            <w:tabs>
              <w:tab w:val="right" w:leader="dot" w:pos="8296"/>
            </w:tabs>
            <w:ind w:leftChars="0" w:left="0" w:firstLineChars="0" w:firstLine="0"/>
            <w:rPr>
              <w:rFonts w:eastAsia="黑体"/>
              <w:noProof/>
            </w:rPr>
          </w:pPr>
          <w:hyperlink w:anchor="_Toc93782303" w:history="1">
            <w:r w:rsidR="00347FBA" w:rsidRPr="00315EF0">
              <w:rPr>
                <w:rStyle w:val="af0"/>
                <w:rFonts w:eastAsia="黑体"/>
                <w:noProof/>
              </w:rPr>
              <w:t xml:space="preserve">1.1 </w:t>
            </w:r>
            <w:r w:rsidR="00347FBA" w:rsidRPr="00315EF0">
              <w:rPr>
                <w:rStyle w:val="af0"/>
                <w:rFonts w:eastAsia="黑体"/>
                <w:noProof/>
              </w:rPr>
              <w:t>全球应对气候变化的形势</w:t>
            </w:r>
            <w:r w:rsidR="00347FBA" w:rsidRPr="00315EF0">
              <w:rPr>
                <w:rFonts w:eastAsia="黑体"/>
                <w:noProof/>
                <w:webHidden/>
              </w:rPr>
              <w:tab/>
            </w:r>
            <w:r w:rsidR="00347FBA" w:rsidRPr="00315EF0">
              <w:rPr>
                <w:rFonts w:eastAsia="黑体"/>
                <w:noProof/>
                <w:webHidden/>
              </w:rPr>
              <w:fldChar w:fldCharType="begin"/>
            </w:r>
            <w:r w:rsidR="00347FBA" w:rsidRPr="00315EF0">
              <w:rPr>
                <w:rFonts w:eastAsia="黑体"/>
                <w:noProof/>
                <w:webHidden/>
              </w:rPr>
              <w:instrText xml:space="preserve"> PAGEREF _Toc93782303 \h </w:instrText>
            </w:r>
            <w:r w:rsidR="00347FBA" w:rsidRPr="00315EF0">
              <w:rPr>
                <w:rFonts w:eastAsia="黑体"/>
                <w:noProof/>
                <w:webHidden/>
              </w:rPr>
            </w:r>
            <w:r w:rsidR="00347FBA" w:rsidRPr="00315EF0">
              <w:rPr>
                <w:rFonts w:eastAsia="黑体"/>
                <w:noProof/>
                <w:webHidden/>
              </w:rPr>
              <w:fldChar w:fldCharType="separate"/>
            </w:r>
            <w:r w:rsidR="00347FBA" w:rsidRPr="00315EF0">
              <w:rPr>
                <w:rFonts w:eastAsia="黑体"/>
                <w:noProof/>
                <w:webHidden/>
              </w:rPr>
              <w:t>- 1 -</w:t>
            </w:r>
            <w:r w:rsidR="00347FBA" w:rsidRPr="00315EF0">
              <w:rPr>
                <w:rFonts w:eastAsia="黑体"/>
                <w:noProof/>
                <w:webHidden/>
              </w:rPr>
              <w:fldChar w:fldCharType="end"/>
            </w:r>
          </w:hyperlink>
        </w:p>
        <w:p w14:paraId="0A93AABD" w14:textId="31CF0022" w:rsidR="00347FBA" w:rsidRPr="00315EF0" w:rsidRDefault="007A5567" w:rsidP="00347FBA">
          <w:pPr>
            <w:pStyle w:val="TOC3"/>
            <w:tabs>
              <w:tab w:val="right" w:leader="dot" w:pos="8296"/>
            </w:tabs>
            <w:ind w:leftChars="0" w:left="0" w:firstLine="560"/>
            <w:rPr>
              <w:rFonts w:eastAsia="黑体"/>
              <w:noProof/>
              <w:sz w:val="24"/>
              <w:szCs w:val="21"/>
            </w:rPr>
          </w:pPr>
          <w:hyperlink w:anchor="_Toc93782304" w:history="1">
            <w:r w:rsidR="00347FBA" w:rsidRPr="00315EF0">
              <w:rPr>
                <w:rStyle w:val="af0"/>
                <w:rFonts w:eastAsia="黑体"/>
                <w:noProof/>
                <w:sz w:val="24"/>
                <w:szCs w:val="21"/>
              </w:rPr>
              <w:t xml:space="preserve">1.2 </w:t>
            </w:r>
            <w:r w:rsidR="00347FBA" w:rsidRPr="00315EF0">
              <w:rPr>
                <w:rStyle w:val="af0"/>
                <w:rFonts w:eastAsia="黑体"/>
                <w:noProof/>
                <w:sz w:val="24"/>
                <w:szCs w:val="21"/>
              </w:rPr>
              <w:t>中国应对气候变化的政策主张</w:t>
            </w:r>
            <w:r w:rsidR="00347FBA" w:rsidRPr="00315EF0">
              <w:rPr>
                <w:rFonts w:eastAsia="黑体"/>
                <w:noProof/>
                <w:webHidden/>
                <w:sz w:val="24"/>
                <w:szCs w:val="21"/>
              </w:rPr>
              <w:tab/>
            </w:r>
            <w:r w:rsidR="00347FBA" w:rsidRPr="00315EF0">
              <w:rPr>
                <w:rFonts w:eastAsia="黑体"/>
                <w:noProof/>
                <w:webHidden/>
                <w:sz w:val="24"/>
                <w:szCs w:val="21"/>
              </w:rPr>
              <w:fldChar w:fldCharType="begin"/>
            </w:r>
            <w:r w:rsidR="00347FBA" w:rsidRPr="00315EF0">
              <w:rPr>
                <w:rFonts w:eastAsia="黑体"/>
                <w:noProof/>
                <w:webHidden/>
                <w:sz w:val="24"/>
                <w:szCs w:val="21"/>
              </w:rPr>
              <w:instrText xml:space="preserve"> PAGEREF _Toc93782304 \h </w:instrText>
            </w:r>
            <w:r w:rsidR="00347FBA" w:rsidRPr="00315EF0">
              <w:rPr>
                <w:rFonts w:eastAsia="黑体"/>
                <w:noProof/>
                <w:webHidden/>
                <w:sz w:val="24"/>
                <w:szCs w:val="21"/>
              </w:rPr>
            </w:r>
            <w:r w:rsidR="00347FBA" w:rsidRPr="00315EF0">
              <w:rPr>
                <w:rFonts w:eastAsia="黑体"/>
                <w:noProof/>
                <w:webHidden/>
                <w:sz w:val="24"/>
                <w:szCs w:val="21"/>
              </w:rPr>
              <w:fldChar w:fldCharType="separate"/>
            </w:r>
            <w:r w:rsidR="00347FBA" w:rsidRPr="00315EF0">
              <w:rPr>
                <w:rFonts w:eastAsia="黑体"/>
                <w:noProof/>
                <w:webHidden/>
                <w:sz w:val="24"/>
                <w:szCs w:val="21"/>
              </w:rPr>
              <w:t>- 4 -</w:t>
            </w:r>
            <w:r w:rsidR="00347FBA" w:rsidRPr="00315EF0">
              <w:rPr>
                <w:rFonts w:eastAsia="黑体"/>
                <w:noProof/>
                <w:webHidden/>
                <w:sz w:val="24"/>
                <w:szCs w:val="21"/>
              </w:rPr>
              <w:fldChar w:fldCharType="end"/>
            </w:r>
          </w:hyperlink>
        </w:p>
        <w:p w14:paraId="5E09CEA7" w14:textId="500D2882" w:rsidR="00347FBA" w:rsidRPr="00315EF0" w:rsidRDefault="007A5567" w:rsidP="00347FBA">
          <w:pPr>
            <w:pStyle w:val="TOC3"/>
            <w:tabs>
              <w:tab w:val="right" w:leader="dot" w:pos="8296"/>
            </w:tabs>
            <w:ind w:leftChars="0" w:left="0" w:firstLine="560"/>
            <w:rPr>
              <w:rFonts w:eastAsia="黑体"/>
              <w:noProof/>
              <w:sz w:val="24"/>
              <w:szCs w:val="21"/>
            </w:rPr>
          </w:pPr>
          <w:hyperlink w:anchor="_Toc93782305" w:history="1">
            <w:r w:rsidR="00347FBA" w:rsidRPr="00315EF0">
              <w:rPr>
                <w:rStyle w:val="af0"/>
                <w:rFonts w:eastAsia="黑体"/>
                <w:noProof/>
                <w:sz w:val="24"/>
                <w:szCs w:val="21"/>
              </w:rPr>
              <w:t xml:space="preserve">1.3 </w:t>
            </w:r>
            <w:r w:rsidR="00347FBA" w:rsidRPr="00315EF0">
              <w:rPr>
                <w:rStyle w:val="af0"/>
                <w:rFonts w:eastAsia="黑体"/>
                <w:noProof/>
                <w:sz w:val="24"/>
                <w:szCs w:val="21"/>
              </w:rPr>
              <w:t>交通部门低碳发展的重要性</w:t>
            </w:r>
            <w:r w:rsidR="00347FBA" w:rsidRPr="00315EF0">
              <w:rPr>
                <w:rFonts w:eastAsia="黑体"/>
                <w:noProof/>
                <w:webHidden/>
                <w:sz w:val="24"/>
                <w:szCs w:val="21"/>
              </w:rPr>
              <w:tab/>
            </w:r>
            <w:r w:rsidR="00347FBA" w:rsidRPr="00315EF0">
              <w:rPr>
                <w:rFonts w:eastAsia="黑体"/>
                <w:noProof/>
                <w:webHidden/>
                <w:sz w:val="24"/>
                <w:szCs w:val="21"/>
              </w:rPr>
              <w:fldChar w:fldCharType="begin"/>
            </w:r>
            <w:r w:rsidR="00347FBA" w:rsidRPr="00315EF0">
              <w:rPr>
                <w:rFonts w:eastAsia="黑体"/>
                <w:noProof/>
                <w:webHidden/>
                <w:sz w:val="24"/>
                <w:szCs w:val="21"/>
              </w:rPr>
              <w:instrText xml:space="preserve"> PAGEREF _Toc93782305 \h </w:instrText>
            </w:r>
            <w:r w:rsidR="00347FBA" w:rsidRPr="00315EF0">
              <w:rPr>
                <w:rFonts w:eastAsia="黑体"/>
                <w:noProof/>
                <w:webHidden/>
                <w:sz w:val="24"/>
                <w:szCs w:val="21"/>
              </w:rPr>
            </w:r>
            <w:r w:rsidR="00347FBA" w:rsidRPr="00315EF0">
              <w:rPr>
                <w:rFonts w:eastAsia="黑体"/>
                <w:noProof/>
                <w:webHidden/>
                <w:sz w:val="24"/>
                <w:szCs w:val="21"/>
              </w:rPr>
              <w:fldChar w:fldCharType="separate"/>
            </w:r>
            <w:r w:rsidR="00347FBA" w:rsidRPr="00315EF0">
              <w:rPr>
                <w:rFonts w:eastAsia="黑体"/>
                <w:noProof/>
                <w:webHidden/>
                <w:sz w:val="24"/>
                <w:szCs w:val="21"/>
              </w:rPr>
              <w:t>- 9 -</w:t>
            </w:r>
            <w:r w:rsidR="00347FBA" w:rsidRPr="00315EF0">
              <w:rPr>
                <w:rFonts w:eastAsia="黑体"/>
                <w:noProof/>
                <w:webHidden/>
                <w:sz w:val="24"/>
                <w:szCs w:val="21"/>
              </w:rPr>
              <w:fldChar w:fldCharType="end"/>
            </w:r>
          </w:hyperlink>
        </w:p>
        <w:p w14:paraId="3949CD23" w14:textId="2AD847A9" w:rsidR="00347FBA" w:rsidRPr="00315EF0" w:rsidRDefault="007A5567" w:rsidP="00347FBA">
          <w:pPr>
            <w:pStyle w:val="TOC2"/>
            <w:tabs>
              <w:tab w:val="right" w:leader="dot" w:pos="8296"/>
            </w:tabs>
            <w:ind w:leftChars="0" w:left="0" w:firstLineChars="0" w:firstLine="0"/>
            <w:rPr>
              <w:rFonts w:eastAsia="黑体"/>
              <w:noProof/>
            </w:rPr>
          </w:pPr>
          <w:hyperlink w:anchor="_Toc93782306" w:history="1">
            <w:r w:rsidR="00347FBA" w:rsidRPr="00315EF0">
              <w:rPr>
                <w:rStyle w:val="af0"/>
                <w:rFonts w:eastAsia="黑体"/>
                <w:noProof/>
              </w:rPr>
              <w:t xml:space="preserve">2. </w:t>
            </w:r>
            <w:r w:rsidR="00347FBA" w:rsidRPr="00315EF0">
              <w:rPr>
                <w:rStyle w:val="af0"/>
                <w:rFonts w:eastAsia="黑体"/>
                <w:noProof/>
              </w:rPr>
              <w:t>中国交通部门碳排放主要构成和历史变化</w:t>
            </w:r>
            <w:r w:rsidR="00347FBA" w:rsidRPr="00315EF0">
              <w:rPr>
                <w:rFonts w:eastAsia="黑体"/>
                <w:noProof/>
                <w:webHidden/>
              </w:rPr>
              <w:tab/>
            </w:r>
            <w:r w:rsidR="00347FBA" w:rsidRPr="00315EF0">
              <w:rPr>
                <w:rFonts w:eastAsia="黑体"/>
                <w:noProof/>
                <w:webHidden/>
              </w:rPr>
              <w:fldChar w:fldCharType="begin"/>
            </w:r>
            <w:r w:rsidR="00347FBA" w:rsidRPr="00315EF0">
              <w:rPr>
                <w:rFonts w:eastAsia="黑体"/>
                <w:noProof/>
                <w:webHidden/>
              </w:rPr>
              <w:instrText xml:space="preserve"> PAGEREF _Toc93782306 \h </w:instrText>
            </w:r>
            <w:r w:rsidR="00347FBA" w:rsidRPr="00315EF0">
              <w:rPr>
                <w:rFonts w:eastAsia="黑体"/>
                <w:noProof/>
                <w:webHidden/>
              </w:rPr>
            </w:r>
            <w:r w:rsidR="00347FBA" w:rsidRPr="00315EF0">
              <w:rPr>
                <w:rFonts w:eastAsia="黑体"/>
                <w:noProof/>
                <w:webHidden/>
              </w:rPr>
              <w:fldChar w:fldCharType="separate"/>
            </w:r>
            <w:r w:rsidR="00347FBA" w:rsidRPr="00315EF0">
              <w:rPr>
                <w:rFonts w:eastAsia="黑体"/>
                <w:noProof/>
                <w:webHidden/>
              </w:rPr>
              <w:t>- 14 -</w:t>
            </w:r>
            <w:r w:rsidR="00347FBA" w:rsidRPr="00315EF0">
              <w:rPr>
                <w:rFonts w:eastAsia="黑体"/>
                <w:noProof/>
                <w:webHidden/>
              </w:rPr>
              <w:fldChar w:fldCharType="end"/>
            </w:r>
          </w:hyperlink>
        </w:p>
        <w:p w14:paraId="5F4F83D7" w14:textId="199C141A" w:rsidR="00347FBA" w:rsidRPr="00315EF0" w:rsidRDefault="007A5567" w:rsidP="00315EF0">
          <w:pPr>
            <w:pStyle w:val="TOC3"/>
            <w:tabs>
              <w:tab w:val="right" w:leader="dot" w:pos="8296"/>
            </w:tabs>
            <w:ind w:leftChars="0" w:left="0" w:firstLine="560"/>
            <w:rPr>
              <w:rFonts w:eastAsia="黑体"/>
              <w:noProof/>
              <w:sz w:val="24"/>
              <w:szCs w:val="21"/>
            </w:rPr>
          </w:pPr>
          <w:hyperlink w:anchor="_Toc93782307" w:history="1">
            <w:r w:rsidR="00347FBA" w:rsidRPr="00315EF0">
              <w:rPr>
                <w:rStyle w:val="af0"/>
                <w:rFonts w:eastAsia="黑体"/>
                <w:noProof/>
                <w:sz w:val="24"/>
                <w:szCs w:val="21"/>
              </w:rPr>
              <w:t xml:space="preserve">2.1 </w:t>
            </w:r>
            <w:r w:rsidR="00347FBA" w:rsidRPr="00315EF0">
              <w:rPr>
                <w:rStyle w:val="af0"/>
                <w:rFonts w:eastAsia="黑体"/>
                <w:noProof/>
                <w:sz w:val="24"/>
                <w:szCs w:val="21"/>
              </w:rPr>
              <w:t>交通部门碳排放测算边界与方法</w:t>
            </w:r>
            <w:r w:rsidR="00347FBA" w:rsidRPr="00315EF0">
              <w:rPr>
                <w:rFonts w:eastAsia="黑体"/>
                <w:noProof/>
                <w:webHidden/>
                <w:sz w:val="24"/>
                <w:szCs w:val="21"/>
              </w:rPr>
              <w:tab/>
            </w:r>
            <w:r w:rsidR="00347FBA" w:rsidRPr="00315EF0">
              <w:rPr>
                <w:rFonts w:eastAsia="黑体"/>
                <w:noProof/>
                <w:webHidden/>
                <w:sz w:val="24"/>
                <w:szCs w:val="21"/>
              </w:rPr>
              <w:fldChar w:fldCharType="begin"/>
            </w:r>
            <w:r w:rsidR="00347FBA" w:rsidRPr="00315EF0">
              <w:rPr>
                <w:rFonts w:eastAsia="黑体"/>
                <w:noProof/>
                <w:webHidden/>
                <w:sz w:val="24"/>
                <w:szCs w:val="21"/>
              </w:rPr>
              <w:instrText xml:space="preserve"> PAGEREF _Toc93782307 \h </w:instrText>
            </w:r>
            <w:r w:rsidR="00347FBA" w:rsidRPr="00315EF0">
              <w:rPr>
                <w:rFonts w:eastAsia="黑体"/>
                <w:noProof/>
                <w:webHidden/>
                <w:sz w:val="24"/>
                <w:szCs w:val="21"/>
              </w:rPr>
            </w:r>
            <w:r w:rsidR="00347FBA" w:rsidRPr="00315EF0">
              <w:rPr>
                <w:rFonts w:eastAsia="黑体"/>
                <w:noProof/>
                <w:webHidden/>
                <w:sz w:val="24"/>
                <w:szCs w:val="21"/>
              </w:rPr>
              <w:fldChar w:fldCharType="separate"/>
            </w:r>
            <w:r w:rsidR="00347FBA" w:rsidRPr="00315EF0">
              <w:rPr>
                <w:rFonts w:eastAsia="黑体"/>
                <w:noProof/>
                <w:webHidden/>
                <w:sz w:val="24"/>
                <w:szCs w:val="21"/>
              </w:rPr>
              <w:t>- 14 -</w:t>
            </w:r>
            <w:r w:rsidR="00347FBA" w:rsidRPr="00315EF0">
              <w:rPr>
                <w:rFonts w:eastAsia="黑体"/>
                <w:noProof/>
                <w:webHidden/>
                <w:sz w:val="24"/>
                <w:szCs w:val="21"/>
              </w:rPr>
              <w:fldChar w:fldCharType="end"/>
            </w:r>
          </w:hyperlink>
        </w:p>
        <w:p w14:paraId="0881BDEE" w14:textId="130B77CE" w:rsidR="00347FBA" w:rsidRPr="00315EF0" w:rsidRDefault="007A5567" w:rsidP="00315EF0">
          <w:pPr>
            <w:pStyle w:val="TOC3"/>
            <w:tabs>
              <w:tab w:val="right" w:leader="dot" w:pos="8296"/>
            </w:tabs>
            <w:ind w:leftChars="0" w:left="0" w:firstLine="560"/>
            <w:rPr>
              <w:rFonts w:eastAsia="黑体"/>
              <w:noProof/>
              <w:sz w:val="24"/>
              <w:szCs w:val="21"/>
            </w:rPr>
          </w:pPr>
          <w:hyperlink w:anchor="_Toc93782308" w:history="1">
            <w:r w:rsidR="00347FBA" w:rsidRPr="00315EF0">
              <w:rPr>
                <w:rStyle w:val="af0"/>
                <w:rFonts w:eastAsia="黑体"/>
                <w:noProof/>
                <w:sz w:val="24"/>
                <w:szCs w:val="21"/>
              </w:rPr>
              <w:t xml:space="preserve">2.2 </w:t>
            </w:r>
            <w:r w:rsidR="00347FBA" w:rsidRPr="00315EF0">
              <w:rPr>
                <w:rStyle w:val="af0"/>
                <w:rFonts w:eastAsia="黑体"/>
                <w:noProof/>
                <w:sz w:val="24"/>
                <w:szCs w:val="21"/>
              </w:rPr>
              <w:t>交通部门碳排放现状</w:t>
            </w:r>
            <w:r w:rsidR="00347FBA" w:rsidRPr="00315EF0">
              <w:rPr>
                <w:rFonts w:eastAsia="黑体"/>
                <w:noProof/>
                <w:webHidden/>
                <w:sz w:val="24"/>
                <w:szCs w:val="21"/>
              </w:rPr>
              <w:tab/>
            </w:r>
            <w:r w:rsidR="00347FBA" w:rsidRPr="00315EF0">
              <w:rPr>
                <w:rFonts w:eastAsia="黑体"/>
                <w:noProof/>
                <w:webHidden/>
                <w:sz w:val="24"/>
                <w:szCs w:val="21"/>
              </w:rPr>
              <w:fldChar w:fldCharType="begin"/>
            </w:r>
            <w:r w:rsidR="00347FBA" w:rsidRPr="00315EF0">
              <w:rPr>
                <w:rFonts w:eastAsia="黑体"/>
                <w:noProof/>
                <w:webHidden/>
                <w:sz w:val="24"/>
                <w:szCs w:val="21"/>
              </w:rPr>
              <w:instrText xml:space="preserve"> PAGEREF _Toc93782308 \h </w:instrText>
            </w:r>
            <w:r w:rsidR="00347FBA" w:rsidRPr="00315EF0">
              <w:rPr>
                <w:rFonts w:eastAsia="黑体"/>
                <w:noProof/>
                <w:webHidden/>
                <w:sz w:val="24"/>
                <w:szCs w:val="21"/>
              </w:rPr>
            </w:r>
            <w:r w:rsidR="00347FBA" w:rsidRPr="00315EF0">
              <w:rPr>
                <w:rFonts w:eastAsia="黑体"/>
                <w:noProof/>
                <w:webHidden/>
                <w:sz w:val="24"/>
                <w:szCs w:val="21"/>
              </w:rPr>
              <w:fldChar w:fldCharType="separate"/>
            </w:r>
            <w:r w:rsidR="00347FBA" w:rsidRPr="00315EF0">
              <w:rPr>
                <w:rFonts w:eastAsia="黑体"/>
                <w:noProof/>
                <w:webHidden/>
                <w:sz w:val="24"/>
                <w:szCs w:val="21"/>
              </w:rPr>
              <w:t>- 17 -</w:t>
            </w:r>
            <w:r w:rsidR="00347FBA" w:rsidRPr="00315EF0">
              <w:rPr>
                <w:rFonts w:eastAsia="黑体"/>
                <w:noProof/>
                <w:webHidden/>
                <w:sz w:val="24"/>
                <w:szCs w:val="21"/>
              </w:rPr>
              <w:fldChar w:fldCharType="end"/>
            </w:r>
          </w:hyperlink>
        </w:p>
        <w:p w14:paraId="745FF95F" w14:textId="4FC8AB18" w:rsidR="00347FBA" w:rsidRPr="00315EF0" w:rsidRDefault="007A5567" w:rsidP="00315EF0">
          <w:pPr>
            <w:pStyle w:val="TOC3"/>
            <w:tabs>
              <w:tab w:val="right" w:leader="dot" w:pos="8296"/>
            </w:tabs>
            <w:ind w:leftChars="0" w:left="0" w:firstLine="560"/>
            <w:rPr>
              <w:rFonts w:eastAsia="黑体"/>
              <w:noProof/>
              <w:sz w:val="24"/>
              <w:szCs w:val="21"/>
            </w:rPr>
          </w:pPr>
          <w:hyperlink w:anchor="_Toc93782309" w:history="1">
            <w:r w:rsidR="00347FBA" w:rsidRPr="00315EF0">
              <w:rPr>
                <w:rStyle w:val="af0"/>
                <w:rFonts w:eastAsia="黑体"/>
                <w:noProof/>
                <w:sz w:val="24"/>
                <w:szCs w:val="21"/>
              </w:rPr>
              <w:t xml:space="preserve">2.3 </w:t>
            </w:r>
            <w:r w:rsidR="00347FBA" w:rsidRPr="00315EF0">
              <w:rPr>
                <w:rStyle w:val="af0"/>
                <w:rFonts w:eastAsia="黑体"/>
                <w:noProof/>
                <w:sz w:val="24"/>
                <w:szCs w:val="21"/>
              </w:rPr>
              <w:t>现阶段中国交通部门低碳发展成效、近期低碳政策措施及远期</w:t>
            </w:r>
            <w:r w:rsidR="00347FBA" w:rsidRPr="00315EF0">
              <w:rPr>
                <w:rStyle w:val="af0"/>
                <w:rFonts w:eastAsia="黑体"/>
                <w:noProof/>
                <w:sz w:val="24"/>
                <w:szCs w:val="21"/>
              </w:rPr>
              <w:t>“</w:t>
            </w:r>
            <w:r w:rsidR="00347FBA" w:rsidRPr="00315EF0">
              <w:rPr>
                <w:rStyle w:val="af0"/>
                <w:rFonts w:eastAsia="黑体"/>
                <w:noProof/>
                <w:sz w:val="24"/>
                <w:szCs w:val="21"/>
              </w:rPr>
              <w:t>近零碳</w:t>
            </w:r>
            <w:r w:rsidR="00347FBA" w:rsidRPr="00315EF0">
              <w:rPr>
                <w:rStyle w:val="af0"/>
                <w:rFonts w:eastAsia="黑体"/>
                <w:noProof/>
                <w:sz w:val="24"/>
                <w:szCs w:val="21"/>
              </w:rPr>
              <w:t>”</w:t>
            </w:r>
            <w:r w:rsidR="00347FBA" w:rsidRPr="00315EF0">
              <w:rPr>
                <w:rStyle w:val="af0"/>
                <w:rFonts w:eastAsia="黑体"/>
                <w:noProof/>
                <w:sz w:val="24"/>
                <w:szCs w:val="21"/>
              </w:rPr>
              <w:t>要求</w:t>
            </w:r>
            <w:r w:rsidR="00347FBA" w:rsidRPr="00315EF0">
              <w:rPr>
                <w:rFonts w:eastAsia="黑体"/>
                <w:noProof/>
                <w:webHidden/>
                <w:sz w:val="24"/>
                <w:szCs w:val="21"/>
              </w:rPr>
              <w:tab/>
            </w:r>
            <w:r w:rsidR="00347FBA" w:rsidRPr="00315EF0">
              <w:rPr>
                <w:rFonts w:eastAsia="黑体"/>
                <w:noProof/>
                <w:webHidden/>
                <w:sz w:val="24"/>
                <w:szCs w:val="21"/>
              </w:rPr>
              <w:fldChar w:fldCharType="begin"/>
            </w:r>
            <w:r w:rsidR="00347FBA" w:rsidRPr="00315EF0">
              <w:rPr>
                <w:rFonts w:eastAsia="黑体"/>
                <w:noProof/>
                <w:webHidden/>
                <w:sz w:val="24"/>
                <w:szCs w:val="21"/>
              </w:rPr>
              <w:instrText xml:space="preserve"> PAGEREF _Toc93782309 \h </w:instrText>
            </w:r>
            <w:r w:rsidR="00347FBA" w:rsidRPr="00315EF0">
              <w:rPr>
                <w:rFonts w:eastAsia="黑体"/>
                <w:noProof/>
                <w:webHidden/>
                <w:sz w:val="24"/>
                <w:szCs w:val="21"/>
              </w:rPr>
            </w:r>
            <w:r w:rsidR="00347FBA" w:rsidRPr="00315EF0">
              <w:rPr>
                <w:rFonts w:eastAsia="黑体"/>
                <w:noProof/>
                <w:webHidden/>
                <w:sz w:val="24"/>
                <w:szCs w:val="21"/>
              </w:rPr>
              <w:fldChar w:fldCharType="separate"/>
            </w:r>
            <w:r w:rsidR="00347FBA" w:rsidRPr="00315EF0">
              <w:rPr>
                <w:rFonts w:eastAsia="黑体"/>
                <w:noProof/>
                <w:webHidden/>
                <w:sz w:val="24"/>
                <w:szCs w:val="21"/>
              </w:rPr>
              <w:t>- 29 -</w:t>
            </w:r>
            <w:r w:rsidR="00347FBA" w:rsidRPr="00315EF0">
              <w:rPr>
                <w:rFonts w:eastAsia="黑体"/>
                <w:noProof/>
                <w:webHidden/>
                <w:sz w:val="24"/>
                <w:szCs w:val="21"/>
              </w:rPr>
              <w:fldChar w:fldCharType="end"/>
            </w:r>
          </w:hyperlink>
        </w:p>
        <w:p w14:paraId="20EEAE45" w14:textId="1950201A" w:rsidR="00347FBA" w:rsidRPr="00315EF0" w:rsidRDefault="007A5567" w:rsidP="00347FBA">
          <w:pPr>
            <w:pStyle w:val="TOC2"/>
            <w:tabs>
              <w:tab w:val="right" w:leader="dot" w:pos="8296"/>
            </w:tabs>
            <w:ind w:leftChars="0" w:left="0" w:firstLineChars="0" w:firstLine="0"/>
            <w:rPr>
              <w:rFonts w:eastAsia="黑体"/>
              <w:noProof/>
            </w:rPr>
          </w:pPr>
          <w:hyperlink w:anchor="_Toc93782310" w:history="1">
            <w:r w:rsidR="00347FBA" w:rsidRPr="00315EF0">
              <w:rPr>
                <w:rStyle w:val="af0"/>
                <w:rFonts w:eastAsia="黑体"/>
                <w:noProof/>
              </w:rPr>
              <w:t xml:space="preserve">3. </w:t>
            </w:r>
            <w:r w:rsidR="00347FBA" w:rsidRPr="00315EF0">
              <w:rPr>
                <w:rStyle w:val="af0"/>
                <w:rFonts w:eastAsia="黑体"/>
                <w:noProof/>
              </w:rPr>
              <w:t>国外低碳交通部门发展现状及路径研究</w:t>
            </w:r>
            <w:r w:rsidR="00347FBA" w:rsidRPr="00315EF0">
              <w:rPr>
                <w:rFonts w:eastAsia="黑体"/>
                <w:noProof/>
                <w:webHidden/>
              </w:rPr>
              <w:tab/>
            </w:r>
            <w:r w:rsidR="00347FBA" w:rsidRPr="00315EF0">
              <w:rPr>
                <w:rFonts w:eastAsia="黑体"/>
                <w:noProof/>
                <w:webHidden/>
              </w:rPr>
              <w:fldChar w:fldCharType="begin"/>
            </w:r>
            <w:r w:rsidR="00347FBA" w:rsidRPr="00315EF0">
              <w:rPr>
                <w:rFonts w:eastAsia="黑体"/>
                <w:noProof/>
                <w:webHidden/>
              </w:rPr>
              <w:instrText xml:space="preserve"> PAGEREF _Toc93782310 \h </w:instrText>
            </w:r>
            <w:r w:rsidR="00347FBA" w:rsidRPr="00315EF0">
              <w:rPr>
                <w:rFonts w:eastAsia="黑体"/>
                <w:noProof/>
                <w:webHidden/>
              </w:rPr>
            </w:r>
            <w:r w:rsidR="00347FBA" w:rsidRPr="00315EF0">
              <w:rPr>
                <w:rFonts w:eastAsia="黑体"/>
                <w:noProof/>
                <w:webHidden/>
              </w:rPr>
              <w:fldChar w:fldCharType="separate"/>
            </w:r>
            <w:r w:rsidR="00347FBA" w:rsidRPr="00315EF0">
              <w:rPr>
                <w:rFonts w:eastAsia="黑体"/>
                <w:noProof/>
                <w:webHidden/>
              </w:rPr>
              <w:t>- 35 -</w:t>
            </w:r>
            <w:r w:rsidR="00347FBA" w:rsidRPr="00315EF0">
              <w:rPr>
                <w:rFonts w:eastAsia="黑体"/>
                <w:noProof/>
                <w:webHidden/>
              </w:rPr>
              <w:fldChar w:fldCharType="end"/>
            </w:r>
          </w:hyperlink>
        </w:p>
        <w:p w14:paraId="7FA0512C" w14:textId="7A23115C" w:rsidR="00347FBA" w:rsidRPr="00315EF0" w:rsidRDefault="007A5567" w:rsidP="00315EF0">
          <w:pPr>
            <w:pStyle w:val="TOC3"/>
            <w:tabs>
              <w:tab w:val="right" w:leader="dot" w:pos="8296"/>
            </w:tabs>
            <w:ind w:leftChars="0" w:left="0" w:firstLine="560"/>
            <w:rPr>
              <w:rFonts w:eastAsia="黑体"/>
              <w:noProof/>
              <w:sz w:val="24"/>
              <w:szCs w:val="21"/>
            </w:rPr>
          </w:pPr>
          <w:hyperlink w:anchor="_Toc93782311" w:history="1">
            <w:r w:rsidR="00347FBA" w:rsidRPr="00315EF0">
              <w:rPr>
                <w:rStyle w:val="af0"/>
                <w:rFonts w:eastAsia="黑体"/>
                <w:noProof/>
                <w:sz w:val="24"/>
                <w:szCs w:val="21"/>
              </w:rPr>
              <w:t xml:space="preserve">3.1 </w:t>
            </w:r>
            <w:r w:rsidR="00347FBA" w:rsidRPr="00315EF0">
              <w:rPr>
                <w:rStyle w:val="af0"/>
                <w:rFonts w:eastAsia="黑体"/>
                <w:noProof/>
                <w:sz w:val="24"/>
                <w:szCs w:val="21"/>
              </w:rPr>
              <w:t>典型国家</w:t>
            </w:r>
            <w:r w:rsidR="00347FBA" w:rsidRPr="00315EF0">
              <w:rPr>
                <w:rStyle w:val="af0"/>
                <w:rFonts w:eastAsia="黑体"/>
                <w:noProof/>
                <w:sz w:val="24"/>
                <w:szCs w:val="21"/>
              </w:rPr>
              <w:t>“</w:t>
            </w:r>
            <w:r w:rsidR="00347FBA" w:rsidRPr="00315EF0">
              <w:rPr>
                <w:rStyle w:val="af0"/>
                <w:rFonts w:eastAsia="黑体"/>
                <w:noProof/>
                <w:sz w:val="24"/>
                <w:szCs w:val="21"/>
              </w:rPr>
              <w:t>碳中和</w:t>
            </w:r>
            <w:r w:rsidR="00347FBA" w:rsidRPr="00315EF0">
              <w:rPr>
                <w:rStyle w:val="af0"/>
                <w:rFonts w:eastAsia="黑体"/>
                <w:noProof/>
                <w:sz w:val="24"/>
                <w:szCs w:val="21"/>
              </w:rPr>
              <w:t>”</w:t>
            </w:r>
            <w:r w:rsidR="00347FBA" w:rsidRPr="00315EF0">
              <w:rPr>
                <w:rStyle w:val="af0"/>
                <w:rFonts w:eastAsia="黑体"/>
                <w:noProof/>
                <w:sz w:val="24"/>
                <w:szCs w:val="21"/>
              </w:rPr>
              <w:t>目标</w:t>
            </w:r>
            <w:r w:rsidR="00347FBA" w:rsidRPr="00315EF0">
              <w:rPr>
                <w:rFonts w:eastAsia="黑体"/>
                <w:noProof/>
                <w:webHidden/>
                <w:sz w:val="24"/>
                <w:szCs w:val="21"/>
              </w:rPr>
              <w:tab/>
            </w:r>
            <w:r w:rsidR="00347FBA" w:rsidRPr="00315EF0">
              <w:rPr>
                <w:rFonts w:eastAsia="黑体"/>
                <w:noProof/>
                <w:webHidden/>
                <w:sz w:val="24"/>
                <w:szCs w:val="21"/>
              </w:rPr>
              <w:fldChar w:fldCharType="begin"/>
            </w:r>
            <w:r w:rsidR="00347FBA" w:rsidRPr="00315EF0">
              <w:rPr>
                <w:rFonts w:eastAsia="黑体"/>
                <w:noProof/>
                <w:webHidden/>
                <w:sz w:val="24"/>
                <w:szCs w:val="21"/>
              </w:rPr>
              <w:instrText xml:space="preserve"> PAGEREF _Toc93782311 \h </w:instrText>
            </w:r>
            <w:r w:rsidR="00347FBA" w:rsidRPr="00315EF0">
              <w:rPr>
                <w:rFonts w:eastAsia="黑体"/>
                <w:noProof/>
                <w:webHidden/>
                <w:sz w:val="24"/>
                <w:szCs w:val="21"/>
              </w:rPr>
            </w:r>
            <w:r w:rsidR="00347FBA" w:rsidRPr="00315EF0">
              <w:rPr>
                <w:rFonts w:eastAsia="黑体"/>
                <w:noProof/>
                <w:webHidden/>
                <w:sz w:val="24"/>
                <w:szCs w:val="21"/>
              </w:rPr>
              <w:fldChar w:fldCharType="separate"/>
            </w:r>
            <w:r w:rsidR="00347FBA" w:rsidRPr="00315EF0">
              <w:rPr>
                <w:rFonts w:eastAsia="黑体"/>
                <w:noProof/>
                <w:webHidden/>
                <w:sz w:val="24"/>
                <w:szCs w:val="21"/>
              </w:rPr>
              <w:t>- 35 -</w:t>
            </w:r>
            <w:r w:rsidR="00347FBA" w:rsidRPr="00315EF0">
              <w:rPr>
                <w:rFonts w:eastAsia="黑体"/>
                <w:noProof/>
                <w:webHidden/>
                <w:sz w:val="24"/>
                <w:szCs w:val="21"/>
              </w:rPr>
              <w:fldChar w:fldCharType="end"/>
            </w:r>
          </w:hyperlink>
        </w:p>
        <w:p w14:paraId="44570975" w14:textId="038CAF02" w:rsidR="00347FBA" w:rsidRPr="00315EF0" w:rsidRDefault="007A5567" w:rsidP="00315EF0">
          <w:pPr>
            <w:pStyle w:val="TOC3"/>
            <w:tabs>
              <w:tab w:val="right" w:leader="dot" w:pos="8296"/>
            </w:tabs>
            <w:ind w:leftChars="0" w:left="0" w:firstLine="560"/>
            <w:rPr>
              <w:rFonts w:eastAsia="黑体"/>
              <w:noProof/>
              <w:sz w:val="24"/>
              <w:szCs w:val="21"/>
            </w:rPr>
          </w:pPr>
          <w:hyperlink w:anchor="_Toc93782312" w:history="1">
            <w:r w:rsidR="00347FBA" w:rsidRPr="00315EF0">
              <w:rPr>
                <w:rStyle w:val="af0"/>
                <w:rFonts w:eastAsia="黑体"/>
                <w:noProof/>
                <w:sz w:val="24"/>
                <w:szCs w:val="21"/>
              </w:rPr>
              <w:t xml:space="preserve">3.2 </w:t>
            </w:r>
            <w:r w:rsidR="00347FBA" w:rsidRPr="00315EF0">
              <w:rPr>
                <w:rStyle w:val="af0"/>
                <w:rFonts w:eastAsia="黑体"/>
                <w:noProof/>
                <w:sz w:val="24"/>
                <w:szCs w:val="21"/>
              </w:rPr>
              <w:t>典型国家近零碳转型发展的现状、路径与战略</w:t>
            </w:r>
            <w:r w:rsidR="00347FBA" w:rsidRPr="00315EF0">
              <w:rPr>
                <w:rFonts w:eastAsia="黑体"/>
                <w:noProof/>
                <w:webHidden/>
                <w:sz w:val="24"/>
                <w:szCs w:val="21"/>
              </w:rPr>
              <w:tab/>
            </w:r>
            <w:r w:rsidR="00347FBA" w:rsidRPr="00315EF0">
              <w:rPr>
                <w:rFonts w:eastAsia="黑体"/>
                <w:noProof/>
                <w:webHidden/>
                <w:sz w:val="24"/>
                <w:szCs w:val="21"/>
              </w:rPr>
              <w:fldChar w:fldCharType="begin"/>
            </w:r>
            <w:r w:rsidR="00347FBA" w:rsidRPr="00315EF0">
              <w:rPr>
                <w:rFonts w:eastAsia="黑体"/>
                <w:noProof/>
                <w:webHidden/>
                <w:sz w:val="24"/>
                <w:szCs w:val="21"/>
              </w:rPr>
              <w:instrText xml:space="preserve"> PAGEREF _Toc93782312 \h </w:instrText>
            </w:r>
            <w:r w:rsidR="00347FBA" w:rsidRPr="00315EF0">
              <w:rPr>
                <w:rFonts w:eastAsia="黑体"/>
                <w:noProof/>
                <w:webHidden/>
                <w:sz w:val="24"/>
                <w:szCs w:val="21"/>
              </w:rPr>
            </w:r>
            <w:r w:rsidR="00347FBA" w:rsidRPr="00315EF0">
              <w:rPr>
                <w:rFonts w:eastAsia="黑体"/>
                <w:noProof/>
                <w:webHidden/>
                <w:sz w:val="24"/>
                <w:szCs w:val="21"/>
              </w:rPr>
              <w:fldChar w:fldCharType="separate"/>
            </w:r>
            <w:r w:rsidR="00347FBA" w:rsidRPr="00315EF0">
              <w:rPr>
                <w:rFonts w:eastAsia="黑体"/>
                <w:noProof/>
                <w:webHidden/>
                <w:sz w:val="24"/>
                <w:szCs w:val="21"/>
              </w:rPr>
              <w:t>- 36 -</w:t>
            </w:r>
            <w:r w:rsidR="00347FBA" w:rsidRPr="00315EF0">
              <w:rPr>
                <w:rFonts w:eastAsia="黑体"/>
                <w:noProof/>
                <w:webHidden/>
                <w:sz w:val="24"/>
                <w:szCs w:val="21"/>
              </w:rPr>
              <w:fldChar w:fldCharType="end"/>
            </w:r>
          </w:hyperlink>
        </w:p>
        <w:p w14:paraId="5A12ACBD" w14:textId="3C5260AB" w:rsidR="00347FBA" w:rsidRPr="00315EF0" w:rsidRDefault="007A5567" w:rsidP="00315EF0">
          <w:pPr>
            <w:pStyle w:val="TOC3"/>
            <w:tabs>
              <w:tab w:val="right" w:leader="dot" w:pos="8296"/>
            </w:tabs>
            <w:ind w:leftChars="0" w:left="0" w:firstLine="560"/>
            <w:rPr>
              <w:rFonts w:eastAsia="黑体"/>
              <w:noProof/>
              <w:sz w:val="24"/>
              <w:szCs w:val="21"/>
            </w:rPr>
          </w:pPr>
          <w:hyperlink w:anchor="_Toc93782313" w:history="1">
            <w:r w:rsidR="00347FBA" w:rsidRPr="00315EF0">
              <w:rPr>
                <w:rStyle w:val="af0"/>
                <w:rFonts w:eastAsia="黑体"/>
                <w:bCs/>
                <w:noProof/>
                <w:sz w:val="24"/>
                <w:szCs w:val="21"/>
              </w:rPr>
              <w:t xml:space="preserve">3.3 </w:t>
            </w:r>
            <w:r w:rsidR="00347FBA" w:rsidRPr="00315EF0">
              <w:rPr>
                <w:rStyle w:val="af0"/>
                <w:rFonts w:eastAsia="黑体"/>
                <w:bCs/>
                <w:noProof/>
                <w:sz w:val="24"/>
                <w:szCs w:val="21"/>
              </w:rPr>
              <w:t>典型国家近零碳转型发展的政策路径</w:t>
            </w:r>
            <w:r w:rsidR="00347FBA" w:rsidRPr="00315EF0">
              <w:rPr>
                <w:rFonts w:eastAsia="黑体"/>
                <w:noProof/>
                <w:webHidden/>
                <w:sz w:val="24"/>
                <w:szCs w:val="21"/>
              </w:rPr>
              <w:tab/>
            </w:r>
            <w:r w:rsidR="00347FBA" w:rsidRPr="00315EF0">
              <w:rPr>
                <w:rFonts w:eastAsia="黑体"/>
                <w:noProof/>
                <w:webHidden/>
                <w:sz w:val="24"/>
                <w:szCs w:val="21"/>
              </w:rPr>
              <w:fldChar w:fldCharType="begin"/>
            </w:r>
            <w:r w:rsidR="00347FBA" w:rsidRPr="00315EF0">
              <w:rPr>
                <w:rFonts w:eastAsia="黑体"/>
                <w:noProof/>
                <w:webHidden/>
                <w:sz w:val="24"/>
                <w:szCs w:val="21"/>
              </w:rPr>
              <w:instrText xml:space="preserve"> PAGEREF _Toc93782313 \h </w:instrText>
            </w:r>
            <w:r w:rsidR="00347FBA" w:rsidRPr="00315EF0">
              <w:rPr>
                <w:rFonts w:eastAsia="黑体"/>
                <w:noProof/>
                <w:webHidden/>
                <w:sz w:val="24"/>
                <w:szCs w:val="21"/>
              </w:rPr>
            </w:r>
            <w:r w:rsidR="00347FBA" w:rsidRPr="00315EF0">
              <w:rPr>
                <w:rFonts w:eastAsia="黑体"/>
                <w:noProof/>
                <w:webHidden/>
                <w:sz w:val="24"/>
                <w:szCs w:val="21"/>
              </w:rPr>
              <w:fldChar w:fldCharType="separate"/>
            </w:r>
            <w:r w:rsidR="00347FBA" w:rsidRPr="00315EF0">
              <w:rPr>
                <w:rFonts w:eastAsia="黑体"/>
                <w:noProof/>
                <w:webHidden/>
                <w:sz w:val="24"/>
                <w:szCs w:val="21"/>
              </w:rPr>
              <w:t>- 48 -</w:t>
            </w:r>
            <w:r w:rsidR="00347FBA" w:rsidRPr="00315EF0">
              <w:rPr>
                <w:rFonts w:eastAsia="黑体"/>
                <w:noProof/>
                <w:webHidden/>
                <w:sz w:val="24"/>
                <w:szCs w:val="21"/>
              </w:rPr>
              <w:fldChar w:fldCharType="end"/>
            </w:r>
          </w:hyperlink>
        </w:p>
        <w:p w14:paraId="1979A355" w14:textId="38721309" w:rsidR="00347FBA" w:rsidRPr="00315EF0" w:rsidRDefault="007A5567" w:rsidP="00315EF0">
          <w:pPr>
            <w:pStyle w:val="TOC3"/>
            <w:tabs>
              <w:tab w:val="right" w:leader="dot" w:pos="8296"/>
            </w:tabs>
            <w:ind w:leftChars="0" w:left="0" w:firstLine="560"/>
            <w:rPr>
              <w:rFonts w:eastAsia="黑体"/>
              <w:noProof/>
              <w:sz w:val="24"/>
              <w:szCs w:val="21"/>
            </w:rPr>
          </w:pPr>
          <w:hyperlink w:anchor="_Toc93782314" w:history="1">
            <w:r w:rsidR="00347FBA" w:rsidRPr="00315EF0">
              <w:rPr>
                <w:rStyle w:val="af0"/>
                <w:rFonts w:eastAsia="黑体"/>
                <w:noProof/>
                <w:sz w:val="24"/>
                <w:szCs w:val="21"/>
              </w:rPr>
              <w:t xml:space="preserve">3.4 </w:t>
            </w:r>
            <w:r w:rsidR="00347FBA" w:rsidRPr="00315EF0">
              <w:rPr>
                <w:rStyle w:val="af0"/>
                <w:rFonts w:eastAsia="黑体"/>
                <w:noProof/>
                <w:sz w:val="24"/>
                <w:szCs w:val="21"/>
              </w:rPr>
              <w:t>总结</w:t>
            </w:r>
            <w:r w:rsidR="00347FBA" w:rsidRPr="00315EF0">
              <w:rPr>
                <w:rFonts w:eastAsia="黑体"/>
                <w:noProof/>
                <w:webHidden/>
                <w:sz w:val="24"/>
                <w:szCs w:val="21"/>
              </w:rPr>
              <w:tab/>
            </w:r>
            <w:r w:rsidR="00347FBA" w:rsidRPr="00315EF0">
              <w:rPr>
                <w:rFonts w:eastAsia="黑体"/>
                <w:noProof/>
                <w:webHidden/>
                <w:sz w:val="24"/>
                <w:szCs w:val="21"/>
              </w:rPr>
              <w:fldChar w:fldCharType="begin"/>
            </w:r>
            <w:r w:rsidR="00347FBA" w:rsidRPr="00315EF0">
              <w:rPr>
                <w:rFonts w:eastAsia="黑体"/>
                <w:noProof/>
                <w:webHidden/>
                <w:sz w:val="24"/>
                <w:szCs w:val="21"/>
              </w:rPr>
              <w:instrText xml:space="preserve"> PAGEREF _Toc93782314 \h </w:instrText>
            </w:r>
            <w:r w:rsidR="00347FBA" w:rsidRPr="00315EF0">
              <w:rPr>
                <w:rFonts w:eastAsia="黑体"/>
                <w:noProof/>
                <w:webHidden/>
                <w:sz w:val="24"/>
                <w:szCs w:val="21"/>
              </w:rPr>
            </w:r>
            <w:r w:rsidR="00347FBA" w:rsidRPr="00315EF0">
              <w:rPr>
                <w:rFonts w:eastAsia="黑体"/>
                <w:noProof/>
                <w:webHidden/>
                <w:sz w:val="24"/>
                <w:szCs w:val="21"/>
              </w:rPr>
              <w:fldChar w:fldCharType="separate"/>
            </w:r>
            <w:r w:rsidR="00347FBA" w:rsidRPr="00315EF0">
              <w:rPr>
                <w:rFonts w:eastAsia="黑体"/>
                <w:noProof/>
                <w:webHidden/>
                <w:sz w:val="24"/>
                <w:szCs w:val="21"/>
              </w:rPr>
              <w:t>- 54 -</w:t>
            </w:r>
            <w:r w:rsidR="00347FBA" w:rsidRPr="00315EF0">
              <w:rPr>
                <w:rFonts w:eastAsia="黑体"/>
                <w:noProof/>
                <w:webHidden/>
                <w:sz w:val="24"/>
                <w:szCs w:val="21"/>
              </w:rPr>
              <w:fldChar w:fldCharType="end"/>
            </w:r>
          </w:hyperlink>
        </w:p>
        <w:p w14:paraId="6A7BB118" w14:textId="2CF117AA" w:rsidR="00347FBA" w:rsidRPr="00315EF0" w:rsidRDefault="007A5567" w:rsidP="00347FBA">
          <w:pPr>
            <w:pStyle w:val="TOC2"/>
            <w:tabs>
              <w:tab w:val="right" w:leader="dot" w:pos="8296"/>
            </w:tabs>
            <w:ind w:leftChars="0" w:left="0" w:firstLineChars="0" w:firstLine="0"/>
            <w:rPr>
              <w:rFonts w:eastAsia="黑体"/>
              <w:noProof/>
            </w:rPr>
          </w:pPr>
          <w:hyperlink w:anchor="_Toc93782315" w:history="1">
            <w:r w:rsidR="00347FBA" w:rsidRPr="00315EF0">
              <w:rPr>
                <w:rStyle w:val="af0"/>
                <w:rFonts w:eastAsia="黑体"/>
                <w:noProof/>
              </w:rPr>
              <w:t xml:space="preserve">4. </w:t>
            </w:r>
            <w:r w:rsidR="00347FBA" w:rsidRPr="00315EF0">
              <w:rPr>
                <w:rStyle w:val="af0"/>
                <w:rFonts w:eastAsia="黑体"/>
                <w:noProof/>
              </w:rPr>
              <w:t>中国交通部门中长期近零排放发展情景分析</w:t>
            </w:r>
            <w:r w:rsidR="00347FBA" w:rsidRPr="00315EF0">
              <w:rPr>
                <w:rFonts w:eastAsia="黑体"/>
                <w:noProof/>
                <w:webHidden/>
              </w:rPr>
              <w:tab/>
            </w:r>
            <w:r w:rsidR="00347FBA" w:rsidRPr="00315EF0">
              <w:rPr>
                <w:rFonts w:eastAsia="黑体"/>
                <w:noProof/>
                <w:webHidden/>
              </w:rPr>
              <w:fldChar w:fldCharType="begin"/>
            </w:r>
            <w:r w:rsidR="00347FBA" w:rsidRPr="00315EF0">
              <w:rPr>
                <w:rFonts w:eastAsia="黑体"/>
                <w:noProof/>
                <w:webHidden/>
              </w:rPr>
              <w:instrText xml:space="preserve"> PAGEREF _Toc93782315 \h </w:instrText>
            </w:r>
            <w:r w:rsidR="00347FBA" w:rsidRPr="00315EF0">
              <w:rPr>
                <w:rFonts w:eastAsia="黑体"/>
                <w:noProof/>
                <w:webHidden/>
              </w:rPr>
            </w:r>
            <w:r w:rsidR="00347FBA" w:rsidRPr="00315EF0">
              <w:rPr>
                <w:rFonts w:eastAsia="黑体"/>
                <w:noProof/>
                <w:webHidden/>
              </w:rPr>
              <w:fldChar w:fldCharType="separate"/>
            </w:r>
            <w:r w:rsidR="00347FBA" w:rsidRPr="00315EF0">
              <w:rPr>
                <w:rFonts w:eastAsia="黑体"/>
                <w:noProof/>
                <w:webHidden/>
              </w:rPr>
              <w:t>- 56 -</w:t>
            </w:r>
            <w:r w:rsidR="00347FBA" w:rsidRPr="00315EF0">
              <w:rPr>
                <w:rFonts w:eastAsia="黑体"/>
                <w:noProof/>
                <w:webHidden/>
              </w:rPr>
              <w:fldChar w:fldCharType="end"/>
            </w:r>
          </w:hyperlink>
        </w:p>
        <w:p w14:paraId="2645CEEC" w14:textId="0671BCE0" w:rsidR="00347FBA" w:rsidRPr="00315EF0" w:rsidRDefault="007A5567" w:rsidP="00315EF0">
          <w:pPr>
            <w:pStyle w:val="TOC3"/>
            <w:tabs>
              <w:tab w:val="right" w:leader="dot" w:pos="8296"/>
            </w:tabs>
            <w:ind w:leftChars="0" w:left="0" w:firstLine="560"/>
            <w:rPr>
              <w:rFonts w:eastAsia="黑体"/>
              <w:noProof/>
              <w:sz w:val="24"/>
              <w:szCs w:val="21"/>
            </w:rPr>
          </w:pPr>
          <w:hyperlink w:anchor="_Toc93782316" w:history="1">
            <w:r w:rsidR="00347FBA" w:rsidRPr="00315EF0">
              <w:rPr>
                <w:rStyle w:val="af0"/>
                <w:rFonts w:eastAsia="黑体"/>
                <w:noProof/>
                <w:sz w:val="24"/>
                <w:szCs w:val="21"/>
              </w:rPr>
              <w:t xml:space="preserve">4.1 </w:t>
            </w:r>
            <w:r w:rsidR="00347FBA" w:rsidRPr="00315EF0">
              <w:rPr>
                <w:rStyle w:val="af0"/>
                <w:rFonts w:eastAsia="黑体"/>
                <w:noProof/>
                <w:sz w:val="24"/>
                <w:szCs w:val="21"/>
              </w:rPr>
              <w:t>情景设置</w:t>
            </w:r>
            <w:r w:rsidR="00347FBA" w:rsidRPr="00315EF0">
              <w:rPr>
                <w:rFonts w:eastAsia="黑体"/>
                <w:noProof/>
                <w:webHidden/>
                <w:sz w:val="24"/>
                <w:szCs w:val="21"/>
              </w:rPr>
              <w:tab/>
            </w:r>
            <w:r w:rsidR="00347FBA" w:rsidRPr="00315EF0">
              <w:rPr>
                <w:rFonts w:eastAsia="黑体"/>
                <w:noProof/>
                <w:webHidden/>
                <w:sz w:val="24"/>
                <w:szCs w:val="21"/>
              </w:rPr>
              <w:fldChar w:fldCharType="begin"/>
            </w:r>
            <w:r w:rsidR="00347FBA" w:rsidRPr="00315EF0">
              <w:rPr>
                <w:rFonts w:eastAsia="黑体"/>
                <w:noProof/>
                <w:webHidden/>
                <w:sz w:val="24"/>
                <w:szCs w:val="21"/>
              </w:rPr>
              <w:instrText xml:space="preserve"> PAGEREF _Toc93782316 \h </w:instrText>
            </w:r>
            <w:r w:rsidR="00347FBA" w:rsidRPr="00315EF0">
              <w:rPr>
                <w:rFonts w:eastAsia="黑体"/>
                <w:noProof/>
                <w:webHidden/>
                <w:sz w:val="24"/>
                <w:szCs w:val="21"/>
              </w:rPr>
            </w:r>
            <w:r w:rsidR="00347FBA" w:rsidRPr="00315EF0">
              <w:rPr>
                <w:rFonts w:eastAsia="黑体"/>
                <w:noProof/>
                <w:webHidden/>
                <w:sz w:val="24"/>
                <w:szCs w:val="21"/>
              </w:rPr>
              <w:fldChar w:fldCharType="separate"/>
            </w:r>
            <w:r w:rsidR="00347FBA" w:rsidRPr="00315EF0">
              <w:rPr>
                <w:rFonts w:eastAsia="黑体"/>
                <w:noProof/>
                <w:webHidden/>
                <w:sz w:val="24"/>
                <w:szCs w:val="21"/>
              </w:rPr>
              <w:t>- 56 -</w:t>
            </w:r>
            <w:r w:rsidR="00347FBA" w:rsidRPr="00315EF0">
              <w:rPr>
                <w:rFonts w:eastAsia="黑体"/>
                <w:noProof/>
                <w:webHidden/>
                <w:sz w:val="24"/>
                <w:szCs w:val="21"/>
              </w:rPr>
              <w:fldChar w:fldCharType="end"/>
            </w:r>
          </w:hyperlink>
        </w:p>
        <w:p w14:paraId="5F1FE81C" w14:textId="4C5F0E55" w:rsidR="00347FBA" w:rsidRPr="00315EF0" w:rsidRDefault="007A5567" w:rsidP="00315EF0">
          <w:pPr>
            <w:pStyle w:val="TOC3"/>
            <w:tabs>
              <w:tab w:val="right" w:leader="dot" w:pos="8296"/>
            </w:tabs>
            <w:ind w:leftChars="0" w:left="0" w:firstLine="560"/>
            <w:rPr>
              <w:rFonts w:eastAsia="黑体"/>
              <w:noProof/>
              <w:sz w:val="24"/>
              <w:szCs w:val="21"/>
            </w:rPr>
          </w:pPr>
          <w:hyperlink w:anchor="_Toc93782317" w:history="1">
            <w:r w:rsidR="00347FBA" w:rsidRPr="00315EF0">
              <w:rPr>
                <w:rStyle w:val="af0"/>
                <w:rFonts w:eastAsia="黑体"/>
                <w:noProof/>
                <w:sz w:val="24"/>
                <w:szCs w:val="21"/>
              </w:rPr>
              <w:t xml:space="preserve">4.2 </w:t>
            </w:r>
            <w:r w:rsidR="00347FBA" w:rsidRPr="00315EF0">
              <w:rPr>
                <w:rStyle w:val="af0"/>
                <w:rFonts w:eastAsia="黑体"/>
                <w:noProof/>
                <w:sz w:val="24"/>
                <w:szCs w:val="21"/>
              </w:rPr>
              <w:t>影响因素未来趋势分析</w:t>
            </w:r>
            <w:r w:rsidR="00347FBA" w:rsidRPr="00315EF0">
              <w:rPr>
                <w:rFonts w:eastAsia="黑体"/>
                <w:noProof/>
                <w:webHidden/>
                <w:sz w:val="24"/>
                <w:szCs w:val="21"/>
              </w:rPr>
              <w:tab/>
            </w:r>
            <w:r w:rsidR="00347FBA" w:rsidRPr="00315EF0">
              <w:rPr>
                <w:rFonts w:eastAsia="黑体"/>
                <w:noProof/>
                <w:webHidden/>
                <w:sz w:val="24"/>
                <w:szCs w:val="21"/>
              </w:rPr>
              <w:fldChar w:fldCharType="begin"/>
            </w:r>
            <w:r w:rsidR="00347FBA" w:rsidRPr="00315EF0">
              <w:rPr>
                <w:rFonts w:eastAsia="黑体"/>
                <w:noProof/>
                <w:webHidden/>
                <w:sz w:val="24"/>
                <w:szCs w:val="21"/>
              </w:rPr>
              <w:instrText xml:space="preserve"> PAGEREF _Toc93782317 \h </w:instrText>
            </w:r>
            <w:r w:rsidR="00347FBA" w:rsidRPr="00315EF0">
              <w:rPr>
                <w:rFonts w:eastAsia="黑体"/>
                <w:noProof/>
                <w:webHidden/>
                <w:sz w:val="24"/>
                <w:szCs w:val="21"/>
              </w:rPr>
            </w:r>
            <w:r w:rsidR="00347FBA" w:rsidRPr="00315EF0">
              <w:rPr>
                <w:rFonts w:eastAsia="黑体"/>
                <w:noProof/>
                <w:webHidden/>
                <w:sz w:val="24"/>
                <w:szCs w:val="21"/>
              </w:rPr>
              <w:fldChar w:fldCharType="separate"/>
            </w:r>
            <w:r w:rsidR="00347FBA" w:rsidRPr="00315EF0">
              <w:rPr>
                <w:rFonts w:eastAsia="黑体"/>
                <w:noProof/>
                <w:webHidden/>
                <w:sz w:val="24"/>
                <w:szCs w:val="21"/>
              </w:rPr>
              <w:t>- 66 -</w:t>
            </w:r>
            <w:r w:rsidR="00347FBA" w:rsidRPr="00315EF0">
              <w:rPr>
                <w:rFonts w:eastAsia="黑体"/>
                <w:noProof/>
                <w:webHidden/>
                <w:sz w:val="24"/>
                <w:szCs w:val="21"/>
              </w:rPr>
              <w:fldChar w:fldCharType="end"/>
            </w:r>
          </w:hyperlink>
        </w:p>
        <w:p w14:paraId="661852BC" w14:textId="5409BB91" w:rsidR="00347FBA" w:rsidRPr="00315EF0" w:rsidRDefault="007A5567" w:rsidP="00315EF0">
          <w:pPr>
            <w:pStyle w:val="TOC2"/>
            <w:tabs>
              <w:tab w:val="right" w:leader="dot" w:pos="8296"/>
            </w:tabs>
            <w:ind w:leftChars="0" w:left="0" w:firstLine="560"/>
            <w:rPr>
              <w:rFonts w:eastAsia="黑体"/>
              <w:noProof/>
              <w:sz w:val="24"/>
              <w:szCs w:val="21"/>
            </w:rPr>
          </w:pPr>
          <w:hyperlink w:anchor="_Toc93782318" w:history="1">
            <w:r w:rsidR="00347FBA" w:rsidRPr="00315EF0">
              <w:rPr>
                <w:rStyle w:val="af0"/>
                <w:rFonts w:eastAsia="黑体"/>
                <w:noProof/>
                <w:sz w:val="24"/>
                <w:szCs w:val="21"/>
              </w:rPr>
              <w:t xml:space="preserve">4.3 </w:t>
            </w:r>
            <w:r w:rsidR="00347FBA" w:rsidRPr="00315EF0">
              <w:rPr>
                <w:rStyle w:val="af0"/>
                <w:rFonts w:eastAsia="黑体"/>
                <w:noProof/>
                <w:sz w:val="24"/>
                <w:szCs w:val="21"/>
              </w:rPr>
              <w:t>情景分析</w:t>
            </w:r>
            <w:r w:rsidR="00347FBA" w:rsidRPr="00315EF0">
              <w:rPr>
                <w:rFonts w:eastAsia="黑体"/>
                <w:noProof/>
                <w:webHidden/>
                <w:sz w:val="24"/>
                <w:szCs w:val="21"/>
              </w:rPr>
              <w:tab/>
            </w:r>
            <w:r w:rsidR="00347FBA" w:rsidRPr="00315EF0">
              <w:rPr>
                <w:rFonts w:eastAsia="黑体"/>
                <w:noProof/>
                <w:webHidden/>
                <w:sz w:val="24"/>
                <w:szCs w:val="21"/>
              </w:rPr>
              <w:fldChar w:fldCharType="begin"/>
            </w:r>
            <w:r w:rsidR="00347FBA" w:rsidRPr="00315EF0">
              <w:rPr>
                <w:rFonts w:eastAsia="黑体"/>
                <w:noProof/>
                <w:webHidden/>
                <w:sz w:val="24"/>
                <w:szCs w:val="21"/>
              </w:rPr>
              <w:instrText xml:space="preserve"> PAGEREF _Toc93782318 \h </w:instrText>
            </w:r>
            <w:r w:rsidR="00347FBA" w:rsidRPr="00315EF0">
              <w:rPr>
                <w:rFonts w:eastAsia="黑体"/>
                <w:noProof/>
                <w:webHidden/>
                <w:sz w:val="24"/>
                <w:szCs w:val="21"/>
              </w:rPr>
            </w:r>
            <w:r w:rsidR="00347FBA" w:rsidRPr="00315EF0">
              <w:rPr>
                <w:rFonts w:eastAsia="黑体"/>
                <w:noProof/>
                <w:webHidden/>
                <w:sz w:val="24"/>
                <w:szCs w:val="21"/>
              </w:rPr>
              <w:fldChar w:fldCharType="separate"/>
            </w:r>
            <w:r w:rsidR="00347FBA" w:rsidRPr="00315EF0">
              <w:rPr>
                <w:rFonts w:eastAsia="黑体"/>
                <w:noProof/>
                <w:webHidden/>
                <w:sz w:val="24"/>
                <w:szCs w:val="21"/>
              </w:rPr>
              <w:t>- 87 -</w:t>
            </w:r>
            <w:r w:rsidR="00347FBA" w:rsidRPr="00315EF0">
              <w:rPr>
                <w:rFonts w:eastAsia="黑体"/>
                <w:noProof/>
                <w:webHidden/>
                <w:sz w:val="24"/>
                <w:szCs w:val="21"/>
              </w:rPr>
              <w:fldChar w:fldCharType="end"/>
            </w:r>
          </w:hyperlink>
        </w:p>
        <w:p w14:paraId="4E2AEAF6" w14:textId="11DFBEBC" w:rsidR="00347FBA" w:rsidRPr="00315EF0" w:rsidRDefault="007A5567" w:rsidP="00347FBA">
          <w:pPr>
            <w:pStyle w:val="TOC2"/>
            <w:tabs>
              <w:tab w:val="right" w:leader="dot" w:pos="8296"/>
            </w:tabs>
            <w:ind w:leftChars="0" w:left="0" w:firstLineChars="0" w:firstLine="0"/>
            <w:rPr>
              <w:rFonts w:eastAsia="黑体"/>
              <w:noProof/>
            </w:rPr>
          </w:pPr>
          <w:hyperlink w:anchor="_Toc93782319" w:history="1">
            <w:r w:rsidR="00347FBA" w:rsidRPr="00315EF0">
              <w:rPr>
                <w:rStyle w:val="af0"/>
                <w:rFonts w:eastAsia="黑体"/>
                <w:noProof/>
              </w:rPr>
              <w:t xml:space="preserve">5. </w:t>
            </w:r>
            <w:r w:rsidR="00347FBA" w:rsidRPr="00315EF0">
              <w:rPr>
                <w:rStyle w:val="af0"/>
                <w:rFonts w:eastAsia="黑体"/>
                <w:noProof/>
              </w:rPr>
              <w:t>中国交通部门近零排放转型发展路径</w:t>
            </w:r>
            <w:r w:rsidR="00347FBA" w:rsidRPr="00315EF0">
              <w:rPr>
                <w:rFonts w:eastAsia="黑体"/>
                <w:noProof/>
                <w:webHidden/>
              </w:rPr>
              <w:tab/>
            </w:r>
            <w:r w:rsidR="00347FBA" w:rsidRPr="00315EF0">
              <w:rPr>
                <w:rFonts w:eastAsia="黑体"/>
                <w:noProof/>
                <w:webHidden/>
              </w:rPr>
              <w:fldChar w:fldCharType="begin"/>
            </w:r>
            <w:r w:rsidR="00347FBA" w:rsidRPr="00315EF0">
              <w:rPr>
                <w:rFonts w:eastAsia="黑体"/>
                <w:noProof/>
                <w:webHidden/>
              </w:rPr>
              <w:instrText xml:space="preserve"> PAGEREF _Toc93782319 \h </w:instrText>
            </w:r>
            <w:r w:rsidR="00347FBA" w:rsidRPr="00315EF0">
              <w:rPr>
                <w:rFonts w:eastAsia="黑体"/>
                <w:noProof/>
                <w:webHidden/>
              </w:rPr>
            </w:r>
            <w:r w:rsidR="00347FBA" w:rsidRPr="00315EF0">
              <w:rPr>
                <w:rFonts w:eastAsia="黑体"/>
                <w:noProof/>
                <w:webHidden/>
              </w:rPr>
              <w:fldChar w:fldCharType="separate"/>
            </w:r>
            <w:r w:rsidR="00347FBA" w:rsidRPr="00315EF0">
              <w:rPr>
                <w:rFonts w:eastAsia="黑体"/>
                <w:noProof/>
                <w:webHidden/>
              </w:rPr>
              <w:t>- 109 -</w:t>
            </w:r>
            <w:r w:rsidR="00347FBA" w:rsidRPr="00315EF0">
              <w:rPr>
                <w:rFonts w:eastAsia="黑体"/>
                <w:noProof/>
                <w:webHidden/>
              </w:rPr>
              <w:fldChar w:fldCharType="end"/>
            </w:r>
          </w:hyperlink>
        </w:p>
        <w:p w14:paraId="5F84B216" w14:textId="76BF23FB" w:rsidR="00347FBA" w:rsidRPr="00315EF0" w:rsidRDefault="007A5567" w:rsidP="00315EF0">
          <w:pPr>
            <w:pStyle w:val="TOC3"/>
            <w:tabs>
              <w:tab w:val="right" w:leader="dot" w:pos="8296"/>
            </w:tabs>
            <w:ind w:leftChars="0" w:left="0" w:firstLine="560"/>
            <w:rPr>
              <w:rFonts w:eastAsia="黑体"/>
              <w:noProof/>
              <w:sz w:val="24"/>
              <w:szCs w:val="21"/>
            </w:rPr>
          </w:pPr>
          <w:hyperlink w:anchor="_Toc93782320" w:history="1">
            <w:r w:rsidR="00347FBA" w:rsidRPr="00315EF0">
              <w:rPr>
                <w:rStyle w:val="af0"/>
                <w:rFonts w:eastAsia="黑体"/>
                <w:noProof/>
                <w:sz w:val="24"/>
                <w:szCs w:val="21"/>
              </w:rPr>
              <w:t xml:space="preserve">5.1 </w:t>
            </w:r>
            <w:r w:rsidR="00347FBA" w:rsidRPr="00315EF0">
              <w:rPr>
                <w:rStyle w:val="af0"/>
                <w:rFonts w:eastAsia="黑体"/>
                <w:noProof/>
                <w:sz w:val="24"/>
                <w:szCs w:val="21"/>
              </w:rPr>
              <w:t>低碳发展路径</w:t>
            </w:r>
            <w:r w:rsidR="00347FBA" w:rsidRPr="00315EF0">
              <w:rPr>
                <w:rFonts w:eastAsia="黑体"/>
                <w:noProof/>
                <w:webHidden/>
                <w:sz w:val="24"/>
                <w:szCs w:val="21"/>
              </w:rPr>
              <w:tab/>
            </w:r>
            <w:r w:rsidR="00347FBA" w:rsidRPr="00315EF0">
              <w:rPr>
                <w:rFonts w:eastAsia="黑体"/>
                <w:noProof/>
                <w:webHidden/>
                <w:sz w:val="24"/>
                <w:szCs w:val="21"/>
              </w:rPr>
              <w:fldChar w:fldCharType="begin"/>
            </w:r>
            <w:r w:rsidR="00347FBA" w:rsidRPr="00315EF0">
              <w:rPr>
                <w:rFonts w:eastAsia="黑体"/>
                <w:noProof/>
                <w:webHidden/>
                <w:sz w:val="24"/>
                <w:szCs w:val="21"/>
              </w:rPr>
              <w:instrText xml:space="preserve"> PAGEREF _Toc93782320 \h </w:instrText>
            </w:r>
            <w:r w:rsidR="00347FBA" w:rsidRPr="00315EF0">
              <w:rPr>
                <w:rFonts w:eastAsia="黑体"/>
                <w:noProof/>
                <w:webHidden/>
                <w:sz w:val="24"/>
                <w:szCs w:val="21"/>
              </w:rPr>
            </w:r>
            <w:r w:rsidR="00347FBA" w:rsidRPr="00315EF0">
              <w:rPr>
                <w:rFonts w:eastAsia="黑体"/>
                <w:noProof/>
                <w:webHidden/>
                <w:sz w:val="24"/>
                <w:szCs w:val="21"/>
              </w:rPr>
              <w:fldChar w:fldCharType="separate"/>
            </w:r>
            <w:r w:rsidR="00347FBA" w:rsidRPr="00315EF0">
              <w:rPr>
                <w:rFonts w:eastAsia="黑体"/>
                <w:noProof/>
                <w:webHidden/>
                <w:sz w:val="24"/>
                <w:szCs w:val="21"/>
              </w:rPr>
              <w:t>- 109 -</w:t>
            </w:r>
            <w:r w:rsidR="00347FBA" w:rsidRPr="00315EF0">
              <w:rPr>
                <w:rFonts w:eastAsia="黑体"/>
                <w:noProof/>
                <w:webHidden/>
                <w:sz w:val="24"/>
                <w:szCs w:val="21"/>
              </w:rPr>
              <w:fldChar w:fldCharType="end"/>
            </w:r>
          </w:hyperlink>
        </w:p>
        <w:p w14:paraId="6883BF31" w14:textId="480D737B" w:rsidR="001306A3" w:rsidRPr="001306A3" w:rsidRDefault="007A5567" w:rsidP="00315EF0">
          <w:pPr>
            <w:pStyle w:val="TOC3"/>
            <w:tabs>
              <w:tab w:val="right" w:leader="dot" w:pos="8296"/>
            </w:tabs>
            <w:ind w:leftChars="0" w:left="0" w:firstLine="560"/>
          </w:pPr>
          <w:hyperlink w:anchor="_Toc93782321" w:history="1">
            <w:r w:rsidR="00347FBA" w:rsidRPr="00315EF0">
              <w:rPr>
                <w:rStyle w:val="af0"/>
                <w:rFonts w:eastAsia="黑体"/>
                <w:noProof/>
                <w:sz w:val="24"/>
                <w:szCs w:val="21"/>
              </w:rPr>
              <w:t xml:space="preserve">5.2 </w:t>
            </w:r>
            <w:r w:rsidR="00347FBA" w:rsidRPr="00315EF0">
              <w:rPr>
                <w:rStyle w:val="af0"/>
                <w:rFonts w:eastAsia="黑体"/>
                <w:noProof/>
                <w:sz w:val="24"/>
                <w:szCs w:val="21"/>
              </w:rPr>
              <w:t>交通部门近零排放发展路径探索</w:t>
            </w:r>
            <w:r w:rsidR="00347FBA" w:rsidRPr="00315EF0">
              <w:rPr>
                <w:rFonts w:eastAsia="黑体"/>
                <w:noProof/>
                <w:webHidden/>
                <w:sz w:val="24"/>
                <w:szCs w:val="21"/>
              </w:rPr>
              <w:tab/>
            </w:r>
            <w:r w:rsidR="00347FBA" w:rsidRPr="00315EF0">
              <w:rPr>
                <w:rFonts w:eastAsia="黑体"/>
                <w:noProof/>
                <w:webHidden/>
                <w:sz w:val="24"/>
                <w:szCs w:val="21"/>
              </w:rPr>
              <w:fldChar w:fldCharType="begin"/>
            </w:r>
            <w:r w:rsidR="00347FBA" w:rsidRPr="00315EF0">
              <w:rPr>
                <w:rFonts w:eastAsia="黑体"/>
                <w:noProof/>
                <w:webHidden/>
                <w:sz w:val="24"/>
                <w:szCs w:val="21"/>
              </w:rPr>
              <w:instrText xml:space="preserve"> PAGEREF _Toc93782321 \h </w:instrText>
            </w:r>
            <w:r w:rsidR="00347FBA" w:rsidRPr="00315EF0">
              <w:rPr>
                <w:rFonts w:eastAsia="黑体"/>
                <w:noProof/>
                <w:webHidden/>
                <w:sz w:val="24"/>
                <w:szCs w:val="21"/>
              </w:rPr>
            </w:r>
            <w:r w:rsidR="00347FBA" w:rsidRPr="00315EF0">
              <w:rPr>
                <w:rFonts w:eastAsia="黑体"/>
                <w:noProof/>
                <w:webHidden/>
                <w:sz w:val="24"/>
                <w:szCs w:val="21"/>
              </w:rPr>
              <w:fldChar w:fldCharType="separate"/>
            </w:r>
            <w:r w:rsidR="00347FBA" w:rsidRPr="00315EF0">
              <w:rPr>
                <w:rFonts w:eastAsia="黑体"/>
                <w:noProof/>
                <w:webHidden/>
                <w:sz w:val="24"/>
                <w:szCs w:val="21"/>
              </w:rPr>
              <w:t>- 110 -</w:t>
            </w:r>
            <w:r w:rsidR="00347FBA" w:rsidRPr="00315EF0">
              <w:rPr>
                <w:rFonts w:eastAsia="黑体"/>
                <w:noProof/>
                <w:webHidden/>
                <w:sz w:val="24"/>
                <w:szCs w:val="21"/>
              </w:rPr>
              <w:fldChar w:fldCharType="end"/>
            </w:r>
          </w:hyperlink>
          <w:r w:rsidR="00347FBA" w:rsidRPr="00315EF0">
            <w:rPr>
              <w:rFonts w:eastAsia="黑体"/>
              <w:b/>
              <w:bCs/>
              <w:lang w:val="zh-CN"/>
            </w:rPr>
            <w:fldChar w:fldCharType="end"/>
          </w:r>
        </w:p>
      </w:sdtContent>
    </w:sdt>
    <w:p w14:paraId="3B12B431" w14:textId="77777777" w:rsidR="001306A3" w:rsidRDefault="001306A3" w:rsidP="001306A3">
      <w:pPr>
        <w:ind w:firstLine="560"/>
      </w:pPr>
    </w:p>
    <w:p w14:paraId="3D21164C" w14:textId="2C75B7A3" w:rsidR="00347FBA" w:rsidRDefault="00347FBA" w:rsidP="001306A3">
      <w:pPr>
        <w:ind w:firstLine="560"/>
        <w:sectPr w:rsidR="00347FBA" w:rsidSect="00B01D38">
          <w:pgSz w:w="11906" w:h="16838"/>
          <w:pgMar w:top="1440" w:right="1800" w:bottom="1440" w:left="1800" w:header="851" w:footer="992" w:gutter="0"/>
          <w:pgNumType w:fmt="numberInDash"/>
          <w:cols w:space="425"/>
          <w:titlePg/>
          <w:docGrid w:type="lines" w:linePitch="381"/>
        </w:sectPr>
      </w:pPr>
    </w:p>
    <w:p w14:paraId="674E1A5C" w14:textId="54ADD949" w:rsidR="00C946A1" w:rsidRPr="00C718FF" w:rsidRDefault="00396A93" w:rsidP="00C718FF">
      <w:pPr>
        <w:pStyle w:val="2"/>
        <w:jc w:val="left"/>
        <w:rPr>
          <w:rFonts w:cs="Times New Roman"/>
          <w:sz w:val="36"/>
          <w:szCs w:val="36"/>
        </w:rPr>
      </w:pPr>
      <w:bookmarkStart w:id="3" w:name="_Toc93782302"/>
      <w:r w:rsidRPr="00C718FF">
        <w:rPr>
          <w:rFonts w:cs="Times New Roman"/>
          <w:sz w:val="36"/>
          <w:szCs w:val="36"/>
        </w:rPr>
        <w:lastRenderedPageBreak/>
        <w:t>1.</w:t>
      </w:r>
      <w:r w:rsidR="00C946A1" w:rsidRPr="00C718FF">
        <w:rPr>
          <w:rFonts w:cs="Times New Roman"/>
          <w:sz w:val="36"/>
          <w:szCs w:val="36"/>
        </w:rPr>
        <w:t>背景</w:t>
      </w:r>
      <w:bookmarkEnd w:id="3"/>
    </w:p>
    <w:p w14:paraId="38B3FF78" w14:textId="423AE63F" w:rsidR="00396A93" w:rsidRDefault="00396A93" w:rsidP="006C4586">
      <w:pPr>
        <w:pStyle w:val="3"/>
      </w:pPr>
      <w:bookmarkStart w:id="4" w:name="_Toc93782303"/>
      <w:r>
        <w:rPr>
          <w:rFonts w:hint="eastAsia"/>
        </w:rPr>
        <w:t>1</w:t>
      </w:r>
      <w:r>
        <w:t xml:space="preserve">.1 </w:t>
      </w:r>
      <w:r w:rsidR="00076963">
        <w:rPr>
          <w:rFonts w:hint="eastAsia"/>
        </w:rPr>
        <w:t>全球</w:t>
      </w:r>
      <w:r w:rsidR="00A81C75">
        <w:rPr>
          <w:rFonts w:hint="eastAsia"/>
        </w:rPr>
        <w:t>应对</w:t>
      </w:r>
      <w:r w:rsidR="00A15D68">
        <w:rPr>
          <w:rFonts w:hint="eastAsia"/>
        </w:rPr>
        <w:t>气候</w:t>
      </w:r>
      <w:r w:rsidR="006071A8">
        <w:rPr>
          <w:rFonts w:hint="eastAsia"/>
        </w:rPr>
        <w:t>变化</w:t>
      </w:r>
      <w:r w:rsidR="00076963">
        <w:rPr>
          <w:rFonts w:hint="eastAsia"/>
        </w:rPr>
        <w:t>的形势</w:t>
      </w:r>
      <w:bookmarkEnd w:id="4"/>
    </w:p>
    <w:p w14:paraId="7D0F088A" w14:textId="4FEB2834" w:rsidR="001306A3" w:rsidRDefault="001306A3" w:rsidP="00463609">
      <w:pPr>
        <w:pStyle w:val="4"/>
      </w:pPr>
      <w:r>
        <w:rPr>
          <w:rFonts w:hint="eastAsia"/>
        </w:rPr>
        <w:t>1.1.1</w:t>
      </w:r>
      <w:r w:rsidR="00116736">
        <w:t xml:space="preserve"> </w:t>
      </w:r>
      <w:r>
        <w:rPr>
          <w:rFonts w:hint="eastAsia"/>
        </w:rPr>
        <w:t>全球应对气候变化面临严峻挑战</w:t>
      </w:r>
    </w:p>
    <w:p w14:paraId="44C79E94" w14:textId="77777777" w:rsidR="001306A3" w:rsidRDefault="001306A3" w:rsidP="001306A3">
      <w:pPr>
        <w:ind w:firstLine="560"/>
      </w:pPr>
      <w:r>
        <w:rPr>
          <w:rFonts w:hint="eastAsia"/>
        </w:rPr>
        <w:t>工业革命以来的人类活动，特别是发达国家大量消费化石能源所产生的二氧化碳累积排放，导致大气中温室气体浓度显著增加，加剧了以变暖为主要特征的全球气候变化。世界气象组织发布的《</w:t>
      </w:r>
      <w:r>
        <w:rPr>
          <w:rFonts w:hint="eastAsia"/>
        </w:rPr>
        <w:t>2020</w:t>
      </w:r>
      <w:r>
        <w:rPr>
          <w:rFonts w:hint="eastAsia"/>
        </w:rPr>
        <w:t>年全球气候状况》报告表明，</w:t>
      </w:r>
      <w:r>
        <w:rPr>
          <w:rFonts w:hint="eastAsia"/>
        </w:rPr>
        <w:t>2020</w:t>
      </w:r>
      <w:r>
        <w:rPr>
          <w:rFonts w:hint="eastAsia"/>
        </w:rPr>
        <w:t>年全球平均温度较工业化前水平高出约</w:t>
      </w:r>
      <w:r>
        <w:rPr>
          <w:rFonts w:hint="eastAsia"/>
        </w:rPr>
        <w:t>1.2</w:t>
      </w:r>
      <w:r>
        <w:rPr>
          <w:rFonts w:hint="eastAsia"/>
        </w:rPr>
        <w:t>℃，</w:t>
      </w:r>
      <w:r>
        <w:rPr>
          <w:rFonts w:hint="eastAsia"/>
        </w:rPr>
        <w:t>2011</w:t>
      </w:r>
      <w:r>
        <w:rPr>
          <w:rFonts w:hint="eastAsia"/>
        </w:rPr>
        <w:t>年至</w:t>
      </w:r>
      <w:r>
        <w:rPr>
          <w:rFonts w:hint="eastAsia"/>
        </w:rPr>
        <w:t>2020</w:t>
      </w:r>
      <w:r>
        <w:rPr>
          <w:rFonts w:hint="eastAsia"/>
        </w:rPr>
        <w:t>年是有记录以来最暖的</w:t>
      </w:r>
      <w:r>
        <w:rPr>
          <w:rFonts w:hint="eastAsia"/>
        </w:rPr>
        <w:t>10</w:t>
      </w:r>
      <w:r>
        <w:rPr>
          <w:rFonts w:hint="eastAsia"/>
        </w:rPr>
        <w:t>年。</w:t>
      </w:r>
      <w:r>
        <w:rPr>
          <w:rFonts w:hint="eastAsia"/>
        </w:rPr>
        <w:t>2021</w:t>
      </w:r>
      <w:r>
        <w:rPr>
          <w:rFonts w:hint="eastAsia"/>
        </w:rPr>
        <w:t>年政府间气候变化专门委员会发布的第六次评估报告第一工作组报告表明，人类活动已造成气候系统发生了前所未有的变化。</w:t>
      </w:r>
      <w:r>
        <w:rPr>
          <w:rFonts w:hint="eastAsia"/>
        </w:rPr>
        <w:t>1970</w:t>
      </w:r>
      <w:r>
        <w:rPr>
          <w:rFonts w:hint="eastAsia"/>
        </w:rPr>
        <w:t>年以来的</w:t>
      </w:r>
      <w:r>
        <w:rPr>
          <w:rFonts w:hint="eastAsia"/>
        </w:rPr>
        <w:t>50</w:t>
      </w:r>
      <w:r>
        <w:rPr>
          <w:rFonts w:hint="eastAsia"/>
        </w:rPr>
        <w:t>年是过去两千年以来最暖的</w:t>
      </w:r>
      <w:r>
        <w:rPr>
          <w:rFonts w:hint="eastAsia"/>
        </w:rPr>
        <w:t>50</w:t>
      </w:r>
      <w:r>
        <w:rPr>
          <w:rFonts w:hint="eastAsia"/>
        </w:rPr>
        <w:t>年。预计到本世纪中期，气候系统的变暖仍将持续。</w:t>
      </w:r>
    </w:p>
    <w:p w14:paraId="391B64C4" w14:textId="77777777" w:rsidR="001306A3" w:rsidRDefault="001306A3" w:rsidP="001306A3">
      <w:pPr>
        <w:ind w:firstLine="560"/>
      </w:pPr>
      <w:r>
        <w:rPr>
          <w:rFonts w:hint="eastAsia"/>
        </w:rPr>
        <w:t>气候变化对全球自然生态系统产生显著影响，全球许多区域出现并发极端天气气候事件和复合型事件的概率和频率大大增加，高温热浪及干旱并发，极端海平面和强降水叠加造成复合型洪涝事件加剧。</w:t>
      </w:r>
      <w:r>
        <w:rPr>
          <w:rFonts w:hint="eastAsia"/>
        </w:rPr>
        <w:t>2021</w:t>
      </w:r>
      <w:r>
        <w:rPr>
          <w:rFonts w:hint="eastAsia"/>
        </w:rPr>
        <w:t>年，有的地区遭遇强降雨，并引发洪涝灾害，有的地区气温创下历史新高，有的地区森林火灾频发。全球变暖正在影响地球上每一个地区，其中许多变化不可逆转，温度升高、海平面上升、极端气候事件频发给人类生存和发展带来严峻挑战，对全球粮食、水、生态、能源、基础设施以及民众生命财产安全构成长期重大威胁，应对气候变化刻不容缓。</w:t>
      </w:r>
    </w:p>
    <w:p w14:paraId="6AF5743D" w14:textId="4AE34978" w:rsidR="001306A3" w:rsidRDefault="001306A3" w:rsidP="001306A3">
      <w:pPr>
        <w:ind w:firstLine="560"/>
      </w:pPr>
      <w:r>
        <w:rPr>
          <w:rFonts w:hint="eastAsia"/>
        </w:rPr>
        <w:t>全球气候变化是</w:t>
      </w:r>
      <w:r>
        <w:rPr>
          <w:rFonts w:hint="eastAsia"/>
        </w:rPr>
        <w:t>21</w:t>
      </w:r>
      <w:r>
        <w:rPr>
          <w:rFonts w:hint="eastAsia"/>
        </w:rPr>
        <w:t>世纪人类生存发展面临的重大挑战之一，积</w:t>
      </w:r>
      <w:r>
        <w:rPr>
          <w:rFonts w:hint="eastAsia"/>
        </w:rPr>
        <w:lastRenderedPageBreak/>
        <w:t>极应对气候变化，推进绿色低碳可持续发展已成为当前全球共识。国际社会于</w:t>
      </w:r>
      <w:r>
        <w:rPr>
          <w:rFonts w:hint="eastAsia"/>
        </w:rPr>
        <w:t>2016</w:t>
      </w:r>
      <w:r>
        <w:rPr>
          <w:rFonts w:hint="eastAsia"/>
        </w:rPr>
        <w:t>年通过《巴黎协定》提出了“国家自主贡献”的碳减排新机制，确立了“到本世纪末将全球气温升幅控制在工业化前水平</w:t>
      </w:r>
      <w:r>
        <w:rPr>
          <w:rFonts w:hint="eastAsia"/>
        </w:rPr>
        <w:t>2</w:t>
      </w:r>
      <w:r>
        <w:rPr>
          <w:rFonts w:hint="eastAsia"/>
        </w:rPr>
        <w:t>℃以内”的长期目标，对全球气候变化治理而言，席卷全球的新冠肺炎疫情对包括全球气候变化治理带了新的挑战，包括</w:t>
      </w:r>
      <w:r w:rsidR="005950C4">
        <w:rPr>
          <w:rFonts w:hint="eastAsia"/>
        </w:rPr>
        <w:t>中国</w:t>
      </w:r>
      <w:r>
        <w:rPr>
          <w:rFonts w:hint="eastAsia"/>
        </w:rPr>
        <w:t>在内已有</w:t>
      </w:r>
      <w:r>
        <w:rPr>
          <w:rFonts w:hint="eastAsia"/>
        </w:rPr>
        <w:t>185</w:t>
      </w:r>
      <w:r>
        <w:rPr>
          <w:rFonts w:hint="eastAsia"/>
        </w:rPr>
        <w:t>个国家和地区加入《巴黎协定》，欧盟、日本、韩国等部分国家和地区已宣布了碳中和目标。</w:t>
      </w:r>
    </w:p>
    <w:p w14:paraId="65793B79" w14:textId="77777777" w:rsidR="001306A3" w:rsidRDefault="001306A3" w:rsidP="00463609">
      <w:pPr>
        <w:pStyle w:val="4"/>
      </w:pPr>
      <w:r>
        <w:rPr>
          <w:rFonts w:hint="eastAsia"/>
        </w:rPr>
        <w:t>1.1.2</w:t>
      </w:r>
      <w:r>
        <w:rPr>
          <w:rFonts w:hint="eastAsia"/>
        </w:rPr>
        <w:t>全球应对气候变化面临新的形势</w:t>
      </w:r>
    </w:p>
    <w:p w14:paraId="76EB7FC6" w14:textId="77777777" w:rsidR="001306A3" w:rsidRDefault="001306A3" w:rsidP="001306A3">
      <w:pPr>
        <w:ind w:firstLine="560"/>
      </w:pPr>
      <w:r>
        <w:rPr>
          <w:rFonts w:hint="eastAsia"/>
        </w:rPr>
        <w:t>目前，由温室气体增加引发的气候变化是人类面临的重大而紧迫的全球性挑战，全球气候变化治理面临新的形势。</w:t>
      </w:r>
    </w:p>
    <w:p w14:paraId="4391C192" w14:textId="77777777" w:rsidR="001306A3" w:rsidRDefault="001306A3" w:rsidP="001306A3">
      <w:pPr>
        <w:ind w:firstLine="560"/>
      </w:pPr>
      <w:r>
        <w:rPr>
          <w:rFonts w:hint="eastAsia"/>
        </w:rPr>
        <w:t>气候变化问题的紧迫性要求加快全球气候变化治理力度。当前，气候变化问题的紧迫性愈发凸显，世界百年未有之大变局进入加速演变期，国际环境日趋错综复杂，全球气候治理进程形势更加复杂。其次，气候变化正深刻影响着全球环境、政治、经济与社会安全。</w:t>
      </w:r>
      <w:r>
        <w:rPr>
          <w:rFonts w:hint="eastAsia"/>
        </w:rPr>
        <w:t>2020</w:t>
      </w:r>
      <w:r>
        <w:rPr>
          <w:rFonts w:hint="eastAsia"/>
        </w:rPr>
        <w:t>年大气中温室气体二氧化碳浓度超过</w:t>
      </w:r>
      <w:r>
        <w:rPr>
          <w:rFonts w:hint="eastAsia"/>
        </w:rPr>
        <w:t>413ppm</w:t>
      </w:r>
      <w:r>
        <w:rPr>
          <w:rFonts w:hint="eastAsia"/>
        </w:rPr>
        <w:t>，为近</w:t>
      </w:r>
      <w:r>
        <w:rPr>
          <w:rFonts w:hint="eastAsia"/>
        </w:rPr>
        <w:t>200</w:t>
      </w:r>
      <w:r>
        <w:rPr>
          <w:rFonts w:hint="eastAsia"/>
        </w:rPr>
        <w:t>万年以来最高，</w:t>
      </w:r>
      <w:r>
        <w:rPr>
          <w:rFonts w:hint="eastAsia"/>
        </w:rPr>
        <w:t>21</w:t>
      </w:r>
      <w:r>
        <w:rPr>
          <w:rFonts w:hint="eastAsia"/>
        </w:rPr>
        <w:t>世纪前</w:t>
      </w:r>
      <w:r>
        <w:rPr>
          <w:rFonts w:hint="eastAsia"/>
        </w:rPr>
        <w:t>20</w:t>
      </w:r>
      <w:r>
        <w:rPr>
          <w:rFonts w:hint="eastAsia"/>
        </w:rPr>
        <w:t>年全球地表平均温度比工业化前高出</w:t>
      </w:r>
      <w:r>
        <w:rPr>
          <w:rFonts w:hint="eastAsia"/>
        </w:rPr>
        <w:t>0.99</w:t>
      </w:r>
      <w:r>
        <w:rPr>
          <w:rFonts w:hint="eastAsia"/>
        </w:rPr>
        <w:t>℃，气候变化带来的影响越来越显著。作为应对气候变化问题的主要机制和平台，联合国框架下的全球气候变化治理却迟滞不前、行动迟缓，与气候变化问题的紧迫性形成强烈反差。《巴黎协定》尽管确立了在</w:t>
      </w:r>
      <w:r>
        <w:rPr>
          <w:rFonts w:hint="eastAsia"/>
        </w:rPr>
        <w:t>21</w:t>
      </w:r>
      <w:r>
        <w:rPr>
          <w:rFonts w:hint="eastAsia"/>
        </w:rPr>
        <w:t>世纪末将全球升温控制在工业化之前水平的</w:t>
      </w:r>
      <w:r>
        <w:rPr>
          <w:rFonts w:hint="eastAsia"/>
        </w:rPr>
        <w:t>2</w:t>
      </w:r>
      <w:r>
        <w:rPr>
          <w:rFonts w:hint="eastAsia"/>
        </w:rPr>
        <w:t>℃以内的目标，但从现有的减排力度来看，这一目标恐怕难以实现。目前，气候变化问题迫在眉睫，影响日益显著，国际社会合作应对该问题的行动力度仍相对不</w:t>
      </w:r>
      <w:r>
        <w:rPr>
          <w:rFonts w:hint="eastAsia"/>
        </w:rPr>
        <w:lastRenderedPageBreak/>
        <w:t>足，这构成了全球气候变化治理的主要矛盾，这也是未来气候变化治理需要解决的主要问题之一。</w:t>
      </w:r>
    </w:p>
    <w:p w14:paraId="49BBD495" w14:textId="77777777" w:rsidR="001306A3" w:rsidRDefault="001306A3" w:rsidP="001306A3">
      <w:pPr>
        <w:ind w:firstLine="560"/>
      </w:pPr>
      <w:r>
        <w:rPr>
          <w:rFonts w:hint="eastAsia"/>
        </w:rPr>
        <w:t>全球应对气候变化亟需多边主义国际合作。气候变化问题的根本特征是全球性，气温的上升及其影响也是全球性的。随着全球极端天气发生频率的上升，以及气候变化对人的健康、生物多样性的影响显现，这对世界各国来说都是严峻挑战。气候变化问题不仅仅是一个区域层面的问题，也难以在区域层面解决，只能依靠全球合作。全球性合作的基础是多边主义，也是国际合作的基本理念，但目前多边主义面临诸多挑战。一是美国的“退出”行为、单边主义对多边主义形成挤压，而且美国的行为也在一定程度上影响了其他国家。二是世界经济遭遇严重衰退，也将从根本上影响多边主义的发展，也助推了保护主义和民族主义的抬头。所有这些因素将拖延全球气候变化治理进程，削弱国际社会及时应对该问题的力度和决心。</w:t>
      </w:r>
    </w:p>
    <w:p w14:paraId="787C1110" w14:textId="45D72A1A" w:rsidR="001306A3" w:rsidRDefault="001306A3" w:rsidP="001306A3">
      <w:pPr>
        <w:ind w:firstLine="560"/>
      </w:pPr>
      <w:r>
        <w:rPr>
          <w:rFonts w:hint="eastAsia"/>
        </w:rPr>
        <w:t>突如其来的新冠肺炎疫情对全球气候变化治理也造成复杂影响。新冠肺炎疫情大流行在全球造成的影响前所未见如今依然在蔓延。它致使多个国家经济遭受重创，全球经济步入衰退的“至暗时刻”，气候变化形势也变得更加严峻复杂。新冠疫情导致国际气候变化、生物多样性谈判推迟，全球气候与环境治理进程整体延后。面对新冠疫情造成的严峻挑战，国际谈判进程的停滞、各国疫情防控和经济发展形势的变化还可能会导致部分国家尤其是发展中国家政策重心的转移，造成环境保护和气候变化行动力度的下降。新冠疫情造成全球经济发展放缓、应对气候变化资金收缩，造成一些国家气候政策执行不力。</w:t>
      </w:r>
      <w:r>
        <w:rPr>
          <w:rFonts w:hint="eastAsia"/>
        </w:rPr>
        <w:lastRenderedPageBreak/>
        <w:t>对于正在从新冠疫情中走出来的国家而言，其面临的首要任务是经济复苏，部分国家不得不推迟并转移原计划用于气候变化适应和发展可再生能源方面的资金。此外，新冠疫情并未阻止气候变化，气候系统多项关键指标继续向着更加危险的方向恶化。</w:t>
      </w:r>
      <w:r>
        <w:rPr>
          <w:rFonts w:hint="eastAsia"/>
        </w:rPr>
        <w:t xml:space="preserve">2020 </w:t>
      </w:r>
      <w:r>
        <w:rPr>
          <w:rFonts w:hint="eastAsia"/>
        </w:rPr>
        <w:t>年上半年，</w:t>
      </w:r>
      <w:r>
        <w:rPr>
          <w:rFonts w:hint="eastAsia"/>
        </w:rPr>
        <w:t xml:space="preserve">WMO </w:t>
      </w:r>
      <w:r>
        <w:rPr>
          <w:rFonts w:hint="eastAsia"/>
        </w:rPr>
        <w:t>全球大气监测网（</w:t>
      </w:r>
      <w:r>
        <w:rPr>
          <w:rFonts w:hint="eastAsia"/>
        </w:rPr>
        <w:t>GAW</w:t>
      </w:r>
      <w:r>
        <w:rPr>
          <w:rFonts w:hint="eastAsia"/>
        </w:rPr>
        <w:t>）基准站数据显示：全球大气二氧化碳平均浓度已超过</w:t>
      </w:r>
      <w:r>
        <w:rPr>
          <w:rFonts w:hint="eastAsia"/>
        </w:rPr>
        <w:t xml:space="preserve"> 410ppm</w:t>
      </w:r>
      <w:r>
        <w:rPr>
          <w:rFonts w:hint="eastAsia"/>
        </w:rPr>
        <w:t>，是</w:t>
      </w:r>
      <w:r>
        <w:rPr>
          <w:rFonts w:hint="eastAsia"/>
        </w:rPr>
        <w:t>300</w:t>
      </w:r>
      <w:r>
        <w:rPr>
          <w:rFonts w:hint="eastAsia"/>
        </w:rPr>
        <w:t>万年来的最高水平，并且仍保持持续快速上升趋势。全球平均气温处于有记录以来最暖时期。新冠肺炎疫情作为突发性全球公共危机对全球经济社会可持续发展带来新的冲击，面对新的风险，如何化解危机、统筹好社会经济发展和应对气候变化工作成为新挑战。</w:t>
      </w:r>
    </w:p>
    <w:p w14:paraId="013C1E87" w14:textId="77777777" w:rsidR="001306A3" w:rsidRPr="001306A3" w:rsidRDefault="001306A3" w:rsidP="00463609">
      <w:pPr>
        <w:keepNext/>
        <w:keepLines/>
        <w:ind w:firstLineChars="0" w:firstLine="0"/>
        <w:outlineLvl w:val="2"/>
        <w:rPr>
          <w:rFonts w:eastAsia="黑体"/>
          <w:bCs/>
          <w:sz w:val="30"/>
          <w:szCs w:val="32"/>
        </w:rPr>
      </w:pPr>
      <w:bookmarkStart w:id="5" w:name="_Toc93782304"/>
      <w:r w:rsidRPr="001306A3">
        <w:rPr>
          <w:rFonts w:eastAsia="黑体"/>
          <w:bCs/>
          <w:sz w:val="30"/>
          <w:szCs w:val="32"/>
        </w:rPr>
        <w:t xml:space="preserve">1.2 </w:t>
      </w:r>
      <w:r w:rsidRPr="001306A3">
        <w:rPr>
          <w:rFonts w:eastAsia="黑体" w:hint="eastAsia"/>
          <w:bCs/>
          <w:sz w:val="30"/>
          <w:szCs w:val="32"/>
        </w:rPr>
        <w:t>中国应对气候变化的政策主张</w:t>
      </w:r>
      <w:bookmarkEnd w:id="5"/>
    </w:p>
    <w:p w14:paraId="7A6BD185" w14:textId="77777777" w:rsidR="001306A3" w:rsidRPr="00DB5A8A" w:rsidRDefault="001306A3" w:rsidP="00DB5A8A">
      <w:pPr>
        <w:pStyle w:val="4"/>
      </w:pPr>
      <w:r w:rsidRPr="00DB5A8A">
        <w:rPr>
          <w:rFonts w:hint="eastAsia"/>
        </w:rPr>
        <w:t xml:space="preserve">1.2.1 </w:t>
      </w:r>
      <w:r w:rsidRPr="00DB5A8A">
        <w:rPr>
          <w:rFonts w:hint="eastAsia"/>
        </w:rPr>
        <w:t>中国应对气候变化的国际承诺</w:t>
      </w:r>
    </w:p>
    <w:p w14:paraId="1551C92A" w14:textId="77777777" w:rsidR="001306A3" w:rsidRPr="001306A3" w:rsidRDefault="001306A3" w:rsidP="001306A3">
      <w:pPr>
        <w:ind w:firstLine="560"/>
        <w:rPr>
          <w:rFonts w:eastAsia="仿宋_GB2312"/>
          <w:szCs w:val="28"/>
        </w:rPr>
      </w:pPr>
      <w:r w:rsidRPr="001306A3">
        <w:rPr>
          <w:rFonts w:eastAsia="仿宋_GB2312"/>
          <w:szCs w:val="28"/>
        </w:rPr>
        <w:t>面对复杂形势和诸多挑战，中国一贯高度重视应对气候变化国际合作，积极参与气候变化谈判，推动达成和加快落实《巴黎协定》，以中国理念和实践引领全球气候治理新格局，努力推动构建公平合理、合作共赢的全球气候治理体系。</w:t>
      </w:r>
    </w:p>
    <w:p w14:paraId="5BBD6E2B" w14:textId="77084EFE" w:rsidR="001306A3" w:rsidRPr="001306A3" w:rsidRDefault="001306A3" w:rsidP="001306A3">
      <w:pPr>
        <w:ind w:firstLine="562"/>
        <w:rPr>
          <w:rFonts w:eastAsia="仿宋_GB2312"/>
          <w:szCs w:val="28"/>
        </w:rPr>
      </w:pPr>
      <w:r w:rsidRPr="001306A3">
        <w:rPr>
          <w:rFonts w:eastAsia="仿宋_GB2312"/>
          <w:b/>
          <w:bCs/>
          <w:szCs w:val="28"/>
        </w:rPr>
        <w:t>领导人气候外交增强全球气候治理凝聚力。</w:t>
      </w:r>
      <w:r w:rsidRPr="001306A3">
        <w:rPr>
          <w:rFonts w:eastAsia="仿宋_GB2312"/>
          <w:szCs w:val="28"/>
        </w:rPr>
        <w:t>习近平主席多次在重要会议和活动中阐释中国的全球气候治理主张，推动全球气候治理取得重大进展。</w:t>
      </w:r>
      <w:r w:rsidRPr="001306A3">
        <w:rPr>
          <w:rFonts w:eastAsia="仿宋_GB2312"/>
          <w:szCs w:val="28"/>
        </w:rPr>
        <w:t>2015</w:t>
      </w:r>
      <w:r w:rsidRPr="001306A3">
        <w:rPr>
          <w:rFonts w:eastAsia="仿宋_GB2312"/>
          <w:szCs w:val="28"/>
        </w:rPr>
        <w:t>年，习近平主席出席气候变化巴黎大会并发表重要讲话，为达成</w:t>
      </w:r>
      <w:r w:rsidRPr="001306A3">
        <w:rPr>
          <w:rFonts w:eastAsia="仿宋_GB2312"/>
          <w:szCs w:val="28"/>
        </w:rPr>
        <w:t>2020</w:t>
      </w:r>
      <w:r w:rsidRPr="001306A3">
        <w:rPr>
          <w:rFonts w:eastAsia="仿宋_GB2312"/>
          <w:szCs w:val="28"/>
        </w:rPr>
        <w:t>年后全球合作应对气候变化的《巴黎协定》作出历史性贡献。</w:t>
      </w:r>
      <w:r w:rsidRPr="001306A3">
        <w:rPr>
          <w:rFonts w:eastAsia="仿宋_GB2312"/>
          <w:szCs w:val="28"/>
        </w:rPr>
        <w:t>2016</w:t>
      </w:r>
      <w:r w:rsidRPr="001306A3">
        <w:rPr>
          <w:rFonts w:eastAsia="仿宋_GB2312"/>
          <w:szCs w:val="28"/>
        </w:rPr>
        <w:t>年</w:t>
      </w:r>
      <w:r w:rsidRPr="001306A3">
        <w:rPr>
          <w:rFonts w:eastAsia="仿宋_GB2312"/>
          <w:szCs w:val="28"/>
        </w:rPr>
        <w:t>9</w:t>
      </w:r>
      <w:r w:rsidRPr="001306A3">
        <w:rPr>
          <w:rFonts w:eastAsia="仿宋_GB2312"/>
          <w:szCs w:val="28"/>
        </w:rPr>
        <w:t>月，习近平主席亲自交存中国批准《巴黎协定》的法律文书，推动《巴黎协定》快速生效，展示了中国应对气候</w:t>
      </w:r>
      <w:r w:rsidRPr="001306A3">
        <w:rPr>
          <w:rFonts w:eastAsia="仿宋_GB2312"/>
          <w:szCs w:val="28"/>
        </w:rPr>
        <w:lastRenderedPageBreak/>
        <w:t>变化的雄心和决心。在全球气候治理面临重大不确定性时，习近平主席多次表明中方坚定支持《巴黎协定》的态度，为推动全球气候治理指明了前进方向，注入了强劲动力。</w:t>
      </w:r>
      <w:r w:rsidRPr="001306A3">
        <w:rPr>
          <w:rFonts w:eastAsia="仿宋_GB2312"/>
          <w:szCs w:val="28"/>
        </w:rPr>
        <w:t>2020</w:t>
      </w:r>
      <w:r w:rsidRPr="001306A3">
        <w:rPr>
          <w:rFonts w:eastAsia="仿宋_GB2312"/>
          <w:szCs w:val="28"/>
        </w:rPr>
        <w:t>年</w:t>
      </w:r>
      <w:r w:rsidRPr="001306A3">
        <w:rPr>
          <w:rFonts w:eastAsia="仿宋_GB2312"/>
          <w:szCs w:val="28"/>
        </w:rPr>
        <w:t>9</w:t>
      </w:r>
      <w:r w:rsidRPr="001306A3">
        <w:rPr>
          <w:rFonts w:eastAsia="仿宋_GB2312"/>
          <w:szCs w:val="28"/>
        </w:rPr>
        <w:t>月，习近平主席在第七十五届联合国大会一般性辩论上宣布中国将提高国家自主贡献力度，表明了中国全力推进新发展理念的坚定意志，彰显了中国愿为全球应对气候变化作出新贡献的明确态度。</w:t>
      </w:r>
      <w:r w:rsidRPr="001306A3">
        <w:rPr>
          <w:rFonts w:eastAsia="仿宋_GB2312"/>
          <w:szCs w:val="28"/>
        </w:rPr>
        <w:t>2020</w:t>
      </w:r>
      <w:r w:rsidRPr="001306A3">
        <w:rPr>
          <w:rFonts w:eastAsia="仿宋_GB2312"/>
          <w:szCs w:val="28"/>
        </w:rPr>
        <w:t>年</w:t>
      </w:r>
      <w:r w:rsidRPr="001306A3">
        <w:rPr>
          <w:rFonts w:eastAsia="仿宋_GB2312"/>
          <w:szCs w:val="28"/>
        </w:rPr>
        <w:t>12</w:t>
      </w:r>
      <w:r w:rsidRPr="001306A3">
        <w:rPr>
          <w:rFonts w:eastAsia="仿宋_GB2312"/>
          <w:szCs w:val="28"/>
        </w:rPr>
        <w:t>月，习近平主席在气候雄心峰会上进一步宣布到</w:t>
      </w:r>
      <w:r w:rsidRPr="001306A3">
        <w:rPr>
          <w:rFonts w:eastAsia="仿宋_GB2312"/>
          <w:szCs w:val="28"/>
        </w:rPr>
        <w:t>2030</w:t>
      </w:r>
      <w:r w:rsidRPr="001306A3">
        <w:rPr>
          <w:rFonts w:eastAsia="仿宋_GB2312"/>
          <w:szCs w:val="28"/>
        </w:rPr>
        <w:t>年中国二氧化碳减排、非化石能源发展、森林蓄积量提升等一系列新目标。</w:t>
      </w:r>
      <w:r w:rsidRPr="001306A3">
        <w:rPr>
          <w:rFonts w:eastAsia="仿宋_GB2312"/>
          <w:szCs w:val="28"/>
        </w:rPr>
        <w:t>2021</w:t>
      </w:r>
      <w:r w:rsidRPr="001306A3">
        <w:rPr>
          <w:rFonts w:eastAsia="仿宋_GB2312"/>
          <w:szCs w:val="28"/>
        </w:rPr>
        <w:t>年</w:t>
      </w:r>
      <w:r w:rsidRPr="001306A3">
        <w:rPr>
          <w:rFonts w:eastAsia="仿宋_GB2312"/>
          <w:szCs w:val="28"/>
        </w:rPr>
        <w:t>9</w:t>
      </w:r>
      <w:r w:rsidRPr="001306A3">
        <w:rPr>
          <w:rFonts w:eastAsia="仿宋_GB2312"/>
          <w:szCs w:val="28"/>
        </w:rPr>
        <w:t>月，习近平主席出席第七十六届联合国大会一般性辩论时提出，中国将大力支持发展中国家能源绿色低碳发展，不再新建境外煤电项目，展现了中国负责任大国的责任担当。</w:t>
      </w:r>
      <w:r w:rsidRPr="001306A3">
        <w:rPr>
          <w:rFonts w:eastAsia="仿宋_GB2312"/>
          <w:szCs w:val="28"/>
        </w:rPr>
        <w:t>2021</w:t>
      </w:r>
      <w:r w:rsidRPr="001306A3">
        <w:rPr>
          <w:rFonts w:eastAsia="仿宋_GB2312"/>
          <w:szCs w:val="28"/>
        </w:rPr>
        <w:t>年</w:t>
      </w:r>
      <w:r w:rsidRPr="001306A3">
        <w:rPr>
          <w:rFonts w:eastAsia="仿宋_GB2312"/>
          <w:szCs w:val="28"/>
        </w:rPr>
        <w:t>10</w:t>
      </w:r>
      <w:r w:rsidRPr="001306A3">
        <w:rPr>
          <w:rFonts w:eastAsia="仿宋_GB2312"/>
          <w:szCs w:val="28"/>
        </w:rPr>
        <w:t>月，习近平主席出席《生物多样性公约》第十五次缔约方大会领导人峰会并发表主旨讲话，强调为推动实现碳达峰、碳中和目标，中国将陆续发布重点领域和行业碳达峰实施方案和一系列支撑保障措施，构建起碳达峰、碳中和</w:t>
      </w:r>
      <w:r w:rsidRPr="001306A3">
        <w:rPr>
          <w:rFonts w:eastAsia="仿宋_GB2312"/>
          <w:szCs w:val="28"/>
        </w:rPr>
        <w:t>“1+N”</w:t>
      </w:r>
      <w:r w:rsidRPr="001306A3">
        <w:rPr>
          <w:rFonts w:eastAsia="仿宋_GB2312"/>
          <w:szCs w:val="28"/>
        </w:rPr>
        <w:t>政策体系；中国将持续推进产业结构和能源结构调整，大力发展可再生能源，在沙漠、戈壁、荒漠地区加快规划建设大型风电光伏基地项目，第一期装机容量约</w:t>
      </w:r>
      <w:r w:rsidRPr="001306A3">
        <w:rPr>
          <w:rFonts w:eastAsia="仿宋_GB2312"/>
          <w:szCs w:val="28"/>
        </w:rPr>
        <w:t>1</w:t>
      </w:r>
      <w:r w:rsidRPr="001306A3">
        <w:rPr>
          <w:rFonts w:eastAsia="仿宋_GB2312"/>
          <w:szCs w:val="28"/>
        </w:rPr>
        <w:t>亿千瓦的项目已于近期有序开工。</w:t>
      </w:r>
    </w:p>
    <w:p w14:paraId="469AEAD8" w14:textId="02B0C4A9" w:rsidR="001306A3" w:rsidRPr="001306A3" w:rsidRDefault="001306A3" w:rsidP="001306A3">
      <w:pPr>
        <w:ind w:firstLine="562"/>
      </w:pPr>
      <w:r w:rsidRPr="001306A3">
        <w:rPr>
          <w:rFonts w:eastAsia="仿宋_GB2312"/>
          <w:b/>
          <w:bCs/>
          <w:szCs w:val="28"/>
        </w:rPr>
        <w:t>积极建设性参与气候变化国际谈判。</w:t>
      </w:r>
      <w:r w:rsidRPr="001306A3">
        <w:rPr>
          <w:rFonts w:eastAsia="仿宋_GB2312"/>
          <w:szCs w:val="28"/>
        </w:rPr>
        <w:t>中国坚持公平、共同但有区别的责任和各自能力原则，坚持按照公开透明、广泛参与、缔约方驱动和协商一致的原则，引导和推动了《巴黎协定》等重要成果文件的达成。中国推动发起建立了</w:t>
      </w:r>
      <w:r w:rsidRPr="001306A3">
        <w:rPr>
          <w:rFonts w:ascii="仿宋_GB2312" w:eastAsia="仿宋_GB2312" w:hAnsi="仿宋_GB2312" w:cs="仿宋_GB2312" w:hint="eastAsia"/>
          <w:szCs w:val="28"/>
        </w:rPr>
        <w:t>“基础四国”部长级会议和气候行动部长级会议等多边磋商机制，积极协调“基础四国”“立场相近发展中国</w:t>
      </w:r>
      <w:r w:rsidRPr="001306A3">
        <w:rPr>
          <w:rFonts w:ascii="仿宋_GB2312" w:eastAsia="仿宋_GB2312" w:hAnsi="仿宋_GB2312" w:cs="仿宋_GB2312" w:hint="eastAsia"/>
          <w:szCs w:val="28"/>
        </w:rPr>
        <w:lastRenderedPageBreak/>
        <w:t>家”“七十七国集团和中国”应对气候变化谈判立场，为维护发展中国家团结、捍卫发展中国家共同利益发挥了重要作用。积极参加二十国集团（G20）、国际民航组织、国际海事组织、金砖国家会议等框架下气候议题磋商谈判，调动发挥多渠道协同效应，推动多边进程持续向前。</w:t>
      </w:r>
      <w:r w:rsidRPr="001306A3">
        <w:rPr>
          <w:rFonts w:eastAsia="仿宋_GB2312"/>
          <w:szCs w:val="28"/>
        </w:rPr>
        <w:t>这次</w:t>
      </w:r>
      <w:r w:rsidR="005950C4">
        <w:rPr>
          <w:rFonts w:eastAsia="仿宋_GB2312"/>
          <w:szCs w:val="28"/>
        </w:rPr>
        <w:t>中国</w:t>
      </w:r>
      <w:r w:rsidRPr="001306A3">
        <w:rPr>
          <w:rFonts w:eastAsia="仿宋_GB2312"/>
          <w:szCs w:val="28"/>
        </w:rPr>
        <w:t>提出的碳中和目标已超出《巴黎协定》中</w:t>
      </w:r>
      <w:r w:rsidRPr="001306A3">
        <w:rPr>
          <w:rFonts w:eastAsia="仿宋_GB2312"/>
          <w:szCs w:val="28"/>
        </w:rPr>
        <w:t>“2℃</w:t>
      </w:r>
      <w:r w:rsidRPr="001306A3">
        <w:rPr>
          <w:rFonts w:eastAsia="仿宋_GB2312"/>
          <w:szCs w:val="28"/>
        </w:rPr>
        <w:t>温控目标</w:t>
      </w:r>
      <w:r w:rsidRPr="001306A3">
        <w:rPr>
          <w:rFonts w:eastAsia="仿宋_GB2312"/>
          <w:szCs w:val="28"/>
        </w:rPr>
        <w:t>”</w:t>
      </w:r>
      <w:r w:rsidRPr="001306A3">
        <w:rPr>
          <w:rFonts w:eastAsia="仿宋_GB2312"/>
          <w:szCs w:val="28"/>
        </w:rPr>
        <w:t>下全球</w:t>
      </w:r>
      <w:r w:rsidRPr="001306A3">
        <w:rPr>
          <w:rFonts w:eastAsia="仿宋_GB2312"/>
          <w:szCs w:val="28"/>
        </w:rPr>
        <w:t>2065—2070</w:t>
      </w:r>
      <w:r w:rsidRPr="001306A3">
        <w:rPr>
          <w:rFonts w:eastAsia="仿宋_GB2312"/>
          <w:szCs w:val="28"/>
        </w:rPr>
        <w:t>年实现碳中和的要求，这或使全球实现碳中和时间提前</w:t>
      </w:r>
      <w:r w:rsidRPr="001306A3">
        <w:rPr>
          <w:rFonts w:eastAsia="仿宋_GB2312"/>
          <w:szCs w:val="28"/>
        </w:rPr>
        <w:t>5—10</w:t>
      </w:r>
      <w:r w:rsidRPr="001306A3">
        <w:rPr>
          <w:rFonts w:eastAsia="仿宋_GB2312"/>
          <w:szCs w:val="28"/>
        </w:rPr>
        <w:t>年，将对全球气候治理起到关键性推动作用。另一方面，相比</w:t>
      </w:r>
      <w:r w:rsidRPr="001306A3">
        <w:rPr>
          <w:rFonts w:eastAsia="仿宋_GB2312"/>
          <w:szCs w:val="28"/>
        </w:rPr>
        <w:t>2015</w:t>
      </w:r>
      <w:r w:rsidRPr="001306A3">
        <w:rPr>
          <w:rFonts w:eastAsia="仿宋_GB2312"/>
          <w:szCs w:val="28"/>
        </w:rPr>
        <w:t>年</w:t>
      </w:r>
      <w:r w:rsidR="005950C4">
        <w:rPr>
          <w:rFonts w:eastAsia="仿宋_GB2312"/>
          <w:szCs w:val="28"/>
        </w:rPr>
        <w:t>中国</w:t>
      </w:r>
      <w:r w:rsidRPr="001306A3">
        <w:rPr>
          <w:rFonts w:eastAsia="仿宋_GB2312"/>
          <w:szCs w:val="28"/>
        </w:rPr>
        <w:t>提出的自主贡献目标</w:t>
      </w:r>
      <w:r w:rsidRPr="001306A3">
        <w:rPr>
          <w:rFonts w:eastAsia="仿宋_GB2312"/>
          <w:szCs w:val="28"/>
        </w:rPr>
        <w:t>“</w:t>
      </w:r>
      <w:r w:rsidRPr="001306A3">
        <w:rPr>
          <w:rFonts w:eastAsia="仿宋_GB2312"/>
          <w:szCs w:val="28"/>
        </w:rPr>
        <w:t>中国将在</w:t>
      </w:r>
      <w:r w:rsidRPr="001306A3">
        <w:rPr>
          <w:rFonts w:eastAsia="仿宋_GB2312"/>
          <w:szCs w:val="28"/>
        </w:rPr>
        <w:t>2030</w:t>
      </w:r>
      <w:r w:rsidRPr="001306A3">
        <w:rPr>
          <w:rFonts w:eastAsia="仿宋_GB2312"/>
          <w:szCs w:val="28"/>
        </w:rPr>
        <w:t>年左右碳排放达峰</w:t>
      </w:r>
      <w:r w:rsidRPr="001306A3">
        <w:rPr>
          <w:rFonts w:eastAsia="仿宋_GB2312"/>
          <w:szCs w:val="28"/>
        </w:rPr>
        <w:t>”</w:t>
      </w:r>
      <w:r w:rsidRPr="001306A3">
        <w:rPr>
          <w:rFonts w:eastAsia="仿宋_GB2312"/>
          <w:szCs w:val="28"/>
        </w:rPr>
        <w:t>仅一字之差，但落实到减排任务，紧迫性大大提高，用不到</w:t>
      </w:r>
      <w:r w:rsidRPr="001306A3">
        <w:rPr>
          <w:rFonts w:eastAsia="仿宋_GB2312"/>
          <w:szCs w:val="28"/>
        </w:rPr>
        <w:t>10</w:t>
      </w:r>
      <w:r w:rsidRPr="001306A3">
        <w:rPr>
          <w:rFonts w:eastAsia="仿宋_GB2312"/>
          <w:szCs w:val="28"/>
        </w:rPr>
        <w:t>年时间使碳排放达峰，再经过</w:t>
      </w:r>
      <w:r w:rsidRPr="001306A3">
        <w:rPr>
          <w:rFonts w:eastAsia="仿宋_GB2312"/>
          <w:szCs w:val="28"/>
        </w:rPr>
        <w:t>30</w:t>
      </w:r>
      <w:r w:rsidRPr="001306A3">
        <w:rPr>
          <w:rFonts w:eastAsia="仿宋_GB2312"/>
          <w:szCs w:val="28"/>
        </w:rPr>
        <w:t>年时间碳中和，将倒逼</w:t>
      </w:r>
      <w:r w:rsidR="005950C4">
        <w:rPr>
          <w:rFonts w:eastAsia="仿宋_GB2312"/>
          <w:szCs w:val="28"/>
        </w:rPr>
        <w:t>中国</w:t>
      </w:r>
      <w:r w:rsidRPr="001306A3">
        <w:rPr>
          <w:rFonts w:eastAsia="仿宋_GB2312"/>
          <w:szCs w:val="28"/>
        </w:rPr>
        <w:t>经济结构绿色低碳转型、技术和政策创新，从而带来经济增长方式的巨大变化。</w:t>
      </w:r>
    </w:p>
    <w:p w14:paraId="403035AA" w14:textId="77419033" w:rsidR="001306A3" w:rsidRPr="00DB5A8A" w:rsidRDefault="001306A3" w:rsidP="00DB5A8A">
      <w:pPr>
        <w:pStyle w:val="4"/>
      </w:pPr>
      <w:r w:rsidRPr="00DB5A8A">
        <w:rPr>
          <w:rFonts w:hint="eastAsia"/>
        </w:rPr>
        <w:t>1.2.2</w:t>
      </w:r>
      <w:r w:rsidR="00463609">
        <w:t xml:space="preserve"> </w:t>
      </w:r>
      <w:r w:rsidRPr="00DB5A8A">
        <w:rPr>
          <w:rFonts w:hint="eastAsia"/>
        </w:rPr>
        <w:t>国家层面上针对全行业的碳达峰碳中和政策分析</w:t>
      </w:r>
    </w:p>
    <w:p w14:paraId="14878264" w14:textId="77777777" w:rsidR="001306A3" w:rsidRPr="001306A3" w:rsidRDefault="001306A3" w:rsidP="001306A3">
      <w:pPr>
        <w:ind w:firstLine="560"/>
      </w:pPr>
      <w:r w:rsidRPr="001306A3">
        <w:rPr>
          <w:rFonts w:hint="eastAsia"/>
        </w:rPr>
        <w:t>2021</w:t>
      </w:r>
      <w:r w:rsidRPr="001306A3">
        <w:rPr>
          <w:rFonts w:hint="eastAsia"/>
        </w:rPr>
        <w:t>年，中共中央、国务院印发了《中共中央</w:t>
      </w:r>
      <w:r w:rsidRPr="001306A3">
        <w:rPr>
          <w:rFonts w:hint="eastAsia"/>
        </w:rPr>
        <w:t xml:space="preserve"> </w:t>
      </w:r>
      <w:r w:rsidRPr="001306A3">
        <w:rPr>
          <w:rFonts w:hint="eastAsia"/>
        </w:rPr>
        <w:t>国务院关于完整</w:t>
      </w:r>
    </w:p>
    <w:p w14:paraId="2DA202AE" w14:textId="77777777" w:rsidR="001306A3" w:rsidRPr="001306A3" w:rsidRDefault="001306A3" w:rsidP="001306A3">
      <w:pPr>
        <w:ind w:firstLineChars="0" w:firstLine="0"/>
      </w:pPr>
      <w:r w:rsidRPr="001306A3">
        <w:rPr>
          <w:rFonts w:hint="eastAsia"/>
        </w:rPr>
        <w:t>准确全面贯彻新发展理念做好碳达峰碳中和工作的意见》（以下简称《意见》）和《</w:t>
      </w:r>
      <w:r w:rsidRPr="001306A3">
        <w:rPr>
          <w:rFonts w:hint="eastAsia"/>
        </w:rPr>
        <w:t>2030</w:t>
      </w:r>
      <w:r w:rsidRPr="001306A3">
        <w:rPr>
          <w:rFonts w:hint="eastAsia"/>
        </w:rPr>
        <w:t>年前碳达峰行动方案》（以下简称《方案》）文件。</w:t>
      </w:r>
    </w:p>
    <w:p w14:paraId="3B4DAA92" w14:textId="77777777" w:rsidR="001306A3" w:rsidRPr="001306A3" w:rsidRDefault="001306A3" w:rsidP="001306A3">
      <w:pPr>
        <w:ind w:firstLine="560"/>
      </w:pPr>
      <w:r w:rsidRPr="001306A3">
        <w:rPr>
          <w:rFonts w:hint="eastAsia"/>
        </w:rPr>
        <w:t>《意见》作为管总管长远的纲领性文件，在碳达峰碳中和“</w:t>
      </w:r>
      <w:r w:rsidRPr="001306A3">
        <w:rPr>
          <w:rFonts w:hint="eastAsia"/>
        </w:rPr>
        <w:t>1+N</w:t>
      </w:r>
      <w:r w:rsidRPr="001306A3">
        <w:rPr>
          <w:rFonts w:hint="eastAsia"/>
        </w:rPr>
        <w:t>”政策体系中发挥统领作用，与</w:t>
      </w:r>
      <w:r w:rsidRPr="001306A3">
        <w:rPr>
          <w:rFonts w:hint="eastAsia"/>
        </w:rPr>
        <w:t>2030</w:t>
      </w:r>
      <w:r w:rsidRPr="001306A3">
        <w:rPr>
          <w:rFonts w:hint="eastAsia"/>
        </w:rPr>
        <w:t>年前碳达峰各行动方案一起，共同构成贯穿碳达峰、碳中和两个阶段的顶层设计。《意见》就确保如期实现碳达峰碳中和目标作出全面部署，明确了总体要求，确定了主要目标，部署了重大举措，指明了实施路径和方向，是指导做好碳达峰碳中和这项重大工作的纲领性文件。其中，在加快推进低碳交通运</w:t>
      </w:r>
      <w:r w:rsidRPr="001306A3">
        <w:rPr>
          <w:rFonts w:hint="eastAsia"/>
        </w:rPr>
        <w:lastRenderedPageBreak/>
        <w:t>输体系建设方面，提出了优化交通运输结构、推广节能低碳型交通工具和积极引导低碳出行。《意见》要求，优化交通运输结构。加快建设综合立体交通网，大力发展多式联运，提高铁路、水路在综合运输中的承运比重，持续降低运输能耗和二氧化碳排放强度。优化客运组织，引导客运企业规模化、集约化经营。加快发展绿色物流，整合运输资源，提高利用效率。推广节能低碳型交通工具。加快发展新能源和清洁能源车船，推广智能交通，推进铁路电气化改造，推动加氢站建设，促进船舶靠港使用岸电常态化。加快构建便利高效、适度超前的充换电网络体系。提高燃油车船能效标准，健全交通运输装备能效标识制度，加快淘汰高耗能高排放老旧车船。积极引导低碳出行。加快城市轨道交通、公交专用道、快速公交系统等大容量公共交通基础设施建设，加强自行车专用道和行人步道等城市慢行系统建设。综合运用法律、经济、技术、行政等多种手段，加大城市交通拥堵治理力度。</w:t>
      </w:r>
    </w:p>
    <w:p w14:paraId="2D958951" w14:textId="77777777" w:rsidR="001306A3" w:rsidRPr="001306A3" w:rsidRDefault="001306A3" w:rsidP="001306A3">
      <w:pPr>
        <w:ind w:firstLine="560"/>
      </w:pPr>
      <w:r w:rsidRPr="001306A3">
        <w:rPr>
          <w:rFonts w:hint="eastAsia"/>
        </w:rPr>
        <w:t>国务院印发《</w:t>
      </w:r>
      <w:r w:rsidRPr="001306A3">
        <w:rPr>
          <w:rFonts w:hint="eastAsia"/>
        </w:rPr>
        <w:t>2030</w:t>
      </w:r>
      <w:r w:rsidRPr="001306A3">
        <w:rPr>
          <w:rFonts w:hint="eastAsia"/>
        </w:rPr>
        <w:t>年前碳达峰行动方案》，提出“碳达峰十大行动”。其中，在交通运输绿色低碳行动方面，明确加快形成绿色低碳运输方式，确保交通运输领域碳排放增长保持在合理区间。《方案》要求，推动运输工具装备低碳转型。积极扩大电力、氢能、天然气、先进生物液体燃料等新能源、清洁能源在交通运输领域应用。大力推广新能源汽车，逐步降低传统燃油汽车在新车产销和汽车保有量中的占比，推动城市公共服务车辆电动化替代，推广电力、氢燃料、液化天然气动力重型货运车辆。提升铁路系统电气化水平。加快老旧船舶</w:t>
      </w:r>
      <w:r w:rsidRPr="001306A3">
        <w:rPr>
          <w:rFonts w:hint="eastAsia"/>
        </w:rPr>
        <w:lastRenderedPageBreak/>
        <w:t>更新改造，发展电动、液化天然气动力船舶，深入推进船舶靠港使用岸电，因地制宜开展沿海、内河绿色智能船舶示范应用。提升机场运行电动化智能化水平，发展新能源航空器。到</w:t>
      </w:r>
      <w:r w:rsidRPr="001306A3">
        <w:rPr>
          <w:rFonts w:hint="eastAsia"/>
        </w:rPr>
        <w:t>2030</w:t>
      </w:r>
      <w:r w:rsidRPr="001306A3">
        <w:rPr>
          <w:rFonts w:hint="eastAsia"/>
        </w:rPr>
        <w:t>年，当年新增新能源、清洁能源动力的交通工具比例达到</w:t>
      </w:r>
      <w:r w:rsidRPr="001306A3">
        <w:rPr>
          <w:rFonts w:hint="eastAsia"/>
        </w:rPr>
        <w:t>40%</w:t>
      </w:r>
      <w:r w:rsidRPr="001306A3">
        <w:rPr>
          <w:rFonts w:hint="eastAsia"/>
        </w:rPr>
        <w:t>左右，营运交通工具单位换算周转量碳排放强度比</w:t>
      </w:r>
      <w:r w:rsidRPr="001306A3">
        <w:rPr>
          <w:rFonts w:hint="eastAsia"/>
        </w:rPr>
        <w:t>2020</w:t>
      </w:r>
      <w:r w:rsidRPr="001306A3">
        <w:rPr>
          <w:rFonts w:hint="eastAsia"/>
        </w:rPr>
        <w:t>年下降</w:t>
      </w:r>
      <w:r w:rsidRPr="001306A3">
        <w:rPr>
          <w:rFonts w:hint="eastAsia"/>
        </w:rPr>
        <w:t>9.5%</w:t>
      </w:r>
      <w:r w:rsidRPr="001306A3">
        <w:rPr>
          <w:rFonts w:hint="eastAsia"/>
        </w:rPr>
        <w:t>左右，国家铁路单位换算周转量综合能耗比</w:t>
      </w:r>
      <w:r w:rsidRPr="001306A3">
        <w:rPr>
          <w:rFonts w:hint="eastAsia"/>
        </w:rPr>
        <w:t>2020</w:t>
      </w:r>
      <w:r w:rsidRPr="001306A3">
        <w:rPr>
          <w:rFonts w:hint="eastAsia"/>
        </w:rPr>
        <w:t>年下降</w:t>
      </w:r>
      <w:r w:rsidRPr="001306A3">
        <w:rPr>
          <w:rFonts w:hint="eastAsia"/>
        </w:rPr>
        <w:t>10%</w:t>
      </w:r>
      <w:r w:rsidRPr="001306A3">
        <w:rPr>
          <w:rFonts w:hint="eastAsia"/>
        </w:rPr>
        <w:t>。陆路交通运输石油消费力争</w:t>
      </w:r>
      <w:r w:rsidRPr="001306A3">
        <w:rPr>
          <w:rFonts w:hint="eastAsia"/>
        </w:rPr>
        <w:t>2030</w:t>
      </w:r>
      <w:r w:rsidRPr="001306A3">
        <w:rPr>
          <w:rFonts w:hint="eastAsia"/>
        </w:rPr>
        <w:t>年前达到峰值。</w:t>
      </w:r>
    </w:p>
    <w:p w14:paraId="5CC1BFF1" w14:textId="77777777" w:rsidR="001306A3" w:rsidRPr="001306A3" w:rsidRDefault="001306A3" w:rsidP="001306A3">
      <w:pPr>
        <w:ind w:firstLine="560"/>
      </w:pPr>
      <w:r w:rsidRPr="001306A3">
        <w:rPr>
          <w:rFonts w:hint="eastAsia"/>
        </w:rPr>
        <w:t>《方案》要求，构建绿色高效交通运输体系。发展智能交通，推动不同运输方式合理分工、有效衔接，降低空载率和不合理客货运周转量。大力发展以铁路、水路为骨干的多式联运，推进工矿企业、港口、物流园区等铁路专用线建设，加快内河高等级航道网建设，加快大宗货物和中长距离货物运输“公转铁”、“公转水”。加快先进适用技术应用，提升民航运行管理效率，引导航空企业加强智慧运行，实现系统化节能降碳。加快城乡物流配送体系建设，创新绿色低碳、集约高效的配送模式。打造高效衔接、快捷舒适的公共交通服务体系，积极引导公众选择绿色低碳交通方式。“十四五”期间，集装箱铁水联运量年均增长</w:t>
      </w:r>
      <w:r w:rsidRPr="001306A3">
        <w:rPr>
          <w:rFonts w:hint="eastAsia"/>
        </w:rPr>
        <w:t>15%</w:t>
      </w:r>
      <w:r w:rsidRPr="001306A3">
        <w:rPr>
          <w:rFonts w:hint="eastAsia"/>
        </w:rPr>
        <w:t>以上。到</w:t>
      </w:r>
      <w:r w:rsidRPr="001306A3">
        <w:rPr>
          <w:rFonts w:hint="eastAsia"/>
        </w:rPr>
        <w:t>2030</w:t>
      </w:r>
      <w:r w:rsidRPr="001306A3">
        <w:rPr>
          <w:rFonts w:hint="eastAsia"/>
        </w:rPr>
        <w:t>年，城区常住人口</w:t>
      </w:r>
      <w:r w:rsidRPr="001306A3">
        <w:rPr>
          <w:rFonts w:hint="eastAsia"/>
        </w:rPr>
        <w:t>100</w:t>
      </w:r>
      <w:r w:rsidRPr="001306A3">
        <w:rPr>
          <w:rFonts w:hint="eastAsia"/>
        </w:rPr>
        <w:t>万以上的城市绿色出行比例不低于</w:t>
      </w:r>
      <w:r w:rsidRPr="001306A3">
        <w:rPr>
          <w:rFonts w:hint="eastAsia"/>
        </w:rPr>
        <w:t>70%</w:t>
      </w:r>
      <w:r w:rsidRPr="001306A3">
        <w:rPr>
          <w:rFonts w:hint="eastAsia"/>
        </w:rPr>
        <w:t>。</w:t>
      </w:r>
    </w:p>
    <w:p w14:paraId="0FED6063" w14:textId="77777777" w:rsidR="001306A3" w:rsidRPr="001306A3" w:rsidRDefault="001306A3" w:rsidP="001306A3">
      <w:pPr>
        <w:ind w:firstLine="560"/>
      </w:pPr>
      <w:r w:rsidRPr="001306A3">
        <w:rPr>
          <w:rFonts w:hint="eastAsia"/>
        </w:rPr>
        <w:t>《方案》要求，加快绿色交通基础设施建设。将绿色低碳理念贯穿于交通基础设施规划、建设、运营和维护全过程，降低全生命周期能耗和碳排放。开展交通基础设施绿色化提升改造，统筹利用综合运输通道线位、土地、空域等资源，加大岸线、锚地等资源整合力度，</w:t>
      </w:r>
      <w:r w:rsidRPr="001306A3">
        <w:rPr>
          <w:rFonts w:hint="eastAsia"/>
        </w:rPr>
        <w:lastRenderedPageBreak/>
        <w:t>提高利用效率。有序推进充电桩、配套电网、加注（气）站、加氢站等基础设施建设，提升城市公共交通基础设施水平。到</w:t>
      </w:r>
      <w:r w:rsidRPr="001306A3">
        <w:rPr>
          <w:rFonts w:hint="eastAsia"/>
        </w:rPr>
        <w:t>2030</w:t>
      </w:r>
      <w:r w:rsidRPr="001306A3">
        <w:rPr>
          <w:rFonts w:hint="eastAsia"/>
        </w:rPr>
        <w:t>年，民用运输机场场内车辆装备等力争全面实现电动化。</w:t>
      </w:r>
    </w:p>
    <w:p w14:paraId="209775A8" w14:textId="77777777" w:rsidR="001306A3" w:rsidRPr="001306A3" w:rsidRDefault="001306A3" w:rsidP="001306A3">
      <w:pPr>
        <w:ind w:firstLine="560"/>
      </w:pPr>
      <w:r w:rsidRPr="001306A3">
        <w:rPr>
          <w:rFonts w:hint="eastAsia"/>
        </w:rPr>
        <w:t>此外，除去发布的《关于完整准确全面贯彻新发展理念做好碳达峰碳中和工作的意见》和《</w:t>
      </w:r>
      <w:r w:rsidRPr="001306A3">
        <w:rPr>
          <w:rFonts w:hint="eastAsia"/>
        </w:rPr>
        <w:t>2030</w:t>
      </w:r>
      <w:r w:rsidRPr="001306A3">
        <w:rPr>
          <w:rFonts w:hint="eastAsia"/>
        </w:rPr>
        <w:t>年前碳达峰行动方案》，国务院还将陆续发布能源、工业、建筑、交通等重点领域和煤炭、电力、钢铁、水泥等重点行业的实施方案，出台科技、碳汇、财税、金融等保障措施，形成碳达峰、碳中和“</w:t>
      </w:r>
      <w:r w:rsidRPr="001306A3">
        <w:rPr>
          <w:rFonts w:hint="eastAsia"/>
        </w:rPr>
        <w:t>1+N</w:t>
      </w:r>
      <w:r w:rsidRPr="001306A3">
        <w:rPr>
          <w:rFonts w:hint="eastAsia"/>
        </w:rPr>
        <w:t>”政策体系，明确时间表、路线图、施工图。</w:t>
      </w:r>
    </w:p>
    <w:p w14:paraId="6D8970A4" w14:textId="34A7859F" w:rsidR="001306A3" w:rsidRPr="00DB5A8A" w:rsidRDefault="001306A3" w:rsidP="00DB5A8A">
      <w:pPr>
        <w:pStyle w:val="4"/>
      </w:pPr>
      <w:r w:rsidRPr="00DB5A8A">
        <w:rPr>
          <w:rFonts w:hint="eastAsia"/>
        </w:rPr>
        <w:t xml:space="preserve">1.2.3 </w:t>
      </w:r>
      <w:r w:rsidRPr="00DB5A8A">
        <w:rPr>
          <w:rFonts w:hint="eastAsia"/>
        </w:rPr>
        <w:t>交通运输行业碳达峰碳中和</w:t>
      </w:r>
      <w:r w:rsidR="000759D0">
        <w:rPr>
          <w:rFonts w:hint="eastAsia"/>
        </w:rPr>
        <w:t>相关</w:t>
      </w:r>
      <w:r w:rsidRPr="00DB5A8A">
        <w:rPr>
          <w:rFonts w:hint="eastAsia"/>
        </w:rPr>
        <w:t>政策分析</w:t>
      </w:r>
    </w:p>
    <w:p w14:paraId="6ED7FC4B" w14:textId="19BDEAF9" w:rsidR="00463609" w:rsidRPr="001306A3" w:rsidRDefault="001306A3" w:rsidP="001306A3">
      <w:pPr>
        <w:ind w:firstLine="560"/>
      </w:pPr>
      <w:r w:rsidRPr="001306A3">
        <w:rPr>
          <w:rFonts w:hint="eastAsia"/>
        </w:rPr>
        <w:t>为推进交通运输行业落实国家碳达峰碳中和目标，在国家应对气候变化及节能减排工作领导小组框架下，交通运输部成立了交通运输节能减排工作领导小组，统筹推进公路水路交通运输节能减排和应对气候变化工作。目前，交通运输部正积极编制《公路水路行业绿色低碳发展行动方案》</w:t>
      </w:r>
      <w:r w:rsidR="000759D0">
        <w:rPr>
          <w:rStyle w:val="ab"/>
        </w:rPr>
        <w:footnoteReference w:id="1"/>
      </w:r>
      <w:r w:rsidRPr="001306A3">
        <w:rPr>
          <w:rFonts w:hint="eastAsia"/>
        </w:rPr>
        <w:t>，明确绿色低碳交通发展时间表、路线图，将重点从推动交通动力低碳替代和工具装备全面升级、加快形成低碳交通运输结构、推进低碳交通基础设施建设运营、强化科技创新对低碳交通支撑方面开展工作。</w:t>
      </w:r>
    </w:p>
    <w:p w14:paraId="113CA3DC" w14:textId="1504D2A0" w:rsidR="001306A3" w:rsidRPr="001306A3" w:rsidRDefault="001306A3" w:rsidP="00463609">
      <w:pPr>
        <w:keepNext/>
        <w:keepLines/>
        <w:ind w:firstLineChars="0" w:firstLine="0"/>
        <w:outlineLvl w:val="2"/>
        <w:rPr>
          <w:rFonts w:eastAsia="黑体"/>
          <w:bCs/>
          <w:sz w:val="30"/>
          <w:szCs w:val="32"/>
        </w:rPr>
      </w:pPr>
      <w:bookmarkStart w:id="6" w:name="_Toc93782305"/>
      <w:r w:rsidRPr="001306A3">
        <w:rPr>
          <w:rFonts w:eastAsia="黑体" w:hint="eastAsia"/>
          <w:bCs/>
          <w:sz w:val="30"/>
          <w:szCs w:val="32"/>
        </w:rPr>
        <w:t>1</w:t>
      </w:r>
      <w:r w:rsidRPr="001306A3">
        <w:rPr>
          <w:rFonts w:eastAsia="黑体"/>
          <w:bCs/>
          <w:sz w:val="30"/>
          <w:szCs w:val="32"/>
        </w:rPr>
        <w:t xml:space="preserve">.3 </w:t>
      </w:r>
      <w:r w:rsidRPr="001306A3">
        <w:rPr>
          <w:rFonts w:eastAsia="黑体" w:hint="eastAsia"/>
          <w:bCs/>
          <w:sz w:val="30"/>
          <w:szCs w:val="32"/>
        </w:rPr>
        <w:t>交通部门</w:t>
      </w:r>
      <w:r w:rsidR="00FE0161">
        <w:rPr>
          <w:rFonts w:eastAsia="黑体" w:hint="eastAsia"/>
          <w:bCs/>
          <w:sz w:val="30"/>
          <w:szCs w:val="32"/>
        </w:rPr>
        <w:t>低碳发展</w:t>
      </w:r>
      <w:r w:rsidRPr="001306A3">
        <w:rPr>
          <w:rFonts w:eastAsia="黑体" w:hint="eastAsia"/>
          <w:bCs/>
          <w:sz w:val="30"/>
          <w:szCs w:val="32"/>
        </w:rPr>
        <w:t>的重要性</w:t>
      </w:r>
      <w:bookmarkEnd w:id="6"/>
    </w:p>
    <w:p w14:paraId="5E66FC19" w14:textId="77777777" w:rsidR="001306A3" w:rsidRPr="00DB5A8A" w:rsidRDefault="001306A3" w:rsidP="00DB5A8A">
      <w:pPr>
        <w:pStyle w:val="4"/>
      </w:pPr>
      <w:r w:rsidRPr="00DB5A8A">
        <w:rPr>
          <w:rFonts w:hint="eastAsia"/>
        </w:rPr>
        <w:t>1.3.1</w:t>
      </w:r>
      <w:r w:rsidRPr="00DB5A8A">
        <w:rPr>
          <w:rFonts w:hint="eastAsia"/>
        </w:rPr>
        <w:t>交通运输近零排放是落实国家双碳目标要求</w:t>
      </w:r>
    </w:p>
    <w:p w14:paraId="2FE2285E" w14:textId="1953BACF" w:rsidR="001306A3" w:rsidRPr="001306A3" w:rsidRDefault="001306A3" w:rsidP="001306A3">
      <w:pPr>
        <w:ind w:firstLine="560"/>
        <w:rPr>
          <w:szCs w:val="28"/>
        </w:rPr>
      </w:pPr>
      <w:r w:rsidRPr="001306A3">
        <w:rPr>
          <w:rFonts w:hint="eastAsia"/>
          <w:szCs w:val="28"/>
        </w:rPr>
        <w:t>实现碳达峰、碳中和是一场广泛而深刻的经济社会系统性变革，</w:t>
      </w:r>
      <w:r w:rsidR="005950C4">
        <w:rPr>
          <w:rFonts w:hint="eastAsia"/>
          <w:szCs w:val="28"/>
        </w:rPr>
        <w:lastRenderedPageBreak/>
        <w:t>中国</w:t>
      </w:r>
      <w:r w:rsidRPr="001306A3">
        <w:rPr>
          <w:rFonts w:hint="eastAsia"/>
          <w:szCs w:val="28"/>
        </w:rPr>
        <w:t>已向国际社会庄严承诺，“二氧化碳排放力争</w:t>
      </w:r>
      <w:r w:rsidRPr="001306A3">
        <w:rPr>
          <w:szCs w:val="28"/>
        </w:rPr>
        <w:t>2030</w:t>
      </w:r>
      <w:r w:rsidRPr="001306A3">
        <w:rPr>
          <w:szCs w:val="28"/>
        </w:rPr>
        <w:t>年前达到峰值，努力争取</w:t>
      </w:r>
      <w:r w:rsidRPr="001306A3">
        <w:rPr>
          <w:szCs w:val="28"/>
        </w:rPr>
        <w:t>2060</w:t>
      </w:r>
      <w:r w:rsidRPr="001306A3">
        <w:rPr>
          <w:szCs w:val="28"/>
        </w:rPr>
        <w:t>年前实现碳中和</w:t>
      </w:r>
      <w:r w:rsidRPr="001306A3">
        <w:rPr>
          <w:szCs w:val="28"/>
        </w:rPr>
        <w:t>”“</w:t>
      </w:r>
      <w:r w:rsidRPr="001306A3">
        <w:rPr>
          <w:szCs w:val="28"/>
        </w:rPr>
        <w:t>到</w:t>
      </w:r>
      <w:r w:rsidRPr="001306A3">
        <w:rPr>
          <w:szCs w:val="28"/>
        </w:rPr>
        <w:t>2030</w:t>
      </w:r>
      <w:r w:rsidRPr="001306A3">
        <w:rPr>
          <w:szCs w:val="28"/>
        </w:rPr>
        <w:t>年，中国单位国内生产总值二氧化碳排放将比</w:t>
      </w:r>
      <w:r w:rsidRPr="001306A3">
        <w:rPr>
          <w:szCs w:val="28"/>
        </w:rPr>
        <w:t>2005</w:t>
      </w:r>
      <w:r w:rsidRPr="001306A3">
        <w:rPr>
          <w:szCs w:val="28"/>
        </w:rPr>
        <w:t>年下降</w:t>
      </w:r>
      <w:r w:rsidRPr="001306A3">
        <w:rPr>
          <w:szCs w:val="28"/>
        </w:rPr>
        <w:t>65%</w:t>
      </w:r>
      <w:r w:rsidRPr="001306A3">
        <w:rPr>
          <w:szCs w:val="28"/>
        </w:rPr>
        <w:t>以上，非化石能源占一次能源消费比重将达到</w:t>
      </w:r>
      <w:r w:rsidRPr="001306A3">
        <w:rPr>
          <w:szCs w:val="28"/>
        </w:rPr>
        <w:t>25%</w:t>
      </w:r>
      <w:r w:rsidRPr="001306A3">
        <w:rPr>
          <w:szCs w:val="28"/>
        </w:rPr>
        <w:t>左右</w:t>
      </w:r>
      <w:r w:rsidRPr="001306A3">
        <w:rPr>
          <w:szCs w:val="28"/>
        </w:rPr>
        <w:t>”</w:t>
      </w:r>
      <w:r w:rsidRPr="001306A3">
        <w:rPr>
          <w:szCs w:val="28"/>
        </w:rPr>
        <w:t>。</w:t>
      </w:r>
      <w:r w:rsidRPr="001306A3">
        <w:rPr>
          <w:rFonts w:hint="eastAsia"/>
          <w:szCs w:val="28"/>
        </w:rPr>
        <w:t>交通运输行业是能源消耗和温室气体排放的主要行业之一。</w:t>
      </w:r>
      <w:r w:rsidRPr="001306A3">
        <w:rPr>
          <w:szCs w:val="28"/>
        </w:rPr>
        <w:t>2018</w:t>
      </w:r>
      <w:r w:rsidRPr="001306A3">
        <w:rPr>
          <w:szCs w:val="28"/>
        </w:rPr>
        <w:t>年，交通运输行业碳排放占全国终端碳排放</w:t>
      </w:r>
      <w:r w:rsidRPr="001306A3">
        <w:rPr>
          <w:szCs w:val="28"/>
        </w:rPr>
        <w:t>11.7%</w:t>
      </w:r>
      <w:r w:rsidRPr="001306A3">
        <w:rPr>
          <w:szCs w:val="28"/>
        </w:rPr>
        <w:t>，是仅次于工业、建筑的第三大碳排放源。</w:t>
      </w:r>
      <w:r w:rsidRPr="001306A3">
        <w:rPr>
          <w:szCs w:val="28"/>
        </w:rPr>
        <w:t>“</w:t>
      </w:r>
      <w:r w:rsidRPr="001306A3">
        <w:rPr>
          <w:szCs w:val="28"/>
        </w:rPr>
        <w:t>十四五</w:t>
      </w:r>
      <w:r w:rsidRPr="001306A3">
        <w:rPr>
          <w:szCs w:val="28"/>
        </w:rPr>
        <w:t>”</w:t>
      </w:r>
      <w:r w:rsidRPr="001306A3">
        <w:rPr>
          <w:szCs w:val="28"/>
        </w:rPr>
        <w:t>期</w:t>
      </w:r>
      <w:r w:rsidRPr="001306A3">
        <w:rPr>
          <w:rFonts w:hint="eastAsia"/>
          <w:szCs w:val="28"/>
        </w:rPr>
        <w:t>间</w:t>
      </w:r>
      <w:r w:rsidRPr="001306A3">
        <w:rPr>
          <w:szCs w:val="28"/>
        </w:rPr>
        <w:t>交通需求仍将保持中高速增长，面对</w:t>
      </w:r>
      <w:r w:rsidR="005950C4">
        <w:rPr>
          <w:szCs w:val="28"/>
        </w:rPr>
        <w:t>中国</w:t>
      </w:r>
      <w:r w:rsidRPr="001306A3">
        <w:rPr>
          <w:szCs w:val="28"/>
        </w:rPr>
        <w:t>2030</w:t>
      </w:r>
      <w:r w:rsidRPr="001306A3">
        <w:rPr>
          <w:szCs w:val="28"/>
        </w:rPr>
        <w:t>年二氧化碳排放达到峰值的目标，在工业、建筑等领域减排潜力日益收缩的客观条件下，交通行业面临的减排压力更为巨大。</w:t>
      </w:r>
    </w:p>
    <w:p w14:paraId="12337D76" w14:textId="77777777" w:rsidR="001306A3" w:rsidRPr="001306A3" w:rsidRDefault="001306A3" w:rsidP="001306A3">
      <w:pPr>
        <w:ind w:firstLine="560"/>
        <w:rPr>
          <w:szCs w:val="28"/>
        </w:rPr>
      </w:pPr>
      <w:r w:rsidRPr="001306A3">
        <w:rPr>
          <w:rFonts w:hint="eastAsia"/>
          <w:szCs w:val="28"/>
        </w:rPr>
        <w:t>中央财经委员会第九次会议明确要求“交通领域要加快形成绿色低碳运输方式”“鼓励绿色出行”，强调“以经济社会发展全面绿色转型为引领，以能源绿色低碳发展为关键，加快形成节约资源和保护环境的产业结构、生产方式、生活方式、空间格局，坚定不移走生态优先、绿色低碳的高质量发展道路”，为交通运输可持续发展提出了前进的方向和目标。</w:t>
      </w:r>
    </w:p>
    <w:p w14:paraId="5C60CD24" w14:textId="7219ACFD" w:rsidR="001306A3" w:rsidRPr="001306A3" w:rsidRDefault="001306A3" w:rsidP="001306A3">
      <w:pPr>
        <w:ind w:firstLine="560"/>
        <w:rPr>
          <w:szCs w:val="28"/>
        </w:rPr>
      </w:pPr>
      <w:r w:rsidRPr="001306A3">
        <w:rPr>
          <w:rFonts w:hint="eastAsia"/>
          <w:szCs w:val="28"/>
        </w:rPr>
        <w:t>交通运输行业处于能源消费的末端，从发达国家的普遍规律来看，交通运输行业的碳达峰时间往往滞后于国家的总体碳达峰时间，降低交通领域碳排放不仅在于交通领域本身，而是涉及交通行业的全产业链条，包括载运工具自身的能源经济性和能耗强度、运输能耗、能源供给等，尽早达峰的关键取决于电、氢等新能源装备的发展完成传统燃油装备的替代任务。只有综合运用新能源运输装备替代传统燃油装备，提升燃油效率以及运输结构调整措施，我们才能有可能达峰。因</w:t>
      </w:r>
      <w:r w:rsidRPr="001306A3">
        <w:rPr>
          <w:rFonts w:hint="eastAsia"/>
          <w:szCs w:val="28"/>
        </w:rPr>
        <w:lastRenderedPageBreak/>
        <w:t>此，未来一段时期，</w:t>
      </w:r>
      <w:r w:rsidR="005950C4">
        <w:rPr>
          <w:rFonts w:hint="eastAsia"/>
          <w:szCs w:val="28"/>
        </w:rPr>
        <w:t>中国</w:t>
      </w:r>
      <w:r w:rsidRPr="001306A3">
        <w:rPr>
          <w:rFonts w:hint="eastAsia"/>
          <w:szCs w:val="28"/>
        </w:rPr>
        <w:t>交通运输行业要尽早实现碳达峰的目标，必须要有更强的紧迫感、责任感和使命感，坚持系统观念、注重综合施策，采取更加有力、更加针对性的措施来全面完成我们的目标。</w:t>
      </w:r>
    </w:p>
    <w:p w14:paraId="08AABD8A" w14:textId="77777777" w:rsidR="001306A3" w:rsidRPr="00DB5A8A" w:rsidRDefault="001306A3" w:rsidP="00DB5A8A">
      <w:pPr>
        <w:pStyle w:val="4"/>
      </w:pPr>
      <w:r w:rsidRPr="00DB5A8A">
        <w:rPr>
          <w:rFonts w:hint="eastAsia"/>
        </w:rPr>
        <w:t>1.3.2</w:t>
      </w:r>
      <w:r w:rsidRPr="00DB5A8A">
        <w:rPr>
          <w:rFonts w:hint="eastAsia"/>
        </w:rPr>
        <w:t>交通运输近零排放是加快行业生态文明建设的重要抓手</w:t>
      </w:r>
    </w:p>
    <w:p w14:paraId="19361A59" w14:textId="69A99A09" w:rsidR="001306A3" w:rsidRPr="001306A3" w:rsidRDefault="001306A3" w:rsidP="001306A3">
      <w:pPr>
        <w:ind w:firstLine="560"/>
        <w:rPr>
          <w:szCs w:val="28"/>
        </w:rPr>
      </w:pPr>
      <w:r w:rsidRPr="001306A3">
        <w:rPr>
          <w:rFonts w:hint="eastAsia"/>
          <w:szCs w:val="28"/>
        </w:rPr>
        <w:t>党的十八大以来，</w:t>
      </w:r>
      <w:r w:rsidR="005950C4">
        <w:rPr>
          <w:rFonts w:hint="eastAsia"/>
          <w:szCs w:val="28"/>
        </w:rPr>
        <w:t>中国</w:t>
      </w:r>
      <w:r w:rsidRPr="001306A3">
        <w:rPr>
          <w:rFonts w:hint="eastAsia"/>
          <w:szCs w:val="28"/>
        </w:rPr>
        <w:t>对生态文明建设做出了顶层设计和总体部署，将生态文明建设纳入中国特色社会主义事业“五位一体”总体布局，提出“把生态文明建设放在突出地位，融入经济建设、政治建设、文化建设、社会建设各方面和全过程，努力建设美丽中国，实现中华民族永续发展”。党的十九大以来，</w:t>
      </w:r>
      <w:r w:rsidR="005950C4">
        <w:rPr>
          <w:rFonts w:hint="eastAsia"/>
          <w:szCs w:val="28"/>
        </w:rPr>
        <w:t>中国</w:t>
      </w:r>
      <w:r w:rsidRPr="001306A3">
        <w:rPr>
          <w:rFonts w:hint="eastAsia"/>
          <w:szCs w:val="28"/>
        </w:rPr>
        <w:t>生态文明建设进入加速期，国土空间规划、“三线一单”等资源环境管理制度体系日益完善，超过四分之一的陆域国土面积划定为生态保护红线并实施严格保护。</w:t>
      </w:r>
    </w:p>
    <w:p w14:paraId="4B9D792F" w14:textId="77777777" w:rsidR="001306A3" w:rsidRPr="001306A3" w:rsidRDefault="001306A3" w:rsidP="001306A3">
      <w:pPr>
        <w:ind w:firstLine="560"/>
        <w:rPr>
          <w:szCs w:val="28"/>
        </w:rPr>
      </w:pPr>
      <w:r w:rsidRPr="001306A3">
        <w:rPr>
          <w:rFonts w:hint="eastAsia"/>
          <w:szCs w:val="28"/>
        </w:rPr>
        <w:t>交通运输是发展的“先行官”，同时又是资源消耗型和污染排放型行业。在坚持绿色发展的主题下，人与自然和谐、节约高效利用资源、环境治理和生态安全等要求均为交通运输行业发展模式转变指出了方向，推进交通运输低碳循环发展更是具有明确要求。在推进生态文明建设、实现社会经济发展绿色化的进程中，交通运输行业需要勇于担责，率先作为，通过制度设计、技术进步和结构调整，促进资源节约循环高效利用，做好交通运输碳达峰碳中和工作，推动行业实现近零排放，全面支撑国家生态文明建设和经济发展绿色化。</w:t>
      </w:r>
    </w:p>
    <w:p w14:paraId="733EEA65" w14:textId="77777777" w:rsidR="001306A3" w:rsidRPr="00DB5A8A" w:rsidRDefault="001306A3" w:rsidP="00DB5A8A">
      <w:pPr>
        <w:pStyle w:val="4"/>
      </w:pPr>
      <w:r w:rsidRPr="00DB5A8A">
        <w:rPr>
          <w:rFonts w:hint="eastAsia"/>
        </w:rPr>
        <w:t>1.3.3</w:t>
      </w:r>
      <w:r w:rsidRPr="00DB5A8A">
        <w:rPr>
          <w:rFonts w:hint="eastAsia"/>
        </w:rPr>
        <w:t>交通运输近零排放是交通可持续发展的内在要求</w:t>
      </w:r>
    </w:p>
    <w:p w14:paraId="4FB31B3A" w14:textId="20DAAFFD" w:rsidR="001306A3" w:rsidRPr="001306A3" w:rsidRDefault="001306A3" w:rsidP="001306A3">
      <w:pPr>
        <w:ind w:firstLine="560"/>
        <w:rPr>
          <w:szCs w:val="28"/>
        </w:rPr>
      </w:pPr>
      <w:r w:rsidRPr="001306A3">
        <w:rPr>
          <w:rFonts w:hint="eastAsia"/>
          <w:szCs w:val="28"/>
        </w:rPr>
        <w:t>交通运输是国民经济中基础性、先导性、战略性产业和重要的服务性行业，是可持续发展的重要支撑。坚定不移贯彻创新、协调、绿</w:t>
      </w:r>
      <w:r w:rsidRPr="001306A3">
        <w:rPr>
          <w:rFonts w:hint="eastAsia"/>
          <w:szCs w:val="28"/>
        </w:rPr>
        <w:lastRenderedPageBreak/>
        <w:t>色、开放、共享的新发展理念，是新时代中国交通发展的关键，绿色是</w:t>
      </w:r>
      <w:r w:rsidR="005950C4">
        <w:rPr>
          <w:rFonts w:hint="eastAsia"/>
          <w:szCs w:val="28"/>
        </w:rPr>
        <w:t>中国</w:t>
      </w:r>
      <w:r w:rsidRPr="001306A3">
        <w:rPr>
          <w:rFonts w:hint="eastAsia"/>
          <w:szCs w:val="28"/>
        </w:rPr>
        <w:t>交通可持续发展的显著特征。</w:t>
      </w:r>
      <w:r w:rsidRPr="001306A3">
        <w:rPr>
          <w:szCs w:val="28"/>
        </w:rPr>
        <w:t>2020</w:t>
      </w:r>
      <w:r w:rsidRPr="001306A3">
        <w:rPr>
          <w:szCs w:val="28"/>
        </w:rPr>
        <w:t>年</w:t>
      </w:r>
      <w:r w:rsidRPr="001306A3">
        <w:rPr>
          <w:szCs w:val="28"/>
        </w:rPr>
        <w:t>12</w:t>
      </w:r>
      <w:r w:rsidRPr="001306A3">
        <w:rPr>
          <w:szCs w:val="28"/>
        </w:rPr>
        <w:t>月国务院新闻办公室发布的《中国交通的可持续发展》白皮书中提出，全面推进节能减排和低碳发展。坚定不移推进节能减排，努力建设低碳交通，走出一条能耗排放做</w:t>
      </w:r>
      <w:r w:rsidRPr="001306A3">
        <w:rPr>
          <w:szCs w:val="28"/>
        </w:rPr>
        <w:t>“</w:t>
      </w:r>
      <w:r w:rsidRPr="001306A3">
        <w:rPr>
          <w:szCs w:val="28"/>
        </w:rPr>
        <w:t>减法</w:t>
      </w:r>
      <w:r w:rsidRPr="001306A3">
        <w:rPr>
          <w:szCs w:val="28"/>
        </w:rPr>
        <w:t>”</w:t>
      </w:r>
      <w:r w:rsidRPr="001306A3">
        <w:rPr>
          <w:szCs w:val="28"/>
        </w:rPr>
        <w:t>、经济发展做</w:t>
      </w:r>
      <w:r w:rsidRPr="001306A3">
        <w:rPr>
          <w:szCs w:val="28"/>
        </w:rPr>
        <w:t>“</w:t>
      </w:r>
      <w:r w:rsidRPr="001306A3">
        <w:rPr>
          <w:szCs w:val="28"/>
        </w:rPr>
        <w:t>加法</w:t>
      </w:r>
      <w:r w:rsidRPr="001306A3">
        <w:rPr>
          <w:szCs w:val="28"/>
        </w:rPr>
        <w:t>”</w:t>
      </w:r>
      <w:r w:rsidRPr="001306A3">
        <w:rPr>
          <w:szCs w:val="28"/>
        </w:rPr>
        <w:t>的新路子。</w:t>
      </w:r>
    </w:p>
    <w:p w14:paraId="252867B3" w14:textId="51D81EEF" w:rsidR="001306A3" w:rsidRPr="001306A3" w:rsidRDefault="001306A3" w:rsidP="001306A3">
      <w:pPr>
        <w:ind w:firstLine="560"/>
        <w:rPr>
          <w:szCs w:val="28"/>
        </w:rPr>
      </w:pPr>
      <w:r w:rsidRPr="001306A3">
        <w:rPr>
          <w:rFonts w:hint="eastAsia"/>
          <w:szCs w:val="28"/>
        </w:rPr>
        <w:t>目前，</w:t>
      </w:r>
      <w:r w:rsidR="005950C4">
        <w:rPr>
          <w:rFonts w:hint="eastAsia"/>
          <w:szCs w:val="28"/>
        </w:rPr>
        <w:t>中国</w:t>
      </w:r>
      <w:r w:rsidRPr="001306A3">
        <w:rPr>
          <w:rFonts w:hint="eastAsia"/>
          <w:szCs w:val="28"/>
        </w:rPr>
        <w:t>交通运输仍处于基础设施发展、服务水平提高和转型发展的黄金时期，实现碳达峰、碳中和目标是交通运输高质量发展的必然选择，同时，做好碳达峰、碳中和工作，又是推进交通可持续发展的重要抓手。交通运输行业应坚持和贯彻习近平新时代中国特色社会主义建设对绿色发展的新要求，把节能降碳摆在更加突出的位置，加快转变交通发展方式，正确处理交通发展与能源资源的关系，用双碳目标引领交通运输行业转型升级与可持续发展。</w:t>
      </w:r>
    </w:p>
    <w:p w14:paraId="1A1EF986" w14:textId="77777777" w:rsidR="001306A3" w:rsidRPr="00DB5A8A" w:rsidRDefault="001306A3" w:rsidP="00DB5A8A">
      <w:pPr>
        <w:pStyle w:val="4"/>
      </w:pPr>
      <w:r w:rsidRPr="00DB5A8A">
        <w:rPr>
          <w:rFonts w:hint="eastAsia"/>
        </w:rPr>
        <w:t>1.3.4</w:t>
      </w:r>
      <w:r w:rsidRPr="00DB5A8A">
        <w:rPr>
          <w:rFonts w:hint="eastAsia"/>
        </w:rPr>
        <w:t>交通运输近零排放是加快建设交通强国的重要内容</w:t>
      </w:r>
    </w:p>
    <w:p w14:paraId="315745B3" w14:textId="77777777" w:rsidR="001306A3" w:rsidRPr="001306A3" w:rsidRDefault="001306A3" w:rsidP="001306A3">
      <w:pPr>
        <w:ind w:firstLine="560"/>
        <w:rPr>
          <w:szCs w:val="28"/>
        </w:rPr>
      </w:pPr>
      <w:r w:rsidRPr="001306A3">
        <w:rPr>
          <w:rFonts w:hint="eastAsia"/>
          <w:szCs w:val="28"/>
        </w:rPr>
        <w:t>党的十九大提出建设交通强国的宏伟目标，交通运输发展将由高速增长阶段转向高质量发展阶段，开启了新时代交通运输发展的新征程，中国正在从交通大国向交通强国迈进。</w:t>
      </w:r>
      <w:r w:rsidRPr="001306A3">
        <w:rPr>
          <w:rFonts w:hint="eastAsia"/>
          <w:szCs w:val="28"/>
        </w:rPr>
        <w:t>2</w:t>
      </w:r>
      <w:r w:rsidRPr="001306A3">
        <w:rPr>
          <w:szCs w:val="28"/>
        </w:rPr>
        <w:t>019</w:t>
      </w:r>
      <w:r w:rsidRPr="001306A3">
        <w:rPr>
          <w:szCs w:val="28"/>
        </w:rPr>
        <w:t>年</w:t>
      </w:r>
      <w:r w:rsidRPr="001306A3">
        <w:rPr>
          <w:rFonts w:hint="eastAsia"/>
          <w:szCs w:val="28"/>
        </w:rPr>
        <w:t>9</w:t>
      </w:r>
      <w:r w:rsidRPr="001306A3">
        <w:rPr>
          <w:rFonts w:hint="eastAsia"/>
          <w:szCs w:val="28"/>
        </w:rPr>
        <w:t>月中共中央、国务院印发的《交通强国建设纲要》，提出构建安全、便捷、高效、绿色、经济的现代化综合交通体系，把以人民为中心和民生优先的理念贯彻到建设、管理、养护、运营全过程，从规模速度增长逐步转向质量效率提高，在更高层次满足经济社会发展需要和人民群众出行需求。</w:t>
      </w:r>
      <w:r w:rsidRPr="001306A3">
        <w:rPr>
          <w:rFonts w:hint="eastAsia"/>
          <w:szCs w:val="28"/>
        </w:rPr>
        <w:t>2</w:t>
      </w:r>
      <w:r w:rsidRPr="001306A3">
        <w:rPr>
          <w:szCs w:val="28"/>
        </w:rPr>
        <w:t>021</w:t>
      </w:r>
      <w:r w:rsidRPr="001306A3">
        <w:rPr>
          <w:szCs w:val="28"/>
        </w:rPr>
        <w:t>年</w:t>
      </w:r>
      <w:r w:rsidRPr="001306A3">
        <w:rPr>
          <w:rFonts w:hint="eastAsia"/>
          <w:szCs w:val="28"/>
        </w:rPr>
        <w:t>2</w:t>
      </w:r>
      <w:r w:rsidRPr="001306A3">
        <w:rPr>
          <w:rFonts w:hint="eastAsia"/>
          <w:szCs w:val="28"/>
        </w:rPr>
        <w:t>月中共中央、国务院印发《国家综合立体交通网规划纲要》，提出构建便捷顺畅、经济高效、绿色集约、智能先进、安全可靠的现</w:t>
      </w:r>
      <w:r w:rsidRPr="001306A3">
        <w:rPr>
          <w:rFonts w:hint="eastAsia"/>
          <w:szCs w:val="28"/>
        </w:rPr>
        <w:lastRenderedPageBreak/>
        <w:t>代化高质量国家综合立体交通网。</w:t>
      </w:r>
    </w:p>
    <w:p w14:paraId="7C19AA75" w14:textId="77777777" w:rsidR="001306A3" w:rsidRPr="001306A3" w:rsidRDefault="001306A3" w:rsidP="001306A3">
      <w:pPr>
        <w:ind w:firstLine="560"/>
      </w:pPr>
      <w:r w:rsidRPr="001306A3">
        <w:rPr>
          <w:rFonts w:hint="eastAsia"/>
          <w:szCs w:val="28"/>
        </w:rPr>
        <w:t>绿色交通是交通强国的重要特征和内在要求，《交通强国建设纲要》在基础设施、交通装备、运输服务等方面均对绿色交通的发展做出相应任务安排。绿色交通追求以最少的能源资源投入、最小的环境代价，最大限度地满足社会经济发展产生的合理交通需求。其中，排放清洁、气候低碳是其重要的基本特征。《交通强国建设纲要》在“绿色发展节约集约、低碳环保”中对交通运输低碳发展提出明确要求，即“优化交通能源结构，推进新能源、清洁能源应用，促进公路货运节能减排，推动城市公共交通工具和城市物流配送车辆全部实现电动化、新能源化和清洁化”。《国家综合立体交通网规划纲要》提出</w:t>
      </w:r>
      <w:r w:rsidRPr="001306A3">
        <w:rPr>
          <w:szCs w:val="28"/>
        </w:rPr>
        <w:t>“</w:t>
      </w:r>
      <w:r w:rsidRPr="001306A3">
        <w:rPr>
          <w:rFonts w:hint="eastAsia"/>
          <w:szCs w:val="28"/>
        </w:rPr>
        <w:t>加强可再生能源、新能源、清洁能源装备设施更新利用”“促进交通能源动力系统清洁化、低碳化、高效化发展”等任务措施。推动交通运输领域做好碳达峰、碳中和相关工作，是加速行业绿色低碳转型、推动交通运输高质量发展的重要抓手，是加快建设交通强国的重要内容。</w:t>
      </w:r>
    </w:p>
    <w:p w14:paraId="44E5723C" w14:textId="77777777" w:rsidR="001306A3" w:rsidRDefault="001306A3" w:rsidP="001306A3">
      <w:pPr>
        <w:ind w:firstLine="560"/>
        <w:sectPr w:rsidR="001306A3" w:rsidSect="00B01D38">
          <w:pgSz w:w="11906" w:h="16838"/>
          <w:pgMar w:top="1440" w:right="1800" w:bottom="1440" w:left="1800" w:header="851" w:footer="992" w:gutter="0"/>
          <w:pgNumType w:fmt="numberInDash" w:start="1"/>
          <w:cols w:space="425"/>
          <w:docGrid w:type="lines" w:linePitch="312"/>
        </w:sectPr>
      </w:pPr>
    </w:p>
    <w:p w14:paraId="49D8FA6A" w14:textId="3006E09E" w:rsidR="00396A93" w:rsidRDefault="00396A93" w:rsidP="00C718FF">
      <w:pPr>
        <w:pStyle w:val="2"/>
        <w:jc w:val="left"/>
      </w:pPr>
      <w:bookmarkStart w:id="7" w:name="_Toc93782306"/>
      <w:r>
        <w:rPr>
          <w:rFonts w:hint="eastAsia"/>
        </w:rPr>
        <w:lastRenderedPageBreak/>
        <w:t>2</w:t>
      </w:r>
      <w:r>
        <w:t xml:space="preserve">. </w:t>
      </w:r>
      <w:r w:rsidR="003F657D">
        <w:rPr>
          <w:rFonts w:hint="eastAsia"/>
        </w:rPr>
        <w:t>中国交通</w:t>
      </w:r>
      <w:r w:rsidR="00CA4D67">
        <w:rPr>
          <w:rFonts w:hint="eastAsia"/>
        </w:rPr>
        <w:t>部门</w:t>
      </w:r>
      <w:r w:rsidR="003F657D">
        <w:rPr>
          <w:rFonts w:hint="eastAsia"/>
        </w:rPr>
        <w:t>碳排放主要</w:t>
      </w:r>
      <w:r w:rsidR="0059548B">
        <w:rPr>
          <w:rFonts w:hint="eastAsia"/>
        </w:rPr>
        <w:t>构成</w:t>
      </w:r>
      <w:r w:rsidR="003F657D">
        <w:rPr>
          <w:rFonts w:hint="eastAsia"/>
        </w:rPr>
        <w:t>和历史变化</w:t>
      </w:r>
      <w:bookmarkEnd w:id="7"/>
    </w:p>
    <w:p w14:paraId="6734E2C4" w14:textId="30DB2361" w:rsidR="0059548B" w:rsidRDefault="003F657D" w:rsidP="00B6608B">
      <w:pPr>
        <w:pStyle w:val="3"/>
      </w:pPr>
      <w:bookmarkStart w:id="8" w:name="_Toc93782307"/>
      <w:r>
        <w:t xml:space="preserve">2.1 </w:t>
      </w:r>
      <w:r w:rsidR="00EA5BFE" w:rsidRPr="00EA5BFE">
        <w:rPr>
          <w:rFonts w:hint="eastAsia"/>
        </w:rPr>
        <w:t>交通</w:t>
      </w:r>
      <w:r w:rsidR="00EA5BFE">
        <w:rPr>
          <w:rFonts w:hint="eastAsia"/>
        </w:rPr>
        <w:t>部门</w:t>
      </w:r>
      <w:r w:rsidR="00EA5BFE" w:rsidRPr="00EA5BFE">
        <w:rPr>
          <w:rFonts w:hint="eastAsia"/>
        </w:rPr>
        <w:t>碳排放测算边界与方法</w:t>
      </w:r>
      <w:bookmarkEnd w:id="8"/>
    </w:p>
    <w:p w14:paraId="31088442" w14:textId="2745495E" w:rsidR="000F6128" w:rsidRPr="0081609E" w:rsidRDefault="000F6128" w:rsidP="00DB5A8A">
      <w:pPr>
        <w:ind w:firstLine="562"/>
        <w:outlineLvl w:val="3"/>
        <w:rPr>
          <w:b/>
          <w:bCs/>
        </w:rPr>
      </w:pPr>
      <w:r w:rsidRPr="0081609E">
        <w:rPr>
          <w:rFonts w:hint="eastAsia"/>
          <w:b/>
          <w:bCs/>
        </w:rPr>
        <w:t>（</w:t>
      </w:r>
      <w:r w:rsidR="00DB5A8A">
        <w:rPr>
          <w:rFonts w:hint="eastAsia"/>
          <w:b/>
          <w:bCs/>
        </w:rPr>
        <w:t>1</w:t>
      </w:r>
      <w:r w:rsidRPr="0081609E">
        <w:rPr>
          <w:rFonts w:hint="eastAsia"/>
          <w:b/>
          <w:bCs/>
        </w:rPr>
        <w:t>）核算边界</w:t>
      </w:r>
    </w:p>
    <w:p w14:paraId="2EC6B88F" w14:textId="221CCBF8" w:rsidR="000F6128" w:rsidRDefault="000F6128" w:rsidP="000F6128">
      <w:pPr>
        <w:ind w:firstLine="560"/>
      </w:pPr>
      <w:r>
        <w:rPr>
          <w:rFonts w:hint="eastAsia"/>
        </w:rPr>
        <w:t>依照生态环境部印发的《省级二氧化碳排放达峰行动方案编制指南》，此次碳达峰碳中和工作，仅关注二氧化碳排放直接排放（即能源活动的二氧化碳排放）。因此，</w:t>
      </w:r>
      <w:r w:rsidR="008D312A">
        <w:rPr>
          <w:rFonts w:hint="eastAsia"/>
        </w:rPr>
        <w:t>本报告</w:t>
      </w:r>
      <w:r>
        <w:rPr>
          <w:rFonts w:hint="eastAsia"/>
        </w:rPr>
        <w:t>中</w:t>
      </w:r>
      <w:r w:rsidR="00997FCB">
        <w:rPr>
          <w:rFonts w:hint="eastAsia"/>
        </w:rPr>
        <w:t>交通部门</w:t>
      </w:r>
      <w:r>
        <w:rPr>
          <w:rFonts w:hint="eastAsia"/>
        </w:rPr>
        <w:t>的碳排放核算仅关注二氧化碳排放。核算范围仅涉及化石燃料燃烧直接产生二氧化碳排放，不含电力使用间接产生的二氧化碳排放，以及轮胎磨损、燃料蒸发、电池与车辆生产等车辆端排放。</w:t>
      </w:r>
    </w:p>
    <w:p w14:paraId="18A324F6" w14:textId="3FF0C45D" w:rsidR="000F6128" w:rsidRDefault="000F6128" w:rsidP="000F6128">
      <w:pPr>
        <w:ind w:firstLine="560"/>
      </w:pPr>
      <w:r>
        <w:rPr>
          <w:rFonts w:hint="eastAsia"/>
        </w:rPr>
        <w:t>依照《交通大辞典》及《国务院机构改革和职能转变方案》，</w:t>
      </w:r>
      <w:r w:rsidR="00997FCB">
        <w:rPr>
          <w:rFonts w:hint="eastAsia"/>
        </w:rPr>
        <w:t>交通部门</w:t>
      </w:r>
      <w:r>
        <w:rPr>
          <w:rFonts w:hint="eastAsia"/>
        </w:rPr>
        <w:t>按交通运输方式划分，范围包括铁路、公路、水路、民航。其中，</w:t>
      </w:r>
      <w:r w:rsidR="008B0CDE">
        <w:rPr>
          <w:rFonts w:hint="eastAsia"/>
        </w:rPr>
        <w:t>铁路运输包括：铁路客运和铁路货物的机车在行驶过程中</w:t>
      </w:r>
      <w:r w:rsidR="00E96CC9">
        <w:rPr>
          <w:rFonts w:hint="eastAsia"/>
        </w:rPr>
        <w:t>，使用燃料燃烧产生的二氧化碳排放</w:t>
      </w:r>
      <w:r w:rsidR="008B0CDE">
        <w:rPr>
          <w:rFonts w:hint="eastAsia"/>
        </w:rPr>
        <w:t>；</w:t>
      </w:r>
      <w:r>
        <w:rPr>
          <w:rFonts w:hint="eastAsia"/>
        </w:rPr>
        <w:t>公路运输包括：营运货车、非营运货车</w:t>
      </w:r>
      <w:r w:rsidR="00E96CC9">
        <w:rPr>
          <w:rFonts w:hint="eastAsia"/>
        </w:rPr>
        <w:t>、</w:t>
      </w:r>
      <w:r>
        <w:rPr>
          <w:rFonts w:hint="eastAsia"/>
        </w:rPr>
        <w:t>营运客车</w:t>
      </w:r>
      <w:r w:rsidR="00E96CC9">
        <w:rPr>
          <w:rFonts w:hint="eastAsia"/>
        </w:rPr>
        <w:t>和城市客运中公共汽电车、巡游出租车、网约车、私人乘用车、摩托车在行驶过程中，使用燃料燃烧产生的直接二氧化碳排放</w:t>
      </w:r>
      <w:r>
        <w:rPr>
          <w:rFonts w:hint="eastAsia"/>
        </w:rPr>
        <w:t>；水路运输二氧化碳排放范围包括：从事</w:t>
      </w:r>
      <w:r w:rsidR="00ED2758">
        <w:rPr>
          <w:rFonts w:hint="eastAsia"/>
        </w:rPr>
        <w:t>中国</w:t>
      </w:r>
      <w:r>
        <w:rPr>
          <w:rFonts w:hint="eastAsia"/>
        </w:rPr>
        <w:t>内河、沿海运输的营运船舶（不包括远洋运输营运船舶）行驶过程和靠泊期间，使用燃料燃烧产生的二氧化碳排放。港口范围包括：港口作业机械、港作车船作业过程中使用化石燃料产生的二氧化碳排放。民航只包括国内航线，不包括国际航空。</w:t>
      </w:r>
    </w:p>
    <w:p w14:paraId="61E91C2C" w14:textId="335169F2" w:rsidR="000F6128" w:rsidRDefault="000F6128" w:rsidP="000F6128">
      <w:pPr>
        <w:ind w:firstLine="560"/>
      </w:pPr>
      <w:r>
        <w:rPr>
          <w:rFonts w:hint="eastAsia"/>
        </w:rPr>
        <w:t>燃料类型：</w:t>
      </w:r>
      <w:bookmarkStart w:id="9" w:name="_Hlk93504772"/>
      <w:r>
        <w:rPr>
          <w:rFonts w:hint="eastAsia"/>
        </w:rPr>
        <w:t>关注汽油、柴油、天然气等化石燃料动力源产生的二氧化碳排放</w:t>
      </w:r>
      <w:r w:rsidR="00C3292A">
        <w:rPr>
          <w:rFonts w:hint="eastAsia"/>
        </w:rPr>
        <w:t>（为简化表述，本文后续用“碳排放”统一表述交通部门</w:t>
      </w:r>
      <w:r w:rsidR="00C3292A">
        <w:rPr>
          <w:rFonts w:hint="eastAsia"/>
        </w:rPr>
        <w:lastRenderedPageBreak/>
        <w:t>以化石燃料动力源产生的二氧化碳排放）</w:t>
      </w:r>
      <w:r>
        <w:rPr>
          <w:rFonts w:hint="eastAsia"/>
        </w:rPr>
        <w:t>。</w:t>
      </w:r>
    </w:p>
    <w:bookmarkEnd w:id="9"/>
    <w:p w14:paraId="26757182" w14:textId="563AB3BC" w:rsidR="000F6128" w:rsidRDefault="00ED1809" w:rsidP="000F6128">
      <w:pPr>
        <w:ind w:firstLineChars="0" w:firstLine="0"/>
      </w:pPr>
      <w:r>
        <w:rPr>
          <w:noProof/>
        </w:rPr>
        <w:drawing>
          <wp:inline distT="0" distB="0" distL="0" distR="0" wp14:anchorId="250E21BE" wp14:editId="23582B24">
            <wp:extent cx="5274310" cy="28174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817495"/>
                    </a:xfrm>
                    <a:prstGeom prst="rect">
                      <a:avLst/>
                    </a:prstGeom>
                  </pic:spPr>
                </pic:pic>
              </a:graphicData>
            </a:graphic>
          </wp:inline>
        </w:drawing>
      </w:r>
    </w:p>
    <w:p w14:paraId="36BA5F84" w14:textId="5671DB22" w:rsidR="000F6128" w:rsidRPr="00DB5A8A" w:rsidRDefault="000F6128" w:rsidP="000F6128">
      <w:pPr>
        <w:ind w:firstLineChars="0" w:firstLine="0"/>
        <w:jc w:val="center"/>
        <w:rPr>
          <w:rFonts w:eastAsia="黑体"/>
          <w:sz w:val="24"/>
          <w:szCs w:val="21"/>
        </w:rPr>
      </w:pPr>
      <w:r w:rsidRPr="00DB5A8A">
        <w:rPr>
          <w:rFonts w:eastAsia="黑体" w:hint="eastAsia"/>
          <w:sz w:val="24"/>
          <w:szCs w:val="21"/>
        </w:rPr>
        <w:t>图</w:t>
      </w:r>
      <w:r w:rsidR="0081609E" w:rsidRPr="00DB5A8A">
        <w:rPr>
          <w:rFonts w:eastAsia="黑体" w:hint="eastAsia"/>
          <w:sz w:val="24"/>
          <w:szCs w:val="21"/>
        </w:rPr>
        <w:t>2-</w:t>
      </w:r>
      <w:r w:rsidR="0081609E" w:rsidRPr="00DB5A8A">
        <w:rPr>
          <w:rFonts w:eastAsia="黑体"/>
          <w:sz w:val="24"/>
          <w:szCs w:val="21"/>
        </w:rPr>
        <w:t>1</w:t>
      </w:r>
      <w:r w:rsidRPr="00DB5A8A">
        <w:rPr>
          <w:rFonts w:eastAsia="黑体" w:hint="eastAsia"/>
          <w:sz w:val="24"/>
          <w:szCs w:val="21"/>
        </w:rPr>
        <w:t xml:space="preserve"> </w:t>
      </w:r>
      <w:bookmarkStart w:id="10" w:name="_Hlk93506317"/>
      <w:r w:rsidRPr="00DB5A8A">
        <w:rPr>
          <w:rFonts w:eastAsia="黑体" w:hint="eastAsia"/>
          <w:sz w:val="24"/>
          <w:szCs w:val="21"/>
        </w:rPr>
        <w:t>交通</w:t>
      </w:r>
      <w:r w:rsidR="00575327" w:rsidRPr="00DB5A8A">
        <w:rPr>
          <w:rFonts w:eastAsia="黑体" w:hint="eastAsia"/>
          <w:sz w:val="24"/>
          <w:szCs w:val="21"/>
        </w:rPr>
        <w:t>部门</w:t>
      </w:r>
      <w:r w:rsidRPr="00DB5A8A">
        <w:rPr>
          <w:rFonts w:eastAsia="黑体" w:hint="eastAsia"/>
          <w:sz w:val="24"/>
          <w:szCs w:val="21"/>
        </w:rPr>
        <w:t>碳排放核算范围界定</w:t>
      </w:r>
      <w:bookmarkEnd w:id="10"/>
    </w:p>
    <w:p w14:paraId="5C3E9ED5" w14:textId="65650F3A" w:rsidR="000F6128" w:rsidRPr="0081609E" w:rsidRDefault="000F6128" w:rsidP="00DB5A8A">
      <w:pPr>
        <w:ind w:firstLine="562"/>
        <w:outlineLvl w:val="3"/>
        <w:rPr>
          <w:b/>
          <w:bCs/>
        </w:rPr>
      </w:pPr>
      <w:r w:rsidRPr="0081609E">
        <w:rPr>
          <w:rFonts w:hint="eastAsia"/>
          <w:b/>
          <w:bCs/>
        </w:rPr>
        <w:t>（</w:t>
      </w:r>
      <w:r w:rsidR="00DB5A8A">
        <w:rPr>
          <w:rFonts w:hint="eastAsia"/>
          <w:b/>
          <w:bCs/>
        </w:rPr>
        <w:t>2</w:t>
      </w:r>
      <w:r w:rsidRPr="0081609E">
        <w:rPr>
          <w:rFonts w:hint="eastAsia"/>
          <w:b/>
          <w:bCs/>
        </w:rPr>
        <w:t>）</w:t>
      </w:r>
      <w:bookmarkStart w:id="11" w:name="_Hlk93505396"/>
      <w:r w:rsidRPr="0081609E">
        <w:rPr>
          <w:rFonts w:hint="eastAsia"/>
          <w:b/>
          <w:bCs/>
        </w:rPr>
        <w:t>数据来源</w:t>
      </w:r>
      <w:bookmarkEnd w:id="11"/>
    </w:p>
    <w:p w14:paraId="69604298" w14:textId="501DCB41" w:rsidR="000F6128" w:rsidRDefault="000F6128" w:rsidP="000F6128">
      <w:pPr>
        <w:ind w:firstLine="560"/>
      </w:pPr>
      <w:r>
        <w:rPr>
          <w:rFonts w:hint="eastAsia"/>
        </w:rPr>
        <w:t>交通</w:t>
      </w:r>
      <w:r w:rsidR="00575327">
        <w:rPr>
          <w:rFonts w:hint="eastAsia"/>
        </w:rPr>
        <w:t>部门</w:t>
      </w:r>
      <w:r>
        <w:rPr>
          <w:rFonts w:hint="eastAsia"/>
        </w:rPr>
        <w:t>碳排放核算所需的数据繁多，现阶段需从不同数据源获取相关数据，总体分为</w:t>
      </w:r>
      <w:r w:rsidR="00754E8E">
        <w:rPr>
          <w:rFonts w:hint="eastAsia"/>
        </w:rPr>
        <w:t>三</w:t>
      </w:r>
      <w:r>
        <w:rPr>
          <w:rFonts w:hint="eastAsia"/>
        </w:rPr>
        <w:t>类：</w:t>
      </w:r>
    </w:p>
    <w:p w14:paraId="2CE7ACAB" w14:textId="77777777" w:rsidR="000F6128" w:rsidRDefault="000F6128" w:rsidP="000F6128">
      <w:pPr>
        <w:ind w:firstLine="560"/>
      </w:pPr>
      <w:r>
        <w:rPr>
          <w:rFonts w:hint="eastAsia"/>
        </w:rPr>
        <w:t xml:space="preserve">1. </w:t>
      </w:r>
      <w:bookmarkStart w:id="12" w:name="_Hlk93505406"/>
      <w:r>
        <w:rPr>
          <w:rFonts w:hint="eastAsia"/>
        </w:rPr>
        <w:t>国家统计数据</w:t>
      </w:r>
    </w:p>
    <w:p w14:paraId="4ED7E1BB" w14:textId="77777777" w:rsidR="000F6128" w:rsidRDefault="000F6128" w:rsidP="000F6128">
      <w:pPr>
        <w:ind w:firstLine="560"/>
      </w:pPr>
      <w:r>
        <w:rPr>
          <w:rFonts w:hint="eastAsia"/>
        </w:rPr>
        <w:t>包括：历年《中国统计年鉴》、《中国能源统计年鉴》、《城市统计年鉴》、《交通运输行业发展统计公报》、《铁道统计公报》、《民航行业发展统计公报》等</w:t>
      </w:r>
      <w:bookmarkEnd w:id="12"/>
      <w:r>
        <w:rPr>
          <w:rFonts w:hint="eastAsia"/>
        </w:rPr>
        <w:t>。</w:t>
      </w:r>
    </w:p>
    <w:p w14:paraId="4AFB92F5" w14:textId="77777777" w:rsidR="000F6128" w:rsidRDefault="000F6128" w:rsidP="000F6128">
      <w:pPr>
        <w:ind w:firstLine="560"/>
      </w:pPr>
      <w:r>
        <w:rPr>
          <w:rFonts w:hint="eastAsia"/>
        </w:rPr>
        <w:t xml:space="preserve">2. </w:t>
      </w:r>
      <w:bookmarkStart w:id="13" w:name="_Hlk93505425"/>
      <w:r>
        <w:rPr>
          <w:rFonts w:hint="eastAsia"/>
        </w:rPr>
        <w:t>国家专项调查数据</w:t>
      </w:r>
      <w:bookmarkEnd w:id="13"/>
    </w:p>
    <w:p w14:paraId="30419A8B" w14:textId="77777777" w:rsidR="000F6128" w:rsidRDefault="000F6128" w:rsidP="000F6128">
      <w:pPr>
        <w:ind w:firstLine="560"/>
      </w:pPr>
      <w:r>
        <w:rPr>
          <w:rFonts w:hint="eastAsia"/>
        </w:rPr>
        <w:t>为更好服务交通运输行业高质量发展，国家统计局会定期连同交通运输部</w:t>
      </w:r>
      <w:bookmarkStart w:id="14" w:name="_Hlk93505552"/>
      <w:r>
        <w:rPr>
          <w:rFonts w:hint="eastAsia"/>
        </w:rPr>
        <w:t>，对从事道路货物运输的经营业户的运力情况、运输情况、财务情况和能耗情况进行抽样调查</w:t>
      </w:r>
      <w:bookmarkEnd w:id="14"/>
      <w:r>
        <w:rPr>
          <w:rFonts w:hint="eastAsia"/>
        </w:rPr>
        <w:t>。形成仅限部门内部使用专项调查数据，能够用于交通运输行业主管部门更好了解当地相关交通运输实际情况。</w:t>
      </w:r>
    </w:p>
    <w:p w14:paraId="5FD2A2A8" w14:textId="77777777" w:rsidR="000F6128" w:rsidRDefault="000F6128" w:rsidP="000F6128">
      <w:pPr>
        <w:ind w:firstLine="560"/>
      </w:pPr>
      <w:r>
        <w:rPr>
          <w:rFonts w:hint="eastAsia"/>
        </w:rPr>
        <w:lastRenderedPageBreak/>
        <w:t xml:space="preserve">3. </w:t>
      </w:r>
      <w:bookmarkStart w:id="15" w:name="_Hlk93505563"/>
      <w:r>
        <w:rPr>
          <w:rFonts w:hint="eastAsia"/>
        </w:rPr>
        <w:t>交通运输行业一套表</w:t>
      </w:r>
      <w:bookmarkEnd w:id="15"/>
    </w:p>
    <w:p w14:paraId="2EB6F0E8" w14:textId="77777777" w:rsidR="000F6128" w:rsidRDefault="000F6128" w:rsidP="000F6128">
      <w:pPr>
        <w:ind w:firstLine="560"/>
      </w:pPr>
      <w:r>
        <w:rPr>
          <w:rFonts w:hint="eastAsia"/>
        </w:rPr>
        <w:t>自</w:t>
      </w:r>
      <w:r>
        <w:rPr>
          <w:rFonts w:hint="eastAsia"/>
        </w:rPr>
        <w:t>2018</w:t>
      </w:r>
      <w:r>
        <w:rPr>
          <w:rFonts w:hint="eastAsia"/>
        </w:rPr>
        <w:t>年以来，交通运输部连同国家统计局共同制定《公路水路交通运输企业一套表统计调查制度》，从试点逐步推广，现阶段已覆盖除西藏外所有省份。该制度</w:t>
      </w:r>
      <w:bookmarkStart w:id="16" w:name="_Hlk93505571"/>
      <w:r>
        <w:rPr>
          <w:rFonts w:hint="eastAsia"/>
        </w:rPr>
        <w:t>包括为全国各省份规模以上公路水路交通运输企业的能耗数据</w:t>
      </w:r>
      <w:bookmarkEnd w:id="16"/>
      <w:r>
        <w:rPr>
          <w:rFonts w:hint="eastAsia"/>
        </w:rPr>
        <w:t>，较为真实的反映行业能耗现状，能够用于核算行业碳排放情况。</w:t>
      </w:r>
    </w:p>
    <w:p w14:paraId="3B44C102" w14:textId="78C36DBD" w:rsidR="000F6128" w:rsidRPr="008D312A" w:rsidRDefault="000F6128" w:rsidP="00DB5A8A">
      <w:pPr>
        <w:ind w:firstLine="562"/>
        <w:outlineLvl w:val="3"/>
        <w:rPr>
          <w:b/>
          <w:bCs/>
        </w:rPr>
      </w:pPr>
      <w:r w:rsidRPr="008D312A">
        <w:rPr>
          <w:rFonts w:hint="eastAsia"/>
          <w:b/>
          <w:bCs/>
        </w:rPr>
        <w:t>（</w:t>
      </w:r>
      <w:r w:rsidR="00DB5A8A">
        <w:rPr>
          <w:rFonts w:hint="eastAsia"/>
          <w:b/>
          <w:bCs/>
        </w:rPr>
        <w:t>3</w:t>
      </w:r>
      <w:r w:rsidRPr="008D312A">
        <w:rPr>
          <w:rFonts w:hint="eastAsia"/>
          <w:b/>
          <w:bCs/>
        </w:rPr>
        <w:t>）核算方法</w:t>
      </w:r>
    </w:p>
    <w:p w14:paraId="57AD4391" w14:textId="7DE340CA" w:rsidR="000F6128" w:rsidRDefault="000F6128" w:rsidP="000F6128">
      <w:pPr>
        <w:ind w:firstLine="560"/>
      </w:pPr>
      <w:r>
        <w:rPr>
          <w:rFonts w:hint="eastAsia"/>
        </w:rPr>
        <w:t>交通运输行业碳排放主要有两种核算方法，一是自上而下法，由国家层面根据供给量基于能源平衡表测算；二是自下而上法，基于行业层面或者企业层面，根据车辆、船舶、火车、飞机的活动量自下而上测算</w:t>
      </w:r>
      <w:r w:rsidR="00754E8E">
        <w:rPr>
          <w:rFonts w:hint="eastAsia"/>
        </w:rPr>
        <w:t>，现阶段</w:t>
      </w:r>
      <w:r w:rsidR="008D312A">
        <w:rPr>
          <w:rFonts w:hint="eastAsia"/>
        </w:rPr>
        <w:t>已</w:t>
      </w:r>
      <w:r w:rsidR="00754E8E">
        <w:rPr>
          <w:rFonts w:hint="eastAsia"/>
        </w:rPr>
        <w:t>发布《中国陆上交通运输企业温室气体排放核算方法与报告指南（试行）》和《中国民用航空企业温室气体排放核算方法与报告指南（试行）》等核算指南。</w:t>
      </w:r>
    </w:p>
    <w:p w14:paraId="2D05E359" w14:textId="2AE90752" w:rsidR="000F6128" w:rsidRDefault="00754E8E" w:rsidP="000F6128">
      <w:pPr>
        <w:ind w:firstLine="560"/>
      </w:pPr>
      <w:r>
        <w:rPr>
          <w:rFonts w:hint="eastAsia"/>
        </w:rPr>
        <w:t>具体来说</w:t>
      </w:r>
      <w:r w:rsidR="000F6128">
        <w:rPr>
          <w:rFonts w:hint="eastAsia"/>
        </w:rPr>
        <w:t>自上而下法主要包括燃料值法。碳排放量</w:t>
      </w:r>
      <w:r w:rsidR="000F6128">
        <w:rPr>
          <w:rFonts w:hint="eastAsia"/>
        </w:rPr>
        <w:t>=</w:t>
      </w:r>
      <w:r w:rsidR="000F6128">
        <w:rPr>
          <w:rFonts w:hint="eastAsia"/>
        </w:rPr>
        <w:t>分燃料类型的能源消耗（实物）量×二氧化碳排放因子。其中，能源消耗（实物）量来自于国家</w:t>
      </w:r>
      <w:r w:rsidR="000F6128">
        <w:rPr>
          <w:rFonts w:hint="eastAsia"/>
        </w:rPr>
        <w:t>/</w:t>
      </w:r>
      <w:r w:rsidR="000F6128">
        <w:rPr>
          <w:rFonts w:hint="eastAsia"/>
        </w:rPr>
        <w:t>地方统计局的能源平衡表，二氧化碳排放因子一般情况下会采用联合国政府间气候变化专门委员会（</w:t>
      </w:r>
      <w:r w:rsidR="000F6128">
        <w:rPr>
          <w:rFonts w:hint="eastAsia"/>
        </w:rPr>
        <w:t>IPCC</w:t>
      </w:r>
      <w:r w:rsidR="000F6128">
        <w:rPr>
          <w:rFonts w:hint="eastAsia"/>
        </w:rPr>
        <w:t>）的公开数据，或采用地区实测的数据，核算结果最简易和权威。但统计局能源平衡表中，没有交通</w:t>
      </w:r>
      <w:r w:rsidR="00575327">
        <w:rPr>
          <w:rFonts w:hint="eastAsia"/>
        </w:rPr>
        <w:t>部门</w:t>
      </w:r>
      <w:r w:rsidR="000F6128">
        <w:rPr>
          <w:rFonts w:hint="eastAsia"/>
        </w:rPr>
        <w:t>的分类，仅有交通运输邮政仓储业（不包含私人乘用车、摩托车等数据），没有交通运输不同模式的细分数据。</w:t>
      </w:r>
    </w:p>
    <w:p w14:paraId="3F38335C" w14:textId="55EFA6B8" w:rsidR="000F6128" w:rsidRDefault="000F6128" w:rsidP="000F6128">
      <w:pPr>
        <w:ind w:firstLine="560"/>
      </w:pPr>
      <w:r>
        <w:rPr>
          <w:rFonts w:hint="eastAsia"/>
        </w:rPr>
        <w:t>自下而上的方法一般有二种：一是周转量法，即碳排放量</w:t>
      </w:r>
      <w:r>
        <w:rPr>
          <w:rFonts w:hint="eastAsia"/>
        </w:rPr>
        <w:t>=</w:t>
      </w:r>
      <w:r>
        <w:rPr>
          <w:rFonts w:hint="eastAsia"/>
        </w:rPr>
        <w:t>不同运输模式的统计周转量×周转量能耗强度数据及碳排放因子得到。公</w:t>
      </w:r>
      <w:r>
        <w:rPr>
          <w:rFonts w:hint="eastAsia"/>
        </w:rPr>
        <w:lastRenderedPageBreak/>
        <w:t>路、水路、铁路、民航营运周转量数据，铁路、民航周转量能耗强度数据依赖交通运输部、铁路局、民航局公布的统计数据，数据基础较好；但城市客运周转量、周转量能耗强度统计缺失，同时公路周转量能耗强度数据可靠度有限（依靠小样本调查数据）。二是保有量法，即碳排放量</w:t>
      </w:r>
      <w:r>
        <w:rPr>
          <w:rFonts w:hint="eastAsia"/>
        </w:rPr>
        <w:t>=</w:t>
      </w:r>
      <w:r>
        <w:rPr>
          <w:rFonts w:hint="eastAsia"/>
        </w:rPr>
        <w:t>交通运输工具的单位行驶里程能源消费强度数据×年均行驶里程统计数据×交通运输工具保有量×二氧化碳排放因子。交通运输工具保有量能够从统计数据中获取，单位行驶里程能源消费强度数据、年均行驶里程统计数据则需要研究数据。</w:t>
      </w:r>
    </w:p>
    <w:p w14:paraId="10FE44AA" w14:textId="12A43B8F" w:rsidR="000F6128" w:rsidRDefault="00575327" w:rsidP="000F6128">
      <w:pPr>
        <w:ind w:firstLineChars="0" w:firstLine="0"/>
      </w:pPr>
      <w:r>
        <w:rPr>
          <w:noProof/>
        </w:rPr>
        <w:drawing>
          <wp:inline distT="0" distB="0" distL="0" distR="0" wp14:anchorId="418DA21C" wp14:editId="770D278B">
            <wp:extent cx="5274310" cy="295592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955925"/>
                    </a:xfrm>
                    <a:prstGeom prst="rect">
                      <a:avLst/>
                    </a:prstGeom>
                  </pic:spPr>
                </pic:pic>
              </a:graphicData>
            </a:graphic>
          </wp:inline>
        </w:drawing>
      </w:r>
    </w:p>
    <w:p w14:paraId="136FD887" w14:textId="084CE7CC" w:rsidR="000F6128" w:rsidRPr="00DB5A8A" w:rsidRDefault="000F6128" w:rsidP="000F6128">
      <w:pPr>
        <w:ind w:firstLineChars="0" w:firstLine="0"/>
        <w:jc w:val="center"/>
        <w:rPr>
          <w:rFonts w:eastAsia="黑体"/>
          <w:sz w:val="24"/>
          <w:szCs w:val="21"/>
        </w:rPr>
      </w:pPr>
      <w:r w:rsidRPr="00DB5A8A">
        <w:rPr>
          <w:rFonts w:eastAsia="黑体"/>
          <w:sz w:val="24"/>
          <w:szCs w:val="21"/>
        </w:rPr>
        <w:t>图</w:t>
      </w:r>
      <w:r w:rsidR="00DB5A8A" w:rsidRPr="00DB5A8A">
        <w:rPr>
          <w:rFonts w:eastAsia="黑体"/>
          <w:sz w:val="24"/>
          <w:szCs w:val="21"/>
        </w:rPr>
        <w:t>2-2</w:t>
      </w:r>
      <w:r w:rsidRPr="00DB5A8A">
        <w:rPr>
          <w:rFonts w:eastAsia="黑体"/>
          <w:sz w:val="24"/>
          <w:szCs w:val="21"/>
        </w:rPr>
        <w:t xml:space="preserve"> </w:t>
      </w:r>
      <w:r w:rsidRPr="00DB5A8A">
        <w:rPr>
          <w:rFonts w:eastAsia="黑体"/>
          <w:sz w:val="24"/>
          <w:szCs w:val="21"/>
        </w:rPr>
        <w:t>交通</w:t>
      </w:r>
      <w:r w:rsidR="00575327" w:rsidRPr="00DB5A8A">
        <w:rPr>
          <w:rFonts w:eastAsia="黑体"/>
          <w:sz w:val="24"/>
          <w:szCs w:val="21"/>
        </w:rPr>
        <w:t>部门</w:t>
      </w:r>
      <w:r w:rsidRPr="00DB5A8A">
        <w:rPr>
          <w:rFonts w:eastAsia="黑体"/>
          <w:sz w:val="24"/>
          <w:szCs w:val="21"/>
        </w:rPr>
        <w:t>碳排放核算方法</w:t>
      </w:r>
    </w:p>
    <w:p w14:paraId="56C22D57" w14:textId="77777777" w:rsidR="000F6128" w:rsidRPr="000F6128" w:rsidRDefault="000F6128" w:rsidP="000F6128">
      <w:pPr>
        <w:ind w:firstLine="560"/>
      </w:pPr>
    </w:p>
    <w:p w14:paraId="72A8048C" w14:textId="4AFB559F" w:rsidR="0059548B" w:rsidRDefault="00B6608B" w:rsidP="00B6608B">
      <w:pPr>
        <w:pStyle w:val="3"/>
      </w:pPr>
      <w:bookmarkStart w:id="17" w:name="_Toc93782308"/>
      <w:r>
        <w:rPr>
          <w:rFonts w:hint="eastAsia"/>
        </w:rPr>
        <w:t>2</w:t>
      </w:r>
      <w:r>
        <w:t xml:space="preserve">.2 </w:t>
      </w:r>
      <w:r>
        <w:rPr>
          <w:rFonts w:hint="eastAsia"/>
        </w:rPr>
        <w:t>交通</w:t>
      </w:r>
      <w:r w:rsidR="00CA4D67">
        <w:rPr>
          <w:rFonts w:hint="eastAsia"/>
        </w:rPr>
        <w:t>部门</w:t>
      </w:r>
      <w:r>
        <w:rPr>
          <w:rFonts w:hint="eastAsia"/>
        </w:rPr>
        <w:t>碳排放现状</w:t>
      </w:r>
      <w:bookmarkEnd w:id="17"/>
    </w:p>
    <w:p w14:paraId="7EAA8994" w14:textId="1120C5BA" w:rsidR="000759D0" w:rsidRPr="000759D0" w:rsidRDefault="000759D0" w:rsidP="00852FE0">
      <w:pPr>
        <w:pStyle w:val="4"/>
      </w:pPr>
      <w:r>
        <w:t xml:space="preserve">2.2.1 </w:t>
      </w:r>
      <w:r w:rsidR="00852FE0">
        <w:rPr>
          <w:rFonts w:hint="eastAsia"/>
        </w:rPr>
        <w:t>交通部门碳排放整体情况</w:t>
      </w:r>
    </w:p>
    <w:p w14:paraId="124A7B9F" w14:textId="4BC60C1A" w:rsidR="00B6608B" w:rsidRPr="00852FE0" w:rsidRDefault="00852FE0" w:rsidP="00852FE0">
      <w:pPr>
        <w:pStyle w:val="4"/>
        <w:ind w:firstLineChars="200" w:firstLine="562"/>
        <w:rPr>
          <w:rFonts w:eastAsia="仿宋" w:cs="Times New Roman"/>
          <w:b/>
          <w:szCs w:val="22"/>
        </w:rPr>
      </w:pPr>
      <w:r w:rsidRPr="00852FE0">
        <w:rPr>
          <w:rFonts w:eastAsia="仿宋" w:cs="Times New Roman" w:hint="eastAsia"/>
          <w:b/>
          <w:szCs w:val="22"/>
        </w:rPr>
        <w:t>（</w:t>
      </w:r>
      <w:r w:rsidRPr="00852FE0">
        <w:rPr>
          <w:rFonts w:eastAsia="仿宋" w:cs="Times New Roman" w:hint="eastAsia"/>
          <w:b/>
          <w:szCs w:val="22"/>
        </w:rPr>
        <w:t>1</w:t>
      </w:r>
      <w:r w:rsidRPr="00852FE0">
        <w:rPr>
          <w:rFonts w:eastAsia="仿宋" w:cs="Times New Roman" w:hint="eastAsia"/>
          <w:b/>
          <w:szCs w:val="22"/>
        </w:rPr>
        <w:t>）</w:t>
      </w:r>
      <w:r w:rsidR="00ED1809" w:rsidRPr="00852FE0">
        <w:rPr>
          <w:rFonts w:eastAsia="仿宋" w:cs="Times New Roman" w:hint="eastAsia"/>
          <w:b/>
          <w:szCs w:val="22"/>
        </w:rPr>
        <w:t>交通</w:t>
      </w:r>
      <w:r w:rsidR="00DB5A8A" w:rsidRPr="00852FE0">
        <w:rPr>
          <w:rFonts w:eastAsia="仿宋" w:cs="Times New Roman" w:hint="eastAsia"/>
          <w:b/>
          <w:szCs w:val="22"/>
        </w:rPr>
        <w:t>部门碳</w:t>
      </w:r>
      <w:r w:rsidR="00ED1809" w:rsidRPr="00852FE0">
        <w:rPr>
          <w:rFonts w:eastAsia="仿宋" w:cs="Times New Roman" w:hint="eastAsia"/>
          <w:b/>
          <w:szCs w:val="22"/>
        </w:rPr>
        <w:t>排放持续增加，货运</w:t>
      </w:r>
      <w:r w:rsidR="00DB5A8A" w:rsidRPr="00852FE0">
        <w:rPr>
          <w:rFonts w:eastAsia="仿宋" w:cs="Times New Roman" w:hint="eastAsia"/>
          <w:b/>
          <w:szCs w:val="22"/>
        </w:rPr>
        <w:t>碳</w:t>
      </w:r>
      <w:r w:rsidR="00ED1809" w:rsidRPr="00852FE0">
        <w:rPr>
          <w:rFonts w:eastAsia="仿宋" w:cs="Times New Roman" w:hint="eastAsia"/>
          <w:b/>
          <w:szCs w:val="22"/>
        </w:rPr>
        <w:t>排放占比仍然较大。</w:t>
      </w:r>
    </w:p>
    <w:p w14:paraId="7EBA47F6" w14:textId="230F2AA9" w:rsidR="00ED1809" w:rsidRDefault="00ED1809" w:rsidP="00ED1809">
      <w:pPr>
        <w:ind w:firstLine="560"/>
      </w:pPr>
      <w:r w:rsidRPr="00ED1809">
        <w:rPr>
          <w:rFonts w:hint="eastAsia"/>
        </w:rPr>
        <w:t>交通</w:t>
      </w:r>
      <w:r w:rsidR="006C5388">
        <w:rPr>
          <w:rFonts w:hint="eastAsia"/>
        </w:rPr>
        <w:t>部门碳</w:t>
      </w:r>
      <w:r w:rsidRPr="00ED1809">
        <w:rPr>
          <w:rFonts w:hint="eastAsia"/>
        </w:rPr>
        <w:t>排放总量增长迅速，占比呈上升趋势。随着</w:t>
      </w:r>
      <w:r w:rsidR="005950C4">
        <w:rPr>
          <w:rFonts w:hint="eastAsia"/>
        </w:rPr>
        <w:t>中</w:t>
      </w:r>
      <w:r w:rsidRPr="00ED1809">
        <w:rPr>
          <w:rFonts w:hint="eastAsia"/>
        </w:rPr>
        <w:t>国经济社会快速发展，全社会货运量和货物周转量大幅增长，且随着</w:t>
      </w:r>
      <w:r w:rsidR="005950C4">
        <w:rPr>
          <w:rFonts w:hint="eastAsia"/>
        </w:rPr>
        <w:t>中</w:t>
      </w:r>
      <w:r w:rsidR="005950C4" w:rsidRPr="00ED1809">
        <w:rPr>
          <w:rFonts w:hint="eastAsia"/>
        </w:rPr>
        <w:t>国</w:t>
      </w:r>
      <w:r w:rsidRPr="00ED1809">
        <w:rPr>
          <w:rFonts w:hint="eastAsia"/>
        </w:rPr>
        <w:t>私</w:t>
      </w:r>
      <w:r w:rsidRPr="00ED1809">
        <w:rPr>
          <w:rFonts w:hint="eastAsia"/>
        </w:rPr>
        <w:lastRenderedPageBreak/>
        <w:t>人乘用车保有量快速增长，</w:t>
      </w:r>
      <w:r w:rsidR="005950C4">
        <w:rPr>
          <w:rFonts w:hint="eastAsia"/>
        </w:rPr>
        <w:t>交通部门</w:t>
      </w:r>
      <w:r w:rsidRPr="00ED1809">
        <w:rPr>
          <w:rFonts w:hint="eastAsia"/>
        </w:rPr>
        <w:t>能源消耗总量也相应持续快速增长，</w:t>
      </w:r>
      <w:r w:rsidR="00274ACF">
        <w:rPr>
          <w:rFonts w:hint="eastAsia"/>
        </w:rPr>
        <w:t>交通部门碳排放</w:t>
      </w:r>
      <w:r w:rsidRPr="00ED1809">
        <w:rPr>
          <w:rFonts w:hint="eastAsia"/>
        </w:rPr>
        <w:t>总量从</w:t>
      </w:r>
      <w:r w:rsidRPr="00ED1809">
        <w:rPr>
          <w:rFonts w:hint="eastAsia"/>
        </w:rPr>
        <w:t>2005</w:t>
      </w:r>
      <w:r w:rsidRPr="00ED1809">
        <w:rPr>
          <w:rFonts w:hint="eastAsia"/>
        </w:rPr>
        <w:t>年的</w:t>
      </w:r>
      <w:r w:rsidRPr="00ED1809">
        <w:rPr>
          <w:rFonts w:hint="eastAsia"/>
        </w:rPr>
        <w:t>3.4</w:t>
      </w:r>
      <w:r w:rsidRPr="00ED1809">
        <w:rPr>
          <w:rFonts w:hint="eastAsia"/>
        </w:rPr>
        <w:t>亿</w:t>
      </w:r>
      <w:r w:rsidRPr="00ED1809">
        <w:rPr>
          <w:rFonts w:hint="eastAsia"/>
        </w:rPr>
        <w:t>t</w:t>
      </w:r>
      <w:r w:rsidRPr="00ED1809">
        <w:rPr>
          <w:rFonts w:hint="eastAsia"/>
        </w:rPr>
        <w:t>增长到</w:t>
      </w:r>
      <w:r w:rsidRPr="00ED1809">
        <w:rPr>
          <w:rFonts w:hint="eastAsia"/>
        </w:rPr>
        <w:t>2020</w:t>
      </w:r>
      <w:r w:rsidRPr="00ED1809">
        <w:rPr>
          <w:rFonts w:hint="eastAsia"/>
        </w:rPr>
        <w:t>年的</w:t>
      </w:r>
      <w:r w:rsidRPr="00ED1809">
        <w:rPr>
          <w:rFonts w:hint="eastAsia"/>
        </w:rPr>
        <w:t>10.2</w:t>
      </w:r>
      <w:r w:rsidRPr="00ED1809">
        <w:rPr>
          <w:rFonts w:hint="eastAsia"/>
        </w:rPr>
        <w:t>亿</w:t>
      </w:r>
      <w:r w:rsidRPr="00ED1809">
        <w:rPr>
          <w:rFonts w:hint="eastAsia"/>
        </w:rPr>
        <w:t>t</w:t>
      </w:r>
      <w:r w:rsidRPr="00ED1809">
        <w:rPr>
          <w:rFonts w:hint="eastAsia"/>
        </w:rPr>
        <w:t>，增长了</w:t>
      </w:r>
      <w:r w:rsidRPr="00ED1809">
        <w:rPr>
          <w:rFonts w:hint="eastAsia"/>
        </w:rPr>
        <w:t>149%</w:t>
      </w:r>
      <w:r w:rsidRPr="00ED1809">
        <w:rPr>
          <w:rFonts w:hint="eastAsia"/>
        </w:rPr>
        <w:t>，年均增长率达</w:t>
      </w:r>
      <w:r w:rsidRPr="00ED1809">
        <w:rPr>
          <w:rFonts w:hint="eastAsia"/>
        </w:rPr>
        <w:t>5.8%</w:t>
      </w:r>
      <w:r w:rsidRPr="00ED1809">
        <w:rPr>
          <w:rFonts w:hint="eastAsia"/>
        </w:rPr>
        <w:t>。</w:t>
      </w:r>
      <w:r w:rsidR="00274ACF">
        <w:rPr>
          <w:rFonts w:hint="eastAsia"/>
        </w:rPr>
        <w:t>交通部门碳排放</w:t>
      </w:r>
      <w:r w:rsidRPr="00ED1809">
        <w:rPr>
          <w:rFonts w:hint="eastAsia"/>
        </w:rPr>
        <w:t>占全国比重从</w:t>
      </w:r>
      <w:r w:rsidRPr="00ED1809">
        <w:rPr>
          <w:rFonts w:hint="eastAsia"/>
        </w:rPr>
        <w:t>2005</w:t>
      </w:r>
      <w:r w:rsidRPr="00ED1809">
        <w:rPr>
          <w:rFonts w:hint="eastAsia"/>
        </w:rPr>
        <w:t>年的</w:t>
      </w:r>
      <w:r w:rsidRPr="00ED1809">
        <w:rPr>
          <w:rFonts w:hint="eastAsia"/>
        </w:rPr>
        <w:t>5.9%</w:t>
      </w:r>
      <w:r w:rsidRPr="00ED1809">
        <w:rPr>
          <w:rFonts w:hint="eastAsia"/>
        </w:rPr>
        <w:t>上升为</w:t>
      </w:r>
      <w:r w:rsidRPr="00ED1809">
        <w:rPr>
          <w:rFonts w:hint="eastAsia"/>
        </w:rPr>
        <w:t>2020</w:t>
      </w:r>
      <w:r w:rsidRPr="00ED1809">
        <w:rPr>
          <w:rFonts w:hint="eastAsia"/>
        </w:rPr>
        <w:t>年的</w:t>
      </w:r>
      <w:r w:rsidRPr="00ED1809">
        <w:rPr>
          <w:rFonts w:hint="eastAsia"/>
        </w:rPr>
        <w:t>10.3%</w:t>
      </w:r>
      <w:r w:rsidRPr="00ED1809">
        <w:rPr>
          <w:rFonts w:hint="eastAsia"/>
        </w:rPr>
        <w:t>（</w:t>
      </w:r>
      <w:r w:rsidRPr="00ED1809">
        <w:rPr>
          <w:rFonts w:hint="eastAsia"/>
        </w:rPr>
        <w:t>2019</w:t>
      </w:r>
      <w:r w:rsidRPr="00ED1809">
        <w:rPr>
          <w:rFonts w:hint="eastAsia"/>
        </w:rPr>
        <w:t>年占比为</w:t>
      </w:r>
      <w:r w:rsidRPr="00ED1809">
        <w:rPr>
          <w:rFonts w:hint="eastAsia"/>
        </w:rPr>
        <w:t>11.8%</w:t>
      </w:r>
      <w:r w:rsidRPr="00ED1809">
        <w:rPr>
          <w:rFonts w:hint="eastAsia"/>
        </w:rPr>
        <w:t>）。</w:t>
      </w:r>
    </w:p>
    <w:p w14:paraId="61450B99" w14:textId="73C10D90" w:rsidR="00ED1809" w:rsidRDefault="00ED1809" w:rsidP="00ED1809">
      <w:pPr>
        <w:ind w:firstLineChars="0" w:firstLine="0"/>
      </w:pPr>
      <w:r>
        <w:rPr>
          <w:noProof/>
        </w:rPr>
        <w:drawing>
          <wp:inline distT="0" distB="0" distL="0" distR="0" wp14:anchorId="5032469F" wp14:editId="3EAD46A7">
            <wp:extent cx="5220000" cy="3068320"/>
            <wp:effectExtent l="0" t="0" r="0" b="1778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4C145FB" w14:textId="6561AC37" w:rsidR="00ED1809" w:rsidRPr="00DB5A8A" w:rsidRDefault="00ED1809" w:rsidP="00DB5A8A">
      <w:pPr>
        <w:ind w:firstLineChars="0" w:firstLine="0"/>
        <w:jc w:val="center"/>
        <w:rPr>
          <w:rFonts w:eastAsia="黑体"/>
          <w:sz w:val="24"/>
          <w:szCs w:val="21"/>
        </w:rPr>
      </w:pPr>
      <w:r w:rsidRPr="00DB5A8A">
        <w:rPr>
          <w:rFonts w:eastAsia="黑体" w:hint="eastAsia"/>
          <w:sz w:val="24"/>
          <w:szCs w:val="21"/>
        </w:rPr>
        <w:t>图</w:t>
      </w:r>
      <w:r w:rsidRPr="00DB5A8A">
        <w:rPr>
          <w:rFonts w:eastAsia="黑体" w:hint="eastAsia"/>
          <w:sz w:val="24"/>
          <w:szCs w:val="21"/>
        </w:rPr>
        <w:t>2-3  2005-2020</w:t>
      </w:r>
      <w:r w:rsidRPr="00DB5A8A">
        <w:rPr>
          <w:rFonts w:eastAsia="黑体" w:hint="eastAsia"/>
          <w:sz w:val="24"/>
          <w:szCs w:val="21"/>
        </w:rPr>
        <w:t>年</w:t>
      </w:r>
      <w:r w:rsidR="00274ACF">
        <w:rPr>
          <w:rFonts w:eastAsia="黑体" w:hint="eastAsia"/>
          <w:sz w:val="24"/>
          <w:szCs w:val="21"/>
        </w:rPr>
        <w:t>交通部门碳</w:t>
      </w:r>
      <w:r w:rsidRPr="00DB5A8A">
        <w:rPr>
          <w:rFonts w:eastAsia="黑体" w:hint="eastAsia"/>
          <w:sz w:val="24"/>
          <w:szCs w:val="21"/>
        </w:rPr>
        <w:t>排放量及占比</w:t>
      </w:r>
    </w:p>
    <w:p w14:paraId="2D5E583C" w14:textId="0E02A910" w:rsidR="00ED1809" w:rsidRDefault="00ED1809" w:rsidP="00ED1809">
      <w:pPr>
        <w:ind w:firstLine="560"/>
      </w:pPr>
      <w:r w:rsidRPr="00ED1809">
        <w:rPr>
          <w:rFonts w:hint="eastAsia"/>
        </w:rPr>
        <w:t>货运</w:t>
      </w:r>
      <w:r w:rsidR="00274ACF">
        <w:rPr>
          <w:rFonts w:hint="eastAsia"/>
        </w:rPr>
        <w:t>碳排放</w:t>
      </w:r>
      <w:r w:rsidRPr="00ED1809">
        <w:rPr>
          <w:rFonts w:hint="eastAsia"/>
        </w:rPr>
        <w:t>占比仍处于高位。由于不同交通运输子行业的技术条件、经济特点和市场需求的差异，</w:t>
      </w:r>
      <w:r w:rsidR="005950C4">
        <w:rPr>
          <w:rFonts w:hint="eastAsia"/>
        </w:rPr>
        <w:t>中国</w:t>
      </w:r>
      <w:r w:rsidRPr="00ED1809">
        <w:rPr>
          <w:rFonts w:hint="eastAsia"/>
        </w:rPr>
        <w:t>货运行业的能耗和碳排放远高于城间客运和城市客运行业；如下图所示，历年交通运输行业碳排放中，货运和城间客运碳排放占比有所下降，其中，货运行业</w:t>
      </w:r>
      <w:r w:rsidR="000759D0">
        <w:rPr>
          <w:rFonts w:hint="eastAsia"/>
        </w:rPr>
        <w:t>碳</w:t>
      </w:r>
      <w:r w:rsidRPr="00ED1809">
        <w:rPr>
          <w:rFonts w:hint="eastAsia"/>
        </w:rPr>
        <w:t>排放占比最大，其次是城间客运、城市客运和港口，这主要是由于</w:t>
      </w:r>
      <w:r w:rsidR="005950C4">
        <w:rPr>
          <w:rFonts w:hint="eastAsia"/>
        </w:rPr>
        <w:t>中国</w:t>
      </w:r>
      <w:r w:rsidRPr="00ED1809">
        <w:rPr>
          <w:rFonts w:hint="eastAsia"/>
        </w:rPr>
        <w:t>仍处于工业化发展阶段，货物运输需求快速增长，因此货运行业</w:t>
      </w:r>
      <w:r w:rsidR="000759D0">
        <w:rPr>
          <w:rFonts w:hint="eastAsia"/>
        </w:rPr>
        <w:t>碳</w:t>
      </w:r>
      <w:r w:rsidRPr="00ED1809">
        <w:rPr>
          <w:rFonts w:hint="eastAsia"/>
        </w:rPr>
        <w:t>排放量仍维持在高位。货运行业碳排放占比仍占绝对比重，从</w:t>
      </w:r>
      <w:r w:rsidRPr="00ED1809">
        <w:rPr>
          <w:rFonts w:hint="eastAsia"/>
        </w:rPr>
        <w:t>2005</w:t>
      </w:r>
      <w:r w:rsidRPr="00ED1809">
        <w:rPr>
          <w:rFonts w:hint="eastAsia"/>
        </w:rPr>
        <w:t>年的</w:t>
      </w:r>
      <w:r w:rsidRPr="00ED1809">
        <w:rPr>
          <w:rFonts w:hint="eastAsia"/>
        </w:rPr>
        <w:t>62.</w:t>
      </w:r>
      <w:r w:rsidR="008102C6">
        <w:t>7</w:t>
      </w:r>
      <w:r w:rsidRPr="00ED1809">
        <w:rPr>
          <w:rFonts w:hint="eastAsia"/>
        </w:rPr>
        <w:t>%</w:t>
      </w:r>
      <w:r w:rsidRPr="00ED1809">
        <w:rPr>
          <w:rFonts w:hint="eastAsia"/>
        </w:rPr>
        <w:t>上升为</w:t>
      </w:r>
      <w:r w:rsidRPr="00ED1809">
        <w:rPr>
          <w:rFonts w:hint="eastAsia"/>
        </w:rPr>
        <w:t>2020</w:t>
      </w:r>
      <w:r w:rsidRPr="00ED1809">
        <w:rPr>
          <w:rFonts w:hint="eastAsia"/>
        </w:rPr>
        <w:t>年的</w:t>
      </w:r>
      <w:r w:rsidRPr="00ED1809">
        <w:rPr>
          <w:rFonts w:hint="eastAsia"/>
        </w:rPr>
        <w:t>65.5%</w:t>
      </w:r>
      <w:r w:rsidRPr="00ED1809">
        <w:rPr>
          <w:rFonts w:hint="eastAsia"/>
        </w:rPr>
        <w:t>；城际客运</w:t>
      </w:r>
      <w:r w:rsidR="000759D0">
        <w:rPr>
          <w:rFonts w:hint="eastAsia"/>
        </w:rPr>
        <w:t>碳</w:t>
      </w:r>
      <w:r w:rsidRPr="00ED1809">
        <w:rPr>
          <w:rFonts w:hint="eastAsia"/>
        </w:rPr>
        <w:t>排放占比稳步上升，碳排放占比从</w:t>
      </w:r>
      <w:r w:rsidRPr="00ED1809">
        <w:rPr>
          <w:rFonts w:hint="eastAsia"/>
        </w:rPr>
        <w:t>2005</w:t>
      </w:r>
      <w:r w:rsidRPr="00ED1809">
        <w:rPr>
          <w:rFonts w:hint="eastAsia"/>
        </w:rPr>
        <w:t>年的</w:t>
      </w:r>
      <w:r w:rsidRPr="00ED1809">
        <w:rPr>
          <w:rFonts w:hint="eastAsia"/>
        </w:rPr>
        <w:t>24.92%</w:t>
      </w:r>
      <w:r w:rsidRPr="00ED1809">
        <w:rPr>
          <w:rFonts w:hint="eastAsia"/>
        </w:rPr>
        <w:t>上升为</w:t>
      </w:r>
      <w:r w:rsidRPr="00ED1809">
        <w:rPr>
          <w:rFonts w:hint="eastAsia"/>
        </w:rPr>
        <w:t>25.83%</w:t>
      </w:r>
      <w:r w:rsidRPr="00ED1809">
        <w:rPr>
          <w:rFonts w:hint="eastAsia"/>
        </w:rPr>
        <w:t>；城市客运引起的</w:t>
      </w:r>
      <w:r w:rsidR="000759D0">
        <w:rPr>
          <w:rFonts w:hint="eastAsia"/>
        </w:rPr>
        <w:t>碳</w:t>
      </w:r>
      <w:r w:rsidRPr="00ED1809">
        <w:rPr>
          <w:rFonts w:hint="eastAsia"/>
        </w:rPr>
        <w:t>排放占比</w:t>
      </w:r>
      <w:r w:rsidRPr="00ED1809">
        <w:rPr>
          <w:rFonts w:hint="eastAsia"/>
        </w:rPr>
        <w:lastRenderedPageBreak/>
        <w:t>稳步下降，从</w:t>
      </w:r>
      <w:r w:rsidRPr="00ED1809">
        <w:rPr>
          <w:rFonts w:hint="eastAsia"/>
        </w:rPr>
        <w:t>2005</w:t>
      </w:r>
      <w:r w:rsidRPr="00ED1809">
        <w:rPr>
          <w:rFonts w:hint="eastAsia"/>
        </w:rPr>
        <w:t>年的</w:t>
      </w:r>
      <w:r w:rsidRPr="00ED1809">
        <w:rPr>
          <w:rFonts w:hint="eastAsia"/>
        </w:rPr>
        <w:t>11.61%</w:t>
      </w:r>
      <w:r w:rsidRPr="00ED1809">
        <w:rPr>
          <w:rFonts w:hint="eastAsia"/>
        </w:rPr>
        <w:t>下降为</w:t>
      </w:r>
      <w:r w:rsidRPr="00ED1809">
        <w:rPr>
          <w:rFonts w:hint="eastAsia"/>
        </w:rPr>
        <w:t>2012</w:t>
      </w:r>
      <w:r w:rsidRPr="00ED1809">
        <w:rPr>
          <w:rFonts w:hint="eastAsia"/>
        </w:rPr>
        <w:t>年的</w:t>
      </w:r>
      <w:r w:rsidRPr="00ED1809">
        <w:rPr>
          <w:rFonts w:hint="eastAsia"/>
        </w:rPr>
        <w:t>8.28%</w:t>
      </w:r>
      <w:r w:rsidRPr="00ED1809">
        <w:rPr>
          <w:rFonts w:hint="eastAsia"/>
        </w:rPr>
        <w:t>；港口碳排放占比较小，</w:t>
      </w:r>
      <w:r w:rsidRPr="00ED1809">
        <w:rPr>
          <w:rFonts w:hint="eastAsia"/>
        </w:rPr>
        <w:t>2020</w:t>
      </w:r>
      <w:r w:rsidRPr="00ED1809">
        <w:rPr>
          <w:rFonts w:hint="eastAsia"/>
        </w:rPr>
        <w:t>年占比为</w:t>
      </w:r>
      <w:r w:rsidRPr="00ED1809">
        <w:rPr>
          <w:rFonts w:hint="eastAsia"/>
        </w:rPr>
        <w:t>0.38%</w:t>
      </w:r>
      <w:r w:rsidRPr="00ED1809">
        <w:rPr>
          <w:rFonts w:hint="eastAsia"/>
        </w:rPr>
        <w:t>。</w:t>
      </w:r>
    </w:p>
    <w:p w14:paraId="79B3A341" w14:textId="21EEE625" w:rsidR="00ED1809" w:rsidRDefault="00ED1809" w:rsidP="00ED1809">
      <w:pPr>
        <w:ind w:firstLineChars="0" w:firstLine="0"/>
      </w:pPr>
      <w:r>
        <w:rPr>
          <w:noProof/>
        </w:rPr>
        <w:drawing>
          <wp:inline distT="0" distB="0" distL="114300" distR="114300" wp14:anchorId="64FFDAED" wp14:editId="26B98FA9">
            <wp:extent cx="5220000" cy="3365358"/>
            <wp:effectExtent l="0" t="0" r="0" b="6985"/>
            <wp:docPr id="2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4"/>
                    <pic:cNvPicPr>
                      <a:picLocks noChangeAspect="1"/>
                    </pic:cNvPicPr>
                  </pic:nvPicPr>
                  <pic:blipFill>
                    <a:blip r:embed="rId17"/>
                    <a:stretch>
                      <a:fillRect/>
                    </a:stretch>
                  </pic:blipFill>
                  <pic:spPr>
                    <a:xfrm>
                      <a:off x="0" y="0"/>
                      <a:ext cx="5220000" cy="3365358"/>
                    </a:xfrm>
                    <a:prstGeom prst="rect">
                      <a:avLst/>
                    </a:prstGeom>
                    <a:noFill/>
                    <a:ln>
                      <a:noFill/>
                    </a:ln>
                  </pic:spPr>
                </pic:pic>
              </a:graphicData>
            </a:graphic>
          </wp:inline>
        </w:drawing>
      </w:r>
    </w:p>
    <w:p w14:paraId="1B4091F6" w14:textId="5C358751" w:rsidR="00ED1809" w:rsidRPr="00DB5A8A" w:rsidRDefault="00ED1809" w:rsidP="00DB5A8A">
      <w:pPr>
        <w:ind w:firstLineChars="0" w:firstLine="0"/>
        <w:jc w:val="center"/>
        <w:rPr>
          <w:rFonts w:eastAsia="黑体"/>
          <w:sz w:val="24"/>
          <w:szCs w:val="21"/>
        </w:rPr>
      </w:pPr>
      <w:r w:rsidRPr="00DB5A8A">
        <w:rPr>
          <w:rFonts w:eastAsia="黑体" w:hint="eastAsia"/>
          <w:sz w:val="24"/>
          <w:szCs w:val="21"/>
        </w:rPr>
        <w:t>图</w:t>
      </w:r>
      <w:r w:rsidRPr="00DB5A8A">
        <w:rPr>
          <w:rFonts w:eastAsia="黑体" w:hint="eastAsia"/>
          <w:sz w:val="24"/>
          <w:szCs w:val="21"/>
        </w:rPr>
        <w:t>2-4  2005-2020</w:t>
      </w:r>
      <w:r w:rsidRPr="00DB5A8A">
        <w:rPr>
          <w:rFonts w:eastAsia="黑体" w:hint="eastAsia"/>
          <w:sz w:val="24"/>
          <w:szCs w:val="21"/>
        </w:rPr>
        <w:t>年客货运输方式</w:t>
      </w:r>
      <w:r w:rsidR="000759D0">
        <w:rPr>
          <w:rFonts w:eastAsia="黑体" w:hint="eastAsia"/>
          <w:sz w:val="24"/>
          <w:szCs w:val="21"/>
        </w:rPr>
        <w:t>碳</w:t>
      </w:r>
      <w:r w:rsidRPr="00DB5A8A">
        <w:rPr>
          <w:rFonts w:eastAsia="黑体" w:hint="eastAsia"/>
          <w:sz w:val="24"/>
          <w:szCs w:val="21"/>
        </w:rPr>
        <w:t>排放量</w:t>
      </w:r>
    </w:p>
    <w:p w14:paraId="2EB87662" w14:textId="2AC9E039" w:rsidR="00ED1809" w:rsidRDefault="00ED1809" w:rsidP="00ED1809">
      <w:pPr>
        <w:ind w:firstLineChars="0" w:firstLine="0"/>
      </w:pPr>
      <w:r>
        <w:rPr>
          <w:noProof/>
        </w:rPr>
        <w:drawing>
          <wp:inline distT="0" distB="0" distL="114300" distR="114300" wp14:anchorId="69D44123" wp14:editId="5B325569">
            <wp:extent cx="2520000" cy="1907227"/>
            <wp:effectExtent l="0" t="0" r="0" b="0"/>
            <wp:docPr id="3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9"/>
                    <pic:cNvPicPr>
                      <a:picLocks noChangeAspect="1"/>
                    </pic:cNvPicPr>
                  </pic:nvPicPr>
                  <pic:blipFill>
                    <a:blip r:embed="rId18"/>
                    <a:stretch>
                      <a:fillRect/>
                    </a:stretch>
                  </pic:blipFill>
                  <pic:spPr>
                    <a:xfrm>
                      <a:off x="0" y="0"/>
                      <a:ext cx="2520000" cy="1907227"/>
                    </a:xfrm>
                    <a:prstGeom prst="rect">
                      <a:avLst/>
                    </a:prstGeom>
                    <a:noFill/>
                    <a:ln>
                      <a:noFill/>
                    </a:ln>
                  </pic:spPr>
                </pic:pic>
              </a:graphicData>
            </a:graphic>
          </wp:inline>
        </w:drawing>
      </w:r>
      <w:r>
        <w:rPr>
          <w:noProof/>
        </w:rPr>
        <w:drawing>
          <wp:inline distT="0" distB="0" distL="114300" distR="114300" wp14:anchorId="1DABB26A" wp14:editId="6C22CF7A">
            <wp:extent cx="2519171" cy="1904788"/>
            <wp:effectExtent l="0" t="0" r="0" b="635"/>
            <wp:docPr id="3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0"/>
                    <pic:cNvPicPr>
                      <a:picLocks noChangeAspect="1"/>
                    </pic:cNvPicPr>
                  </pic:nvPicPr>
                  <pic:blipFill>
                    <a:blip r:embed="rId19"/>
                    <a:stretch>
                      <a:fillRect/>
                    </a:stretch>
                  </pic:blipFill>
                  <pic:spPr>
                    <a:xfrm>
                      <a:off x="0" y="0"/>
                      <a:ext cx="2521805" cy="1906779"/>
                    </a:xfrm>
                    <a:prstGeom prst="rect">
                      <a:avLst/>
                    </a:prstGeom>
                    <a:noFill/>
                    <a:ln>
                      <a:noFill/>
                    </a:ln>
                  </pic:spPr>
                </pic:pic>
              </a:graphicData>
            </a:graphic>
          </wp:inline>
        </w:drawing>
      </w:r>
    </w:p>
    <w:p w14:paraId="1AEAEF80" w14:textId="4BCFB15C" w:rsidR="00ED1809" w:rsidRPr="00DB5A8A" w:rsidRDefault="00ED1809" w:rsidP="00DB5A8A">
      <w:pPr>
        <w:ind w:firstLineChars="0" w:firstLine="0"/>
        <w:jc w:val="center"/>
        <w:rPr>
          <w:rFonts w:eastAsia="黑体"/>
          <w:sz w:val="24"/>
          <w:szCs w:val="21"/>
        </w:rPr>
      </w:pPr>
      <w:r w:rsidRPr="00DB5A8A">
        <w:rPr>
          <w:rFonts w:eastAsia="黑体" w:hint="eastAsia"/>
          <w:sz w:val="24"/>
          <w:szCs w:val="21"/>
        </w:rPr>
        <w:t>图</w:t>
      </w:r>
      <w:r w:rsidRPr="00DB5A8A">
        <w:rPr>
          <w:rFonts w:eastAsia="黑体" w:hint="eastAsia"/>
          <w:sz w:val="24"/>
          <w:szCs w:val="21"/>
        </w:rPr>
        <w:t>2-5  2005-2020</w:t>
      </w:r>
      <w:r w:rsidRPr="00DB5A8A">
        <w:rPr>
          <w:rFonts w:eastAsia="黑体" w:hint="eastAsia"/>
          <w:sz w:val="24"/>
          <w:szCs w:val="21"/>
        </w:rPr>
        <w:t>年客货运输方式</w:t>
      </w:r>
      <w:r w:rsidR="000759D0">
        <w:rPr>
          <w:rFonts w:eastAsia="黑体" w:hint="eastAsia"/>
          <w:sz w:val="24"/>
          <w:szCs w:val="21"/>
        </w:rPr>
        <w:t>碳</w:t>
      </w:r>
      <w:r w:rsidRPr="00DB5A8A">
        <w:rPr>
          <w:rFonts w:eastAsia="黑体" w:hint="eastAsia"/>
          <w:sz w:val="24"/>
          <w:szCs w:val="21"/>
        </w:rPr>
        <w:t>排放量占比</w:t>
      </w:r>
    </w:p>
    <w:p w14:paraId="1960121D" w14:textId="3B2B6E4C" w:rsidR="00ED1809" w:rsidRDefault="00ED1809" w:rsidP="00ED1809">
      <w:pPr>
        <w:ind w:firstLine="560"/>
      </w:pPr>
      <w:r w:rsidRPr="00ED1809">
        <w:rPr>
          <w:rFonts w:hint="eastAsia"/>
        </w:rPr>
        <w:t>2020</w:t>
      </w:r>
      <w:r w:rsidRPr="00ED1809">
        <w:rPr>
          <w:rFonts w:hint="eastAsia"/>
        </w:rPr>
        <w:t>年公路运输</w:t>
      </w:r>
      <w:r w:rsidR="00852FE0">
        <w:rPr>
          <w:rFonts w:hint="eastAsia"/>
        </w:rPr>
        <w:t>碳排放</w:t>
      </w:r>
      <w:r w:rsidRPr="00ED1809">
        <w:rPr>
          <w:rFonts w:hint="eastAsia"/>
        </w:rPr>
        <w:t>占交通</w:t>
      </w:r>
      <w:r w:rsidR="005950C4">
        <w:rPr>
          <w:rFonts w:hint="eastAsia"/>
        </w:rPr>
        <w:t>部门</w:t>
      </w:r>
      <w:r w:rsidRPr="00ED1809">
        <w:rPr>
          <w:rFonts w:hint="eastAsia"/>
        </w:rPr>
        <w:t>碳排放</w:t>
      </w:r>
      <w:r w:rsidRPr="00ED1809">
        <w:rPr>
          <w:rFonts w:hint="eastAsia"/>
        </w:rPr>
        <w:t>86%</w:t>
      </w:r>
      <w:r w:rsidRPr="00ED1809">
        <w:rPr>
          <w:rFonts w:hint="eastAsia"/>
        </w:rPr>
        <w:t>以上。随着经济持续快速发展，对大宗货物需求显著增长，现阶段大宗货物运输主要以公路为主，</w:t>
      </w:r>
      <w:r w:rsidRPr="00ED1809">
        <w:rPr>
          <w:rFonts w:hint="eastAsia"/>
        </w:rPr>
        <w:t>2005-2020</w:t>
      </w:r>
      <w:r w:rsidRPr="00ED1809">
        <w:rPr>
          <w:rFonts w:hint="eastAsia"/>
        </w:rPr>
        <w:t>年间公路货物周转量年均增长</w:t>
      </w:r>
      <w:r w:rsidRPr="00ED1809">
        <w:rPr>
          <w:rFonts w:hint="eastAsia"/>
        </w:rPr>
        <w:t>8.5%</w:t>
      </w:r>
      <w:r w:rsidRPr="00ED1809">
        <w:rPr>
          <w:rFonts w:hint="eastAsia"/>
        </w:rPr>
        <w:t>左右，同时，</w:t>
      </w:r>
      <w:r w:rsidR="005950C4">
        <w:rPr>
          <w:rFonts w:hint="eastAsia"/>
        </w:rPr>
        <w:t>中国</w:t>
      </w:r>
      <w:r w:rsidRPr="00ED1809">
        <w:rPr>
          <w:rFonts w:hint="eastAsia"/>
        </w:rPr>
        <w:t>私人乘用车从</w:t>
      </w:r>
      <w:r w:rsidRPr="00ED1809">
        <w:rPr>
          <w:rFonts w:hint="eastAsia"/>
        </w:rPr>
        <w:t>2005</w:t>
      </w:r>
      <w:r w:rsidRPr="00ED1809">
        <w:rPr>
          <w:rFonts w:hint="eastAsia"/>
        </w:rPr>
        <w:t>年的</w:t>
      </w:r>
      <w:r w:rsidRPr="00ED1809">
        <w:rPr>
          <w:rFonts w:hint="eastAsia"/>
        </w:rPr>
        <w:t>0.17</w:t>
      </w:r>
      <w:r w:rsidRPr="00ED1809">
        <w:rPr>
          <w:rFonts w:hint="eastAsia"/>
        </w:rPr>
        <w:t>亿辆增长到</w:t>
      </w:r>
      <w:r w:rsidRPr="00ED1809">
        <w:rPr>
          <w:rFonts w:hint="eastAsia"/>
        </w:rPr>
        <w:t>2020</w:t>
      </w:r>
      <w:r w:rsidRPr="00ED1809">
        <w:rPr>
          <w:rFonts w:hint="eastAsia"/>
        </w:rPr>
        <w:t>年</w:t>
      </w:r>
      <w:r w:rsidRPr="00ED1809">
        <w:rPr>
          <w:rFonts w:hint="eastAsia"/>
        </w:rPr>
        <w:t>2.16</w:t>
      </w:r>
      <w:r w:rsidRPr="00ED1809">
        <w:rPr>
          <w:rFonts w:hint="eastAsia"/>
        </w:rPr>
        <w:t>亿辆，增长了</w:t>
      </w:r>
      <w:r w:rsidRPr="00ED1809">
        <w:rPr>
          <w:rFonts w:hint="eastAsia"/>
        </w:rPr>
        <w:t>12</w:t>
      </w:r>
      <w:r w:rsidRPr="00ED1809">
        <w:rPr>
          <w:rFonts w:hint="eastAsia"/>
        </w:rPr>
        <w:t>倍。考虑到公路运输能源消耗</w:t>
      </w:r>
      <w:r w:rsidRPr="00ED1809">
        <w:rPr>
          <w:rFonts w:hint="eastAsia"/>
        </w:rPr>
        <w:t>95%</w:t>
      </w:r>
      <w:r w:rsidRPr="00ED1809">
        <w:rPr>
          <w:rFonts w:hint="eastAsia"/>
        </w:rPr>
        <w:t>以上依赖化石能源，导</w:t>
      </w:r>
      <w:r w:rsidRPr="00ED1809">
        <w:rPr>
          <w:rFonts w:hint="eastAsia"/>
        </w:rPr>
        <w:lastRenderedPageBreak/>
        <w:t>致公路运输碳排放量快速上升；</w:t>
      </w:r>
      <w:r w:rsidRPr="00ED1809">
        <w:rPr>
          <w:rFonts w:hint="eastAsia"/>
        </w:rPr>
        <w:t>2020</w:t>
      </w:r>
      <w:r w:rsidRPr="00ED1809">
        <w:rPr>
          <w:rFonts w:hint="eastAsia"/>
        </w:rPr>
        <w:t>年公路运输碳排放量为</w:t>
      </w:r>
      <w:r w:rsidRPr="00ED1809">
        <w:rPr>
          <w:rFonts w:hint="eastAsia"/>
        </w:rPr>
        <w:t>8.97</w:t>
      </w:r>
      <w:r w:rsidR="008102C6">
        <w:rPr>
          <w:rFonts w:hint="eastAsia"/>
        </w:rPr>
        <w:t>亿</w:t>
      </w:r>
      <w:r w:rsidR="008102C6">
        <w:rPr>
          <w:rFonts w:hint="eastAsia"/>
        </w:rPr>
        <w:t>t</w:t>
      </w:r>
      <w:r w:rsidRPr="00ED1809">
        <w:rPr>
          <w:rFonts w:hint="eastAsia"/>
        </w:rPr>
        <w:t>，从</w:t>
      </w:r>
      <w:r w:rsidRPr="00ED1809">
        <w:rPr>
          <w:rFonts w:hint="eastAsia"/>
        </w:rPr>
        <w:t>2005</w:t>
      </w:r>
      <w:r w:rsidRPr="00ED1809">
        <w:rPr>
          <w:rFonts w:hint="eastAsia"/>
        </w:rPr>
        <w:t>年的</w:t>
      </w:r>
      <w:r w:rsidRPr="00ED1809">
        <w:rPr>
          <w:rFonts w:hint="eastAsia"/>
        </w:rPr>
        <w:t>84.5%</w:t>
      </w:r>
      <w:r w:rsidRPr="00ED1809">
        <w:rPr>
          <w:rFonts w:hint="eastAsia"/>
        </w:rPr>
        <w:t>上升为</w:t>
      </w:r>
      <w:r w:rsidRPr="00ED1809">
        <w:rPr>
          <w:rFonts w:hint="eastAsia"/>
        </w:rPr>
        <w:t>2020</w:t>
      </w:r>
      <w:r w:rsidRPr="00ED1809">
        <w:rPr>
          <w:rFonts w:hint="eastAsia"/>
        </w:rPr>
        <w:t>年的</w:t>
      </w:r>
      <w:r w:rsidRPr="00ED1809">
        <w:rPr>
          <w:rFonts w:hint="eastAsia"/>
        </w:rPr>
        <w:t>87.71%</w:t>
      </w:r>
      <w:r w:rsidRPr="00ED1809">
        <w:rPr>
          <w:rFonts w:hint="eastAsia"/>
        </w:rPr>
        <w:t>。由于铁路电气化率的提升，铁路运输碳排放量自</w:t>
      </w:r>
      <w:r w:rsidRPr="00ED1809">
        <w:rPr>
          <w:rFonts w:hint="eastAsia"/>
        </w:rPr>
        <w:t>2013</w:t>
      </w:r>
      <w:r w:rsidRPr="00ED1809">
        <w:rPr>
          <w:rFonts w:hint="eastAsia"/>
        </w:rPr>
        <w:t>年起逐年下降，</w:t>
      </w:r>
      <w:r w:rsidRPr="00ED1809">
        <w:rPr>
          <w:rFonts w:hint="eastAsia"/>
        </w:rPr>
        <w:t>2020</w:t>
      </w:r>
      <w:r w:rsidRPr="00ED1809">
        <w:rPr>
          <w:rFonts w:hint="eastAsia"/>
        </w:rPr>
        <w:t>年铁路运输碳排放量为</w:t>
      </w:r>
      <w:r w:rsidRPr="00ED1809">
        <w:rPr>
          <w:rFonts w:hint="eastAsia"/>
        </w:rPr>
        <w:t>0.097</w:t>
      </w:r>
      <w:r w:rsidR="008102C6">
        <w:rPr>
          <w:rFonts w:hint="eastAsia"/>
        </w:rPr>
        <w:t>亿</w:t>
      </w:r>
      <w:r w:rsidR="008102C6">
        <w:rPr>
          <w:rFonts w:hint="eastAsia"/>
        </w:rPr>
        <w:t>t</w:t>
      </w:r>
      <w:r w:rsidRPr="00ED1809">
        <w:rPr>
          <w:rFonts w:hint="eastAsia"/>
        </w:rPr>
        <w:t>，从</w:t>
      </w:r>
      <w:r w:rsidRPr="00ED1809">
        <w:rPr>
          <w:rFonts w:hint="eastAsia"/>
        </w:rPr>
        <w:t>2005</w:t>
      </w:r>
      <w:r w:rsidRPr="00ED1809">
        <w:rPr>
          <w:rFonts w:hint="eastAsia"/>
        </w:rPr>
        <w:t>年的</w:t>
      </w:r>
      <w:r w:rsidRPr="00ED1809">
        <w:rPr>
          <w:rFonts w:hint="eastAsia"/>
        </w:rPr>
        <w:t>4.71%</w:t>
      </w:r>
      <w:r w:rsidRPr="00ED1809">
        <w:rPr>
          <w:rFonts w:hint="eastAsia"/>
        </w:rPr>
        <w:t>下降为</w:t>
      </w:r>
      <w:r w:rsidRPr="00ED1809">
        <w:rPr>
          <w:rFonts w:hint="eastAsia"/>
        </w:rPr>
        <w:t>2020</w:t>
      </w:r>
      <w:r w:rsidRPr="00ED1809">
        <w:rPr>
          <w:rFonts w:hint="eastAsia"/>
        </w:rPr>
        <w:t>年的</w:t>
      </w:r>
      <w:r w:rsidRPr="00ED1809">
        <w:rPr>
          <w:rFonts w:hint="eastAsia"/>
        </w:rPr>
        <w:t>0.95%</w:t>
      </w:r>
      <w:r w:rsidRPr="00ED1809">
        <w:rPr>
          <w:rFonts w:hint="eastAsia"/>
        </w:rPr>
        <w:t>。水路运输碳排放相对公路运输碳排放较小，其总量呈缓慢增长趋势。航空运输碳排放量增速较快，占比逐年增加，从</w:t>
      </w:r>
      <w:r w:rsidRPr="00ED1809">
        <w:rPr>
          <w:rFonts w:hint="eastAsia"/>
        </w:rPr>
        <w:t>2005</w:t>
      </w:r>
      <w:r w:rsidRPr="00ED1809">
        <w:rPr>
          <w:rFonts w:hint="eastAsia"/>
        </w:rPr>
        <w:t>年的</w:t>
      </w:r>
      <w:r w:rsidRPr="00ED1809">
        <w:rPr>
          <w:rFonts w:hint="eastAsia"/>
        </w:rPr>
        <w:t>4.54%</w:t>
      </w:r>
      <w:r w:rsidRPr="00ED1809">
        <w:rPr>
          <w:rFonts w:hint="eastAsia"/>
        </w:rPr>
        <w:t>上升为</w:t>
      </w:r>
      <w:r w:rsidRPr="00ED1809">
        <w:rPr>
          <w:rFonts w:hint="eastAsia"/>
        </w:rPr>
        <w:t>2020</w:t>
      </w:r>
      <w:r w:rsidRPr="00ED1809">
        <w:rPr>
          <w:rFonts w:hint="eastAsia"/>
        </w:rPr>
        <w:t>年的</w:t>
      </w:r>
      <w:r w:rsidRPr="00ED1809">
        <w:rPr>
          <w:rFonts w:hint="eastAsia"/>
        </w:rPr>
        <w:t>5.35%</w:t>
      </w:r>
      <w:r w:rsidRPr="00ED1809">
        <w:rPr>
          <w:rFonts w:hint="eastAsia"/>
        </w:rPr>
        <w:t>。</w:t>
      </w:r>
    </w:p>
    <w:p w14:paraId="402BFDD9" w14:textId="16E1AFE9" w:rsidR="00ED1809" w:rsidRDefault="00ED1809" w:rsidP="00ED1809">
      <w:pPr>
        <w:ind w:firstLineChars="0" w:firstLine="0"/>
      </w:pPr>
      <w:r>
        <w:rPr>
          <w:noProof/>
        </w:rPr>
        <w:drawing>
          <wp:inline distT="0" distB="0" distL="114300" distR="114300" wp14:anchorId="6B264C64" wp14:editId="57CB5E99">
            <wp:extent cx="5219065" cy="2802466"/>
            <wp:effectExtent l="0" t="0" r="635" b="0"/>
            <wp:docPr id="3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1"/>
                    <pic:cNvPicPr>
                      <a:picLocks noChangeAspect="1"/>
                    </pic:cNvPicPr>
                  </pic:nvPicPr>
                  <pic:blipFill>
                    <a:blip r:embed="rId20"/>
                    <a:stretch>
                      <a:fillRect/>
                    </a:stretch>
                  </pic:blipFill>
                  <pic:spPr>
                    <a:xfrm>
                      <a:off x="0" y="0"/>
                      <a:ext cx="5224181" cy="2805213"/>
                    </a:xfrm>
                    <a:prstGeom prst="rect">
                      <a:avLst/>
                    </a:prstGeom>
                    <a:noFill/>
                    <a:ln>
                      <a:noFill/>
                    </a:ln>
                  </pic:spPr>
                </pic:pic>
              </a:graphicData>
            </a:graphic>
          </wp:inline>
        </w:drawing>
      </w:r>
    </w:p>
    <w:p w14:paraId="555E695D" w14:textId="1701090C" w:rsidR="00ED1809" w:rsidRPr="00DB5A8A" w:rsidRDefault="00ED1809" w:rsidP="00DB5A8A">
      <w:pPr>
        <w:ind w:firstLineChars="0" w:firstLine="0"/>
        <w:jc w:val="center"/>
        <w:rPr>
          <w:rFonts w:eastAsia="黑体"/>
          <w:sz w:val="24"/>
          <w:szCs w:val="21"/>
        </w:rPr>
      </w:pPr>
      <w:r w:rsidRPr="00DB5A8A">
        <w:rPr>
          <w:rFonts w:eastAsia="黑体" w:hint="eastAsia"/>
          <w:sz w:val="24"/>
          <w:szCs w:val="21"/>
        </w:rPr>
        <w:t>图</w:t>
      </w:r>
      <w:r w:rsidRPr="00DB5A8A">
        <w:rPr>
          <w:rFonts w:eastAsia="黑体" w:hint="eastAsia"/>
          <w:sz w:val="24"/>
          <w:szCs w:val="21"/>
        </w:rPr>
        <w:t>2-6  2005-2020</w:t>
      </w:r>
      <w:r w:rsidRPr="00DB5A8A">
        <w:rPr>
          <w:rFonts w:eastAsia="黑体" w:hint="eastAsia"/>
          <w:sz w:val="24"/>
          <w:szCs w:val="21"/>
        </w:rPr>
        <w:t>年不同运输方式</w:t>
      </w:r>
      <w:r w:rsidR="000759D0">
        <w:rPr>
          <w:rFonts w:eastAsia="黑体" w:hint="eastAsia"/>
          <w:sz w:val="24"/>
          <w:szCs w:val="21"/>
        </w:rPr>
        <w:t>碳</w:t>
      </w:r>
      <w:r w:rsidRPr="00DB5A8A">
        <w:rPr>
          <w:rFonts w:eastAsia="黑体" w:hint="eastAsia"/>
          <w:sz w:val="24"/>
          <w:szCs w:val="21"/>
        </w:rPr>
        <w:t>排放量及占比</w:t>
      </w:r>
    </w:p>
    <w:p w14:paraId="440F8BAB" w14:textId="3E423082" w:rsidR="00ED1809" w:rsidRDefault="00ED1809" w:rsidP="00ED1809">
      <w:pPr>
        <w:ind w:firstLineChars="0" w:firstLine="0"/>
      </w:pPr>
      <w:r>
        <w:rPr>
          <w:noProof/>
        </w:rPr>
        <w:drawing>
          <wp:inline distT="0" distB="0" distL="114300" distR="114300" wp14:anchorId="0CB87AE4" wp14:editId="1C4F346D">
            <wp:extent cx="2413000" cy="1746885"/>
            <wp:effectExtent l="0" t="0" r="0" b="5715"/>
            <wp:docPr id="3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5"/>
                    <pic:cNvPicPr>
                      <a:picLocks noChangeAspect="1"/>
                    </pic:cNvPicPr>
                  </pic:nvPicPr>
                  <pic:blipFill>
                    <a:blip r:embed="rId21"/>
                    <a:stretch>
                      <a:fillRect/>
                    </a:stretch>
                  </pic:blipFill>
                  <pic:spPr>
                    <a:xfrm>
                      <a:off x="0" y="0"/>
                      <a:ext cx="2413000" cy="1746885"/>
                    </a:xfrm>
                    <a:prstGeom prst="rect">
                      <a:avLst/>
                    </a:prstGeom>
                    <a:noFill/>
                    <a:ln>
                      <a:noFill/>
                    </a:ln>
                  </pic:spPr>
                </pic:pic>
              </a:graphicData>
            </a:graphic>
          </wp:inline>
        </w:drawing>
      </w:r>
      <w:r>
        <w:rPr>
          <w:noProof/>
        </w:rPr>
        <w:drawing>
          <wp:inline distT="0" distB="0" distL="114300" distR="114300" wp14:anchorId="0C4BB496" wp14:editId="4F5B8B4C">
            <wp:extent cx="2378710" cy="1751330"/>
            <wp:effectExtent l="0" t="0" r="8890" b="1270"/>
            <wp:docPr id="1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6"/>
                    <pic:cNvPicPr>
                      <a:picLocks noChangeAspect="1"/>
                    </pic:cNvPicPr>
                  </pic:nvPicPr>
                  <pic:blipFill>
                    <a:blip r:embed="rId22"/>
                    <a:stretch>
                      <a:fillRect/>
                    </a:stretch>
                  </pic:blipFill>
                  <pic:spPr>
                    <a:xfrm>
                      <a:off x="0" y="0"/>
                      <a:ext cx="2378710" cy="1751330"/>
                    </a:xfrm>
                    <a:prstGeom prst="rect">
                      <a:avLst/>
                    </a:prstGeom>
                    <a:noFill/>
                    <a:ln>
                      <a:noFill/>
                    </a:ln>
                  </pic:spPr>
                </pic:pic>
              </a:graphicData>
            </a:graphic>
          </wp:inline>
        </w:drawing>
      </w:r>
    </w:p>
    <w:p w14:paraId="4F226DF3" w14:textId="12122EC1" w:rsidR="00ED1809" w:rsidRPr="00DB5A8A" w:rsidRDefault="00ED1809" w:rsidP="00DB5A8A">
      <w:pPr>
        <w:ind w:firstLineChars="0" w:firstLine="0"/>
        <w:jc w:val="center"/>
        <w:rPr>
          <w:rFonts w:eastAsia="黑体"/>
          <w:sz w:val="24"/>
          <w:szCs w:val="21"/>
        </w:rPr>
      </w:pPr>
      <w:r w:rsidRPr="00DB5A8A">
        <w:rPr>
          <w:rFonts w:eastAsia="黑体" w:hint="eastAsia"/>
          <w:sz w:val="24"/>
          <w:szCs w:val="21"/>
        </w:rPr>
        <w:t>图</w:t>
      </w:r>
      <w:r w:rsidRPr="00DB5A8A">
        <w:rPr>
          <w:rFonts w:eastAsia="黑体" w:hint="eastAsia"/>
          <w:sz w:val="24"/>
          <w:szCs w:val="21"/>
        </w:rPr>
        <w:t>2-7  2005</w:t>
      </w:r>
      <w:r w:rsidRPr="00DB5A8A">
        <w:rPr>
          <w:rFonts w:eastAsia="黑体" w:hint="eastAsia"/>
          <w:sz w:val="24"/>
          <w:szCs w:val="21"/>
        </w:rPr>
        <w:t>年和</w:t>
      </w:r>
      <w:r w:rsidRPr="00DB5A8A">
        <w:rPr>
          <w:rFonts w:eastAsia="黑体" w:hint="eastAsia"/>
          <w:sz w:val="24"/>
          <w:szCs w:val="21"/>
        </w:rPr>
        <w:t>2020</w:t>
      </w:r>
      <w:r w:rsidRPr="00DB5A8A">
        <w:rPr>
          <w:rFonts w:eastAsia="黑体" w:hint="eastAsia"/>
          <w:sz w:val="24"/>
          <w:szCs w:val="21"/>
        </w:rPr>
        <w:t>年不同交通运输子行业碳排放占比</w:t>
      </w:r>
    </w:p>
    <w:p w14:paraId="2FA000BB" w14:textId="77777777" w:rsidR="000759D0" w:rsidRPr="000759D0" w:rsidRDefault="000759D0" w:rsidP="000759D0">
      <w:pPr>
        <w:pStyle w:val="4"/>
      </w:pPr>
      <w:r w:rsidRPr="000759D0">
        <w:rPr>
          <w:rFonts w:hint="eastAsia"/>
        </w:rPr>
        <w:lastRenderedPageBreak/>
        <w:t>（</w:t>
      </w:r>
      <w:r w:rsidRPr="000759D0">
        <w:rPr>
          <w:rFonts w:hint="eastAsia"/>
        </w:rPr>
        <w:t>2</w:t>
      </w:r>
      <w:r w:rsidRPr="000759D0">
        <w:rPr>
          <w:rFonts w:hint="eastAsia"/>
        </w:rPr>
        <w:t>）</w:t>
      </w:r>
      <w:r w:rsidR="00ED1809" w:rsidRPr="000759D0">
        <w:rPr>
          <w:rFonts w:hint="eastAsia"/>
        </w:rPr>
        <w:t>交通运输能源消费结构中柴油仍占绝对比重，天然气和电力等清洁能源消费占比稳步上升。</w:t>
      </w:r>
    </w:p>
    <w:p w14:paraId="565037E8" w14:textId="0571F691" w:rsidR="00ED1809" w:rsidRDefault="005950C4" w:rsidP="00ED1809">
      <w:pPr>
        <w:ind w:firstLine="560"/>
      </w:pPr>
      <w:r>
        <w:rPr>
          <w:rFonts w:hint="eastAsia"/>
        </w:rPr>
        <w:t>中国交通部门</w:t>
      </w:r>
      <w:r w:rsidR="00ED1809" w:rsidRPr="00ED1809">
        <w:rPr>
          <w:rFonts w:hint="eastAsia"/>
        </w:rPr>
        <w:t>能源消费结构逐步改善与优化。历年来交通运输能源消费结构中柴油和汽油占比仍占绝对比重，其次是航空煤油、燃料油、电力和天然气。其中柴油占交通</w:t>
      </w:r>
      <w:r w:rsidRPr="005950C4">
        <w:rPr>
          <w:rFonts w:hint="eastAsia"/>
        </w:rPr>
        <w:t>部门</w:t>
      </w:r>
      <w:r w:rsidR="00ED1809" w:rsidRPr="00ED1809">
        <w:rPr>
          <w:rFonts w:hint="eastAsia"/>
        </w:rPr>
        <w:t>能源消费比重稳步下降，汽油占比大幅增加，</w:t>
      </w:r>
      <w:r w:rsidR="00ED1809" w:rsidRPr="00ED1809">
        <w:rPr>
          <w:rFonts w:hint="eastAsia"/>
        </w:rPr>
        <w:t>2020</w:t>
      </w:r>
      <w:r w:rsidR="00ED1809" w:rsidRPr="00ED1809">
        <w:rPr>
          <w:rFonts w:hint="eastAsia"/>
        </w:rPr>
        <w:t>年汽油和柴油占比分别为</w:t>
      </w:r>
      <w:r w:rsidR="00ED1809" w:rsidRPr="00ED1809">
        <w:rPr>
          <w:rFonts w:hint="eastAsia"/>
        </w:rPr>
        <w:t>29.69%</w:t>
      </w:r>
      <w:r w:rsidR="00ED1809" w:rsidRPr="00ED1809">
        <w:rPr>
          <w:rFonts w:hint="eastAsia"/>
        </w:rPr>
        <w:t>和</w:t>
      </w:r>
      <w:r w:rsidR="00ED1809" w:rsidRPr="00ED1809">
        <w:rPr>
          <w:rFonts w:hint="eastAsia"/>
        </w:rPr>
        <w:t>48.86%</w:t>
      </w:r>
      <w:r w:rsidR="00ED1809" w:rsidRPr="00ED1809">
        <w:rPr>
          <w:rFonts w:hint="eastAsia"/>
        </w:rPr>
        <w:t>。随着民航运输需求的大幅提升，航空煤油已成为交通</w:t>
      </w:r>
      <w:r w:rsidRPr="005950C4">
        <w:rPr>
          <w:rFonts w:hint="eastAsia"/>
        </w:rPr>
        <w:t>部门</w:t>
      </w:r>
      <w:r w:rsidR="00ED1809" w:rsidRPr="00ED1809">
        <w:rPr>
          <w:rFonts w:hint="eastAsia"/>
        </w:rPr>
        <w:t>的第三大能源消费品种，</w:t>
      </w:r>
      <w:r w:rsidR="00ED1809" w:rsidRPr="00ED1809">
        <w:rPr>
          <w:rFonts w:hint="eastAsia"/>
        </w:rPr>
        <w:t>2020</w:t>
      </w:r>
      <w:r w:rsidR="00ED1809" w:rsidRPr="00ED1809">
        <w:rPr>
          <w:rFonts w:hint="eastAsia"/>
        </w:rPr>
        <w:t>年能耗占比达到</w:t>
      </w:r>
      <w:r w:rsidR="00ED1809" w:rsidRPr="00ED1809">
        <w:rPr>
          <w:rFonts w:hint="eastAsia"/>
        </w:rPr>
        <w:t>8.18%</w:t>
      </w:r>
      <w:r w:rsidR="00ED1809" w:rsidRPr="00ED1809">
        <w:rPr>
          <w:rFonts w:hint="eastAsia"/>
        </w:rPr>
        <w:t>；燃料油已成为交通</w:t>
      </w:r>
      <w:r w:rsidRPr="005950C4">
        <w:rPr>
          <w:rFonts w:hint="eastAsia"/>
        </w:rPr>
        <w:t>部门</w:t>
      </w:r>
      <w:r w:rsidR="00ED1809" w:rsidRPr="00ED1809">
        <w:rPr>
          <w:rFonts w:hint="eastAsia"/>
        </w:rPr>
        <w:t>的第四大能源消费品种；随着铁路电气化、新能源车推广和城市轨道交通的快速发展和港口装卸机械设备“油改电”技术推广，电力消费量大幅上升，电力在交通</w:t>
      </w:r>
      <w:r w:rsidRPr="005950C4">
        <w:rPr>
          <w:rFonts w:hint="eastAsia"/>
        </w:rPr>
        <w:t>部门</w:t>
      </w:r>
      <w:r w:rsidR="00ED1809" w:rsidRPr="00ED1809">
        <w:rPr>
          <w:rFonts w:hint="eastAsia"/>
        </w:rPr>
        <w:t>能源消费中所占比重稳步提高，</w:t>
      </w:r>
      <w:r w:rsidR="00ED1809" w:rsidRPr="00ED1809">
        <w:rPr>
          <w:rFonts w:hint="eastAsia"/>
        </w:rPr>
        <w:t>2020</w:t>
      </w:r>
      <w:r w:rsidR="00ED1809" w:rsidRPr="00ED1809">
        <w:rPr>
          <w:rFonts w:hint="eastAsia"/>
        </w:rPr>
        <w:t>年占比达到</w:t>
      </w:r>
      <w:r w:rsidR="00ED1809" w:rsidRPr="00ED1809">
        <w:rPr>
          <w:rFonts w:hint="eastAsia"/>
        </w:rPr>
        <w:t>7.1%</w:t>
      </w:r>
      <w:r w:rsidR="00ED1809" w:rsidRPr="00ED1809">
        <w:rPr>
          <w:rFonts w:hint="eastAsia"/>
        </w:rPr>
        <w:t>；随着天然气清洁能源在城市公交、出租车、公路客货车辆中的普及应用，天然气消费占比呈稳步上升趋势。</w:t>
      </w:r>
    </w:p>
    <w:p w14:paraId="0A14A831" w14:textId="03E26EBD" w:rsidR="00ED1809" w:rsidRDefault="00ED1809" w:rsidP="00ED1809">
      <w:pPr>
        <w:ind w:firstLineChars="0" w:firstLine="0"/>
      </w:pPr>
      <w:r>
        <w:rPr>
          <w:noProof/>
        </w:rPr>
        <w:drawing>
          <wp:inline distT="0" distB="0" distL="114300" distR="114300" wp14:anchorId="20BEFB77" wp14:editId="39C2E6A2">
            <wp:extent cx="5220000" cy="2923200"/>
            <wp:effectExtent l="0" t="0" r="0" b="0"/>
            <wp:docPr id="38" name="图片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图片 54"/>
                    <pic:cNvPicPr>
                      <a:picLocks noChangeAspect="1"/>
                    </pic:cNvPicPr>
                  </pic:nvPicPr>
                  <pic:blipFill>
                    <a:blip r:embed="rId23"/>
                    <a:stretch>
                      <a:fillRect/>
                    </a:stretch>
                  </pic:blipFill>
                  <pic:spPr>
                    <a:xfrm>
                      <a:off x="0" y="0"/>
                      <a:ext cx="5220000" cy="2923200"/>
                    </a:xfrm>
                    <a:prstGeom prst="rect">
                      <a:avLst/>
                    </a:prstGeom>
                    <a:noFill/>
                    <a:ln>
                      <a:noFill/>
                    </a:ln>
                  </pic:spPr>
                </pic:pic>
              </a:graphicData>
            </a:graphic>
          </wp:inline>
        </w:drawing>
      </w:r>
    </w:p>
    <w:p w14:paraId="145F40D1" w14:textId="3E7187C1" w:rsidR="00ED1809" w:rsidRPr="00DB5A8A" w:rsidRDefault="00ED1809" w:rsidP="00DB5A8A">
      <w:pPr>
        <w:ind w:firstLineChars="0" w:firstLine="0"/>
        <w:jc w:val="center"/>
        <w:rPr>
          <w:rFonts w:eastAsia="黑体"/>
          <w:sz w:val="24"/>
          <w:szCs w:val="21"/>
        </w:rPr>
      </w:pPr>
      <w:r w:rsidRPr="00DB5A8A">
        <w:rPr>
          <w:rFonts w:eastAsia="黑体" w:hint="eastAsia"/>
          <w:sz w:val="24"/>
          <w:szCs w:val="21"/>
        </w:rPr>
        <w:t>图</w:t>
      </w:r>
      <w:r w:rsidRPr="00DB5A8A">
        <w:rPr>
          <w:rFonts w:eastAsia="黑体" w:hint="eastAsia"/>
          <w:sz w:val="24"/>
          <w:szCs w:val="21"/>
        </w:rPr>
        <w:t>2-8 2005-2020</w:t>
      </w:r>
      <w:r w:rsidRPr="00DB5A8A">
        <w:rPr>
          <w:rFonts w:eastAsia="黑体" w:hint="eastAsia"/>
          <w:sz w:val="24"/>
          <w:szCs w:val="21"/>
        </w:rPr>
        <w:t>年中国交通</w:t>
      </w:r>
      <w:r w:rsidR="005950C4">
        <w:rPr>
          <w:rFonts w:eastAsia="黑体" w:hint="eastAsia"/>
          <w:sz w:val="24"/>
          <w:szCs w:val="21"/>
        </w:rPr>
        <w:t>部门</w:t>
      </w:r>
      <w:r w:rsidRPr="00DB5A8A">
        <w:rPr>
          <w:rFonts w:eastAsia="黑体" w:hint="eastAsia"/>
          <w:sz w:val="24"/>
          <w:szCs w:val="21"/>
        </w:rPr>
        <w:t>能源消费结构</w:t>
      </w:r>
    </w:p>
    <w:p w14:paraId="1C5AD844" w14:textId="6CD430E6" w:rsidR="00ED1809" w:rsidRDefault="00ED1809" w:rsidP="00ED1809">
      <w:pPr>
        <w:ind w:firstLineChars="0" w:firstLine="0"/>
      </w:pPr>
    </w:p>
    <w:p w14:paraId="63ABE9DF" w14:textId="64E0DCCC" w:rsidR="00ED1809" w:rsidRDefault="00852FE0" w:rsidP="00852FE0">
      <w:pPr>
        <w:ind w:firstLineChars="0" w:firstLine="0"/>
        <w:jc w:val="center"/>
      </w:pPr>
      <w:r>
        <w:rPr>
          <w:noProof/>
        </w:rPr>
        <w:lastRenderedPageBreak/>
        <w:drawing>
          <wp:inline distT="0" distB="0" distL="114300" distR="114300" wp14:anchorId="21836477" wp14:editId="42D9E226">
            <wp:extent cx="3970300" cy="2455333"/>
            <wp:effectExtent l="0" t="0" r="0" b="2540"/>
            <wp:docPr id="3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5"/>
                    <pic:cNvPicPr>
                      <a:picLocks noChangeAspect="1"/>
                    </pic:cNvPicPr>
                  </pic:nvPicPr>
                  <pic:blipFill>
                    <a:blip r:embed="rId24"/>
                    <a:stretch>
                      <a:fillRect/>
                    </a:stretch>
                  </pic:blipFill>
                  <pic:spPr>
                    <a:xfrm>
                      <a:off x="0" y="0"/>
                      <a:ext cx="3983518" cy="2463507"/>
                    </a:xfrm>
                    <a:prstGeom prst="rect">
                      <a:avLst/>
                    </a:prstGeom>
                    <a:noFill/>
                    <a:ln>
                      <a:noFill/>
                    </a:ln>
                  </pic:spPr>
                </pic:pic>
              </a:graphicData>
            </a:graphic>
          </wp:inline>
        </w:drawing>
      </w:r>
      <w:r w:rsidR="00ED1809">
        <w:rPr>
          <w:noProof/>
        </w:rPr>
        <w:drawing>
          <wp:inline distT="0" distB="0" distL="114300" distR="114300" wp14:anchorId="3A419B2A" wp14:editId="76863D7F">
            <wp:extent cx="4030133" cy="2419466"/>
            <wp:effectExtent l="0" t="0" r="8890" b="0"/>
            <wp:docPr id="4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6"/>
                    <pic:cNvPicPr>
                      <a:picLocks noChangeAspect="1"/>
                    </pic:cNvPicPr>
                  </pic:nvPicPr>
                  <pic:blipFill>
                    <a:blip r:embed="rId25"/>
                    <a:stretch>
                      <a:fillRect/>
                    </a:stretch>
                  </pic:blipFill>
                  <pic:spPr>
                    <a:xfrm>
                      <a:off x="0" y="0"/>
                      <a:ext cx="4035572" cy="2422731"/>
                    </a:xfrm>
                    <a:prstGeom prst="rect">
                      <a:avLst/>
                    </a:prstGeom>
                    <a:noFill/>
                    <a:ln>
                      <a:noFill/>
                    </a:ln>
                  </pic:spPr>
                </pic:pic>
              </a:graphicData>
            </a:graphic>
          </wp:inline>
        </w:drawing>
      </w:r>
    </w:p>
    <w:p w14:paraId="575E077B" w14:textId="6BB0C9AE" w:rsidR="00ED1809" w:rsidRDefault="00ED1809" w:rsidP="00852FE0">
      <w:pPr>
        <w:ind w:firstLineChars="0" w:firstLine="0"/>
        <w:jc w:val="center"/>
      </w:pPr>
      <w:r>
        <w:rPr>
          <w:noProof/>
        </w:rPr>
        <w:drawing>
          <wp:inline distT="0" distB="0" distL="114300" distR="114300" wp14:anchorId="1B3EFE3E" wp14:editId="2E0641A8">
            <wp:extent cx="3970655" cy="2383621"/>
            <wp:effectExtent l="0" t="0" r="0" b="0"/>
            <wp:docPr id="4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7"/>
                    <pic:cNvPicPr>
                      <a:picLocks noChangeAspect="1"/>
                    </pic:cNvPicPr>
                  </pic:nvPicPr>
                  <pic:blipFill>
                    <a:blip r:embed="rId26"/>
                    <a:stretch>
                      <a:fillRect/>
                    </a:stretch>
                  </pic:blipFill>
                  <pic:spPr>
                    <a:xfrm>
                      <a:off x="0" y="0"/>
                      <a:ext cx="3992176" cy="2396541"/>
                    </a:xfrm>
                    <a:prstGeom prst="rect">
                      <a:avLst/>
                    </a:prstGeom>
                    <a:noFill/>
                    <a:ln>
                      <a:noFill/>
                    </a:ln>
                  </pic:spPr>
                </pic:pic>
              </a:graphicData>
            </a:graphic>
          </wp:inline>
        </w:drawing>
      </w:r>
    </w:p>
    <w:p w14:paraId="7836000F" w14:textId="08456BB8" w:rsidR="00ED1809" w:rsidRPr="00DB5A8A" w:rsidRDefault="00ED1809" w:rsidP="00DB5A8A">
      <w:pPr>
        <w:ind w:firstLineChars="0" w:firstLine="0"/>
        <w:jc w:val="center"/>
        <w:rPr>
          <w:rFonts w:eastAsia="黑体"/>
          <w:sz w:val="24"/>
          <w:szCs w:val="21"/>
        </w:rPr>
      </w:pPr>
      <w:r w:rsidRPr="00DB5A8A">
        <w:rPr>
          <w:rFonts w:eastAsia="黑体" w:hint="eastAsia"/>
          <w:sz w:val="24"/>
          <w:szCs w:val="21"/>
        </w:rPr>
        <w:t>图</w:t>
      </w:r>
      <w:r w:rsidRPr="00DB5A8A">
        <w:rPr>
          <w:rFonts w:eastAsia="黑体" w:hint="eastAsia"/>
          <w:sz w:val="24"/>
          <w:szCs w:val="21"/>
        </w:rPr>
        <w:t>2-9 2005</w:t>
      </w:r>
      <w:r w:rsidRPr="00DB5A8A">
        <w:rPr>
          <w:rFonts w:eastAsia="黑体" w:hint="eastAsia"/>
          <w:sz w:val="24"/>
          <w:szCs w:val="21"/>
        </w:rPr>
        <w:t>、</w:t>
      </w:r>
      <w:r w:rsidRPr="00DB5A8A">
        <w:rPr>
          <w:rFonts w:eastAsia="黑体" w:hint="eastAsia"/>
          <w:sz w:val="24"/>
          <w:szCs w:val="21"/>
        </w:rPr>
        <w:t>2010</w:t>
      </w:r>
      <w:r w:rsidRPr="00DB5A8A">
        <w:rPr>
          <w:rFonts w:eastAsia="黑体" w:hint="eastAsia"/>
          <w:sz w:val="24"/>
          <w:szCs w:val="21"/>
        </w:rPr>
        <w:t>和</w:t>
      </w:r>
      <w:r w:rsidRPr="00DB5A8A">
        <w:rPr>
          <w:rFonts w:eastAsia="黑体" w:hint="eastAsia"/>
          <w:sz w:val="24"/>
          <w:szCs w:val="21"/>
        </w:rPr>
        <w:t>2020</w:t>
      </w:r>
      <w:r w:rsidRPr="00DB5A8A">
        <w:rPr>
          <w:rFonts w:eastAsia="黑体" w:hint="eastAsia"/>
          <w:sz w:val="24"/>
          <w:szCs w:val="21"/>
        </w:rPr>
        <w:t>年中国交通</w:t>
      </w:r>
      <w:r w:rsidR="005950C4">
        <w:rPr>
          <w:rFonts w:eastAsia="黑体" w:hint="eastAsia"/>
          <w:sz w:val="24"/>
          <w:szCs w:val="21"/>
        </w:rPr>
        <w:t>部门</w:t>
      </w:r>
      <w:r w:rsidRPr="00DB5A8A">
        <w:rPr>
          <w:rFonts w:eastAsia="黑体" w:hint="eastAsia"/>
          <w:sz w:val="24"/>
          <w:szCs w:val="21"/>
        </w:rPr>
        <w:t>不同能源消费占比</w:t>
      </w:r>
    </w:p>
    <w:p w14:paraId="5AE122AC" w14:textId="55EAAA06" w:rsidR="00ED1809" w:rsidRDefault="00ED1809" w:rsidP="00ED1809">
      <w:pPr>
        <w:ind w:firstLineChars="0" w:firstLine="0"/>
      </w:pPr>
    </w:p>
    <w:p w14:paraId="26899B1F" w14:textId="5FC8C9A6" w:rsidR="00ED1809" w:rsidRDefault="00ED1809" w:rsidP="000759D0">
      <w:pPr>
        <w:pStyle w:val="4"/>
      </w:pPr>
      <w:r w:rsidRPr="00ED1809">
        <w:rPr>
          <w:rFonts w:hint="eastAsia"/>
        </w:rPr>
        <w:lastRenderedPageBreak/>
        <w:t>2.2.2</w:t>
      </w:r>
      <w:r w:rsidRPr="00ED1809">
        <w:rPr>
          <w:rFonts w:hint="eastAsia"/>
        </w:rPr>
        <w:t>客货领域不同运输方式的碳排放现状分析</w:t>
      </w:r>
    </w:p>
    <w:p w14:paraId="429520DE" w14:textId="21CEB73E" w:rsidR="00ED1809" w:rsidRPr="00ED1809" w:rsidRDefault="00ED1809" w:rsidP="00AF58E9">
      <w:pPr>
        <w:ind w:firstLine="562"/>
        <w:outlineLvl w:val="3"/>
        <w:rPr>
          <w:b/>
          <w:bCs/>
        </w:rPr>
      </w:pPr>
      <w:r w:rsidRPr="00ED1809">
        <w:rPr>
          <w:rFonts w:hint="eastAsia"/>
          <w:b/>
          <w:bCs/>
        </w:rPr>
        <w:t>（</w:t>
      </w:r>
      <w:r w:rsidRPr="00ED1809">
        <w:rPr>
          <w:rFonts w:hint="eastAsia"/>
          <w:b/>
          <w:bCs/>
        </w:rPr>
        <w:t>1</w:t>
      </w:r>
      <w:r w:rsidRPr="00ED1809">
        <w:rPr>
          <w:rFonts w:hint="eastAsia"/>
          <w:b/>
          <w:bCs/>
        </w:rPr>
        <w:t>）公路货运</w:t>
      </w:r>
      <w:r w:rsidR="00852FE0">
        <w:rPr>
          <w:rFonts w:hint="eastAsia"/>
          <w:b/>
          <w:bCs/>
        </w:rPr>
        <w:t>碳</w:t>
      </w:r>
      <w:r w:rsidRPr="00ED1809">
        <w:rPr>
          <w:rFonts w:hint="eastAsia"/>
          <w:b/>
          <w:bCs/>
        </w:rPr>
        <w:t>排放总量最大且增速较快，铁路货运碳排放碳排放量稳步下降，水路货运碳排放量占比保持稳定。</w:t>
      </w:r>
    </w:p>
    <w:p w14:paraId="05A8E52D" w14:textId="110A2181" w:rsidR="00ED1809" w:rsidRDefault="00ED1809" w:rsidP="00ED1809">
      <w:pPr>
        <w:ind w:firstLine="560"/>
      </w:pPr>
      <w:r>
        <w:rPr>
          <w:rFonts w:hint="eastAsia"/>
        </w:rPr>
        <w:t>货运碳排放量稳步上升，公路货运占比仍占绝对比重。近</w:t>
      </w:r>
      <w:r w:rsidRPr="00ED1809">
        <w:rPr>
          <w:rFonts w:hint="eastAsia"/>
        </w:rPr>
        <w:t>年来，在</w:t>
      </w:r>
      <w:r w:rsidR="005950C4">
        <w:rPr>
          <w:rFonts w:hint="eastAsia"/>
        </w:rPr>
        <w:t>中国</w:t>
      </w:r>
      <w:r w:rsidRPr="00ED1809">
        <w:rPr>
          <w:rFonts w:hint="eastAsia"/>
        </w:rPr>
        <w:t>货运行业碳排放中，公路营运货车碳排放占绝对比重，且呈上升趋势，铁路货运碳排放量稳步下降，航空货运行业碳排放占比有所下降，非营运货车、低速货车和管道货运占比总体平稳；港口能耗和碳排放占比逐步下降。公路货运碳排放占货运碳排放比重从</w:t>
      </w:r>
      <w:r w:rsidRPr="00ED1809">
        <w:rPr>
          <w:rFonts w:hint="eastAsia"/>
        </w:rPr>
        <w:t>2005</w:t>
      </w:r>
      <w:r w:rsidRPr="00ED1809">
        <w:rPr>
          <w:rFonts w:hint="eastAsia"/>
        </w:rPr>
        <w:t>年的</w:t>
      </w:r>
      <w:r w:rsidRPr="00ED1809">
        <w:rPr>
          <w:rFonts w:hint="eastAsia"/>
        </w:rPr>
        <w:t>85.16%</w:t>
      </w:r>
      <w:r w:rsidRPr="00ED1809">
        <w:rPr>
          <w:rFonts w:hint="eastAsia"/>
        </w:rPr>
        <w:t>上升至</w:t>
      </w:r>
      <w:r w:rsidRPr="00ED1809">
        <w:rPr>
          <w:rFonts w:hint="eastAsia"/>
        </w:rPr>
        <w:t>2020</w:t>
      </w:r>
      <w:r w:rsidRPr="00ED1809">
        <w:rPr>
          <w:rFonts w:hint="eastAsia"/>
        </w:rPr>
        <w:t>年的</w:t>
      </w:r>
      <w:r w:rsidRPr="00ED1809">
        <w:rPr>
          <w:rFonts w:hint="eastAsia"/>
        </w:rPr>
        <w:t>90.12%</w:t>
      </w:r>
      <w:r w:rsidRPr="00ED1809">
        <w:rPr>
          <w:rFonts w:hint="eastAsia"/>
        </w:rPr>
        <w:t>；铁路货运碳排放量占比从</w:t>
      </w:r>
      <w:r w:rsidRPr="00ED1809">
        <w:rPr>
          <w:rFonts w:hint="eastAsia"/>
        </w:rPr>
        <w:t>2005</w:t>
      </w:r>
      <w:r w:rsidRPr="00ED1809">
        <w:rPr>
          <w:rFonts w:hint="eastAsia"/>
        </w:rPr>
        <w:t>年的</w:t>
      </w:r>
      <w:r w:rsidRPr="00ED1809">
        <w:rPr>
          <w:rFonts w:hint="eastAsia"/>
        </w:rPr>
        <w:t>6.39%</w:t>
      </w:r>
      <w:r w:rsidRPr="00ED1809">
        <w:rPr>
          <w:rFonts w:hint="eastAsia"/>
        </w:rPr>
        <w:t>下降至</w:t>
      </w:r>
      <w:r w:rsidRPr="00ED1809">
        <w:rPr>
          <w:rFonts w:hint="eastAsia"/>
        </w:rPr>
        <w:t>20</w:t>
      </w:r>
      <w:r w:rsidR="00B01D38">
        <w:t>20</w:t>
      </w:r>
      <w:r w:rsidRPr="00ED1809">
        <w:rPr>
          <w:rFonts w:hint="eastAsia"/>
        </w:rPr>
        <w:t>年的</w:t>
      </w:r>
      <w:r w:rsidRPr="00ED1809">
        <w:rPr>
          <w:rFonts w:hint="eastAsia"/>
        </w:rPr>
        <w:t>1.35%</w:t>
      </w:r>
      <w:r w:rsidRPr="00ED1809">
        <w:rPr>
          <w:rFonts w:hint="eastAsia"/>
        </w:rPr>
        <w:t>；民航货运碳排放量由</w:t>
      </w:r>
      <w:r w:rsidRPr="00ED1809">
        <w:rPr>
          <w:rFonts w:hint="eastAsia"/>
        </w:rPr>
        <w:t>2005</w:t>
      </w:r>
      <w:r w:rsidRPr="00ED1809">
        <w:rPr>
          <w:rFonts w:hint="eastAsia"/>
        </w:rPr>
        <w:t>年的</w:t>
      </w:r>
      <w:r w:rsidR="00B01D38">
        <w:t>3.5</w:t>
      </w:r>
      <w:r w:rsidR="00B01D38">
        <w:rPr>
          <w:rFonts w:hint="eastAsia"/>
        </w:rPr>
        <w:t>万吨，增长到</w:t>
      </w:r>
      <w:r w:rsidRPr="00ED1809">
        <w:rPr>
          <w:rFonts w:hint="eastAsia"/>
        </w:rPr>
        <w:t>2020</w:t>
      </w:r>
      <w:r w:rsidRPr="00ED1809">
        <w:rPr>
          <w:rFonts w:hint="eastAsia"/>
        </w:rPr>
        <w:t>年的</w:t>
      </w:r>
      <w:r w:rsidR="00B01D38">
        <w:t>70</w:t>
      </w:r>
      <w:r w:rsidR="00B01D38">
        <w:rPr>
          <w:rFonts w:hint="eastAsia"/>
        </w:rPr>
        <w:t>万吨</w:t>
      </w:r>
      <w:r w:rsidRPr="00ED1809">
        <w:rPr>
          <w:rFonts w:hint="eastAsia"/>
        </w:rPr>
        <w:t>，水路货运碳排放量</w:t>
      </w:r>
      <w:r w:rsidR="004A5413">
        <w:rPr>
          <w:rFonts w:hint="eastAsia"/>
        </w:rPr>
        <w:t>从</w:t>
      </w:r>
      <w:r w:rsidR="004A5413" w:rsidRPr="00ED1809">
        <w:rPr>
          <w:rFonts w:hint="eastAsia"/>
        </w:rPr>
        <w:t>2005</w:t>
      </w:r>
      <w:r w:rsidR="004A5413" w:rsidRPr="00ED1809">
        <w:rPr>
          <w:rFonts w:hint="eastAsia"/>
        </w:rPr>
        <w:t>年的</w:t>
      </w:r>
      <w:r w:rsidR="004A5413">
        <w:rPr>
          <w:rFonts w:hint="eastAsia"/>
        </w:rPr>
        <w:t>2</w:t>
      </w:r>
      <w:r w:rsidR="004A5413">
        <w:t>300</w:t>
      </w:r>
      <w:r w:rsidR="004A5413">
        <w:rPr>
          <w:rFonts w:hint="eastAsia"/>
        </w:rPr>
        <w:t>万吨增长</w:t>
      </w:r>
      <w:r w:rsidR="004A5413">
        <w:rPr>
          <w:rFonts w:hint="eastAsia"/>
        </w:rPr>
        <w:t>2</w:t>
      </w:r>
      <w:r w:rsidR="004A5413">
        <w:t>060</w:t>
      </w:r>
      <w:r w:rsidR="004A5413">
        <w:rPr>
          <w:rFonts w:hint="eastAsia"/>
        </w:rPr>
        <w:t>年的</w:t>
      </w:r>
      <w:r w:rsidR="004A5413">
        <w:rPr>
          <w:rFonts w:hint="eastAsia"/>
        </w:rPr>
        <w:t>5</w:t>
      </w:r>
      <w:r w:rsidR="004A5413">
        <w:t>600</w:t>
      </w:r>
      <w:r w:rsidR="004A5413">
        <w:rPr>
          <w:rFonts w:hint="eastAsia"/>
        </w:rPr>
        <w:t>万吨，</w:t>
      </w:r>
      <w:r w:rsidRPr="00ED1809">
        <w:rPr>
          <w:rFonts w:hint="eastAsia"/>
        </w:rPr>
        <w:t>占比保持稳定。</w:t>
      </w:r>
    </w:p>
    <w:p w14:paraId="0963FDDC" w14:textId="4C99118D" w:rsidR="00ED1809" w:rsidRDefault="00ED1809" w:rsidP="00ED1809">
      <w:pPr>
        <w:ind w:firstLineChars="0" w:firstLine="0"/>
      </w:pPr>
      <w:r>
        <w:rPr>
          <w:noProof/>
        </w:rPr>
        <w:drawing>
          <wp:inline distT="0" distB="0" distL="114300" distR="114300" wp14:anchorId="27433447" wp14:editId="5DCE7570">
            <wp:extent cx="5219305" cy="2954866"/>
            <wp:effectExtent l="0" t="0" r="635" b="0"/>
            <wp:docPr id="4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5"/>
                    <pic:cNvPicPr>
                      <a:picLocks noChangeAspect="1"/>
                    </pic:cNvPicPr>
                  </pic:nvPicPr>
                  <pic:blipFill>
                    <a:blip r:embed="rId27"/>
                    <a:stretch>
                      <a:fillRect/>
                    </a:stretch>
                  </pic:blipFill>
                  <pic:spPr>
                    <a:xfrm>
                      <a:off x="0" y="0"/>
                      <a:ext cx="5222172" cy="2956489"/>
                    </a:xfrm>
                    <a:prstGeom prst="rect">
                      <a:avLst/>
                    </a:prstGeom>
                    <a:noFill/>
                    <a:ln>
                      <a:noFill/>
                    </a:ln>
                  </pic:spPr>
                </pic:pic>
              </a:graphicData>
            </a:graphic>
          </wp:inline>
        </w:drawing>
      </w:r>
    </w:p>
    <w:p w14:paraId="51814C65" w14:textId="36FBA4A3" w:rsidR="00ED1809" w:rsidRPr="00DB5A8A" w:rsidRDefault="00ED1809" w:rsidP="00DB5A8A">
      <w:pPr>
        <w:ind w:firstLineChars="0" w:firstLine="0"/>
        <w:jc w:val="center"/>
        <w:rPr>
          <w:rFonts w:eastAsia="黑体"/>
          <w:sz w:val="24"/>
          <w:szCs w:val="21"/>
        </w:rPr>
      </w:pPr>
      <w:r w:rsidRPr="00DB5A8A">
        <w:rPr>
          <w:rFonts w:eastAsia="黑体" w:hint="eastAsia"/>
          <w:sz w:val="24"/>
          <w:szCs w:val="21"/>
        </w:rPr>
        <w:t>图</w:t>
      </w:r>
      <w:r w:rsidRPr="00DB5A8A">
        <w:rPr>
          <w:rFonts w:eastAsia="黑体" w:hint="eastAsia"/>
          <w:sz w:val="24"/>
          <w:szCs w:val="21"/>
        </w:rPr>
        <w:t xml:space="preserve">2-10  </w:t>
      </w:r>
      <w:r w:rsidRPr="00DB5A8A">
        <w:rPr>
          <w:rFonts w:eastAsia="黑体" w:hint="eastAsia"/>
          <w:sz w:val="24"/>
          <w:szCs w:val="21"/>
        </w:rPr>
        <w:t>货物运输</w:t>
      </w:r>
      <w:r w:rsidR="008102C6">
        <w:rPr>
          <w:rFonts w:eastAsia="黑体" w:hint="eastAsia"/>
          <w:sz w:val="24"/>
          <w:szCs w:val="21"/>
        </w:rPr>
        <w:t>碳</w:t>
      </w:r>
      <w:r w:rsidRPr="00DB5A8A">
        <w:rPr>
          <w:rFonts w:eastAsia="黑体" w:hint="eastAsia"/>
          <w:sz w:val="24"/>
          <w:szCs w:val="21"/>
        </w:rPr>
        <w:t>排放情况</w:t>
      </w:r>
    </w:p>
    <w:p w14:paraId="4676D809" w14:textId="560D07F9" w:rsidR="00ED1809" w:rsidRDefault="00ED1809" w:rsidP="00ED1809">
      <w:pPr>
        <w:ind w:firstLineChars="0" w:firstLine="0"/>
      </w:pPr>
      <w:r>
        <w:rPr>
          <w:noProof/>
        </w:rPr>
        <w:lastRenderedPageBreak/>
        <w:drawing>
          <wp:inline distT="0" distB="0" distL="114300" distR="114300" wp14:anchorId="4CF7BEE3" wp14:editId="5C938E83">
            <wp:extent cx="5219695" cy="2743200"/>
            <wp:effectExtent l="0" t="0" r="635" b="0"/>
            <wp:docPr id="4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0"/>
                    <pic:cNvPicPr>
                      <a:picLocks noChangeAspect="1"/>
                    </pic:cNvPicPr>
                  </pic:nvPicPr>
                  <pic:blipFill>
                    <a:blip r:embed="rId28"/>
                    <a:stretch>
                      <a:fillRect/>
                    </a:stretch>
                  </pic:blipFill>
                  <pic:spPr>
                    <a:xfrm>
                      <a:off x="0" y="0"/>
                      <a:ext cx="5222520" cy="2744685"/>
                    </a:xfrm>
                    <a:prstGeom prst="rect">
                      <a:avLst/>
                    </a:prstGeom>
                    <a:noFill/>
                    <a:ln>
                      <a:noFill/>
                    </a:ln>
                  </pic:spPr>
                </pic:pic>
              </a:graphicData>
            </a:graphic>
          </wp:inline>
        </w:drawing>
      </w:r>
    </w:p>
    <w:p w14:paraId="44AFB60A" w14:textId="3D54B6C0" w:rsidR="00ED1809" w:rsidRPr="00DB5A8A" w:rsidRDefault="00ED1809" w:rsidP="00DB5A8A">
      <w:pPr>
        <w:ind w:firstLineChars="0" w:firstLine="0"/>
        <w:jc w:val="center"/>
        <w:rPr>
          <w:rFonts w:eastAsia="黑体"/>
          <w:sz w:val="24"/>
          <w:szCs w:val="21"/>
        </w:rPr>
      </w:pPr>
      <w:r w:rsidRPr="00DB5A8A">
        <w:rPr>
          <w:rFonts w:eastAsia="黑体" w:hint="eastAsia"/>
          <w:sz w:val="24"/>
          <w:szCs w:val="21"/>
        </w:rPr>
        <w:t>图</w:t>
      </w:r>
      <w:r w:rsidRPr="00DB5A8A">
        <w:rPr>
          <w:rFonts w:eastAsia="黑体" w:hint="eastAsia"/>
          <w:sz w:val="24"/>
          <w:szCs w:val="21"/>
        </w:rPr>
        <w:t xml:space="preserve">2-11  </w:t>
      </w:r>
      <w:r w:rsidRPr="00DB5A8A">
        <w:rPr>
          <w:rFonts w:eastAsia="黑体" w:hint="eastAsia"/>
          <w:sz w:val="24"/>
          <w:szCs w:val="21"/>
        </w:rPr>
        <w:t>货物运输</w:t>
      </w:r>
      <w:r w:rsidR="008102C6">
        <w:rPr>
          <w:rFonts w:eastAsia="黑体" w:hint="eastAsia"/>
          <w:sz w:val="24"/>
          <w:szCs w:val="21"/>
        </w:rPr>
        <w:t>碳</w:t>
      </w:r>
      <w:r w:rsidRPr="00DB5A8A">
        <w:rPr>
          <w:rFonts w:eastAsia="黑体" w:hint="eastAsia"/>
          <w:sz w:val="24"/>
          <w:szCs w:val="21"/>
        </w:rPr>
        <w:t>排放占比</w:t>
      </w:r>
    </w:p>
    <w:p w14:paraId="03E7773A" w14:textId="0884B3BD" w:rsidR="00ED1809" w:rsidRDefault="00ED1809" w:rsidP="00ED1809">
      <w:pPr>
        <w:ind w:firstLineChars="0" w:firstLine="0"/>
      </w:pPr>
      <w:r>
        <w:rPr>
          <w:noProof/>
        </w:rPr>
        <w:drawing>
          <wp:inline distT="0" distB="0" distL="114300" distR="114300" wp14:anchorId="65F01B12" wp14:editId="7CF74A2E">
            <wp:extent cx="5248275" cy="3251200"/>
            <wp:effectExtent l="0" t="0" r="9525" b="6350"/>
            <wp:docPr id="4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1"/>
                    <pic:cNvPicPr>
                      <a:picLocks noChangeAspect="1"/>
                    </pic:cNvPicPr>
                  </pic:nvPicPr>
                  <pic:blipFill>
                    <a:blip r:embed="rId29"/>
                    <a:stretch>
                      <a:fillRect/>
                    </a:stretch>
                  </pic:blipFill>
                  <pic:spPr>
                    <a:xfrm>
                      <a:off x="0" y="0"/>
                      <a:ext cx="5251105" cy="3252953"/>
                    </a:xfrm>
                    <a:prstGeom prst="rect">
                      <a:avLst/>
                    </a:prstGeom>
                    <a:noFill/>
                    <a:ln>
                      <a:noFill/>
                    </a:ln>
                  </pic:spPr>
                </pic:pic>
              </a:graphicData>
            </a:graphic>
          </wp:inline>
        </w:drawing>
      </w:r>
    </w:p>
    <w:p w14:paraId="58B8CDAA" w14:textId="7416D052" w:rsidR="00ED1809" w:rsidRPr="00DB5A8A" w:rsidRDefault="00ED1809" w:rsidP="00DB5A8A">
      <w:pPr>
        <w:ind w:firstLineChars="0" w:firstLine="0"/>
        <w:jc w:val="center"/>
        <w:rPr>
          <w:rFonts w:eastAsia="黑体"/>
          <w:sz w:val="24"/>
          <w:szCs w:val="21"/>
        </w:rPr>
      </w:pPr>
      <w:r w:rsidRPr="00DB5A8A">
        <w:rPr>
          <w:rFonts w:eastAsia="黑体" w:hint="eastAsia"/>
          <w:sz w:val="24"/>
          <w:szCs w:val="21"/>
        </w:rPr>
        <w:t>图</w:t>
      </w:r>
      <w:r w:rsidRPr="00DB5A8A">
        <w:rPr>
          <w:rFonts w:eastAsia="黑体" w:hint="eastAsia"/>
          <w:sz w:val="24"/>
          <w:szCs w:val="21"/>
        </w:rPr>
        <w:t xml:space="preserve">2-12  </w:t>
      </w:r>
      <w:r w:rsidRPr="00DB5A8A">
        <w:rPr>
          <w:rFonts w:eastAsia="黑体" w:hint="eastAsia"/>
          <w:sz w:val="24"/>
          <w:szCs w:val="21"/>
        </w:rPr>
        <w:t>不同货物运输方式</w:t>
      </w:r>
      <w:r w:rsidR="008102C6">
        <w:rPr>
          <w:rFonts w:eastAsia="黑体" w:hint="eastAsia"/>
          <w:sz w:val="24"/>
          <w:szCs w:val="21"/>
        </w:rPr>
        <w:t>碳</w:t>
      </w:r>
      <w:r w:rsidRPr="00DB5A8A">
        <w:rPr>
          <w:rFonts w:eastAsia="黑体" w:hint="eastAsia"/>
          <w:sz w:val="24"/>
          <w:szCs w:val="21"/>
        </w:rPr>
        <w:t>排放量</w:t>
      </w:r>
    </w:p>
    <w:p w14:paraId="33EDBA17" w14:textId="2FED5B69" w:rsidR="00ED1809" w:rsidRDefault="00ED1809" w:rsidP="00ED1809">
      <w:pPr>
        <w:ind w:firstLine="560"/>
      </w:pPr>
      <w:r w:rsidRPr="00ED1809">
        <w:rPr>
          <w:rFonts w:hint="eastAsia"/>
        </w:rPr>
        <w:t>货物运输的能源消费结构不断优化，能耗强度稳步下降。从货运行业能源消费结构来看，柴油和汽油消费占绝对比重，电力所占比例较小；随着水路运输中柴油化进程加快和替代能源的使用，燃料油消费占比会有所下降；铁路货运中电气化改造和公路水路新能源车船技术的推广，使得货运行业中电力消耗占比逐年上升。从能源强度来看，</w:t>
      </w:r>
      <w:r w:rsidRPr="00ED1809">
        <w:rPr>
          <w:rFonts w:hint="eastAsia"/>
        </w:rPr>
        <w:lastRenderedPageBreak/>
        <w:t>航空货运单耗最高，其次为公路货运，铁路货运、水路货运和管道货运单耗较低，相对更为节能低碳。从</w:t>
      </w:r>
      <w:r w:rsidR="004A5413">
        <w:rPr>
          <w:rFonts w:hint="eastAsia"/>
        </w:rPr>
        <w:t>下降</w:t>
      </w:r>
      <w:r w:rsidRPr="00ED1809">
        <w:rPr>
          <w:rFonts w:hint="eastAsia"/>
        </w:rPr>
        <w:t>幅度来看，铁路货运的能耗强度下降最大；随着车辆技术的不断进步、运输组织化程度不断提高，公路运输能源利用效率不断提升，公路货运单耗也有所下降，由</w:t>
      </w:r>
      <w:r w:rsidRPr="00ED1809">
        <w:rPr>
          <w:rFonts w:hint="eastAsia"/>
        </w:rPr>
        <w:t>2005</w:t>
      </w:r>
      <w:r w:rsidRPr="00ED1809">
        <w:rPr>
          <w:rFonts w:hint="eastAsia"/>
        </w:rPr>
        <w:t>年的</w:t>
      </w:r>
      <w:r w:rsidRPr="00ED1809">
        <w:rPr>
          <w:rFonts w:hint="eastAsia"/>
        </w:rPr>
        <w:t>4.27</w:t>
      </w:r>
      <w:r w:rsidRPr="00ED1809">
        <w:rPr>
          <w:rFonts w:hint="eastAsia"/>
        </w:rPr>
        <w:t>千克标煤</w:t>
      </w:r>
      <w:r w:rsidRPr="00ED1809">
        <w:rPr>
          <w:rFonts w:hint="eastAsia"/>
        </w:rPr>
        <w:t>/</w:t>
      </w:r>
      <w:r w:rsidRPr="00ED1809">
        <w:rPr>
          <w:rFonts w:hint="eastAsia"/>
        </w:rPr>
        <w:t>百吨公里下降至</w:t>
      </w:r>
      <w:r w:rsidRPr="00ED1809">
        <w:rPr>
          <w:rFonts w:hint="eastAsia"/>
        </w:rPr>
        <w:t>2020</w:t>
      </w:r>
      <w:r w:rsidRPr="00ED1809">
        <w:rPr>
          <w:rFonts w:hint="eastAsia"/>
        </w:rPr>
        <w:t>年的</w:t>
      </w:r>
      <w:r w:rsidRPr="00ED1809">
        <w:rPr>
          <w:rFonts w:hint="eastAsia"/>
        </w:rPr>
        <w:t>3.34</w:t>
      </w:r>
      <w:r w:rsidRPr="00ED1809">
        <w:rPr>
          <w:rFonts w:hint="eastAsia"/>
        </w:rPr>
        <w:t>千克标煤</w:t>
      </w:r>
      <w:r w:rsidRPr="00ED1809">
        <w:rPr>
          <w:rFonts w:hint="eastAsia"/>
        </w:rPr>
        <w:t>/</w:t>
      </w:r>
      <w:r w:rsidRPr="00ED1809">
        <w:rPr>
          <w:rFonts w:hint="eastAsia"/>
        </w:rPr>
        <w:t>百吨公里；由于高速铁路的快速发展和电气化改造，铁路节能技术和管理水平不断提升，铁路运输低碳化发展成效明显，“以电代油”工程取得了重要进展；民航货运单耗方面，随着</w:t>
      </w:r>
      <w:r w:rsidR="005950C4">
        <w:rPr>
          <w:rFonts w:hint="eastAsia"/>
        </w:rPr>
        <w:t>中国</w:t>
      </w:r>
      <w:r w:rsidRPr="00ED1809">
        <w:rPr>
          <w:rFonts w:hint="eastAsia"/>
        </w:rPr>
        <w:t>航空燃油利用效率的逐年提高，航空货运单耗逐年下降，由</w:t>
      </w:r>
      <w:r w:rsidRPr="00ED1809">
        <w:rPr>
          <w:rFonts w:hint="eastAsia"/>
        </w:rPr>
        <w:t>2005</w:t>
      </w:r>
      <w:r w:rsidRPr="00ED1809">
        <w:rPr>
          <w:rFonts w:hint="eastAsia"/>
        </w:rPr>
        <w:t>年</w:t>
      </w:r>
      <w:r w:rsidRPr="00ED1809">
        <w:rPr>
          <w:rFonts w:hint="eastAsia"/>
        </w:rPr>
        <w:t>50.01</w:t>
      </w:r>
      <w:r w:rsidRPr="00ED1809">
        <w:rPr>
          <w:rFonts w:hint="eastAsia"/>
        </w:rPr>
        <w:t>千克标煤</w:t>
      </w:r>
      <w:r w:rsidRPr="00ED1809">
        <w:rPr>
          <w:rFonts w:hint="eastAsia"/>
        </w:rPr>
        <w:t>/</w:t>
      </w:r>
      <w:r w:rsidRPr="00ED1809">
        <w:rPr>
          <w:rFonts w:hint="eastAsia"/>
        </w:rPr>
        <w:t>百吨公里下降至</w:t>
      </w:r>
      <w:r w:rsidRPr="00ED1809">
        <w:rPr>
          <w:rFonts w:hint="eastAsia"/>
        </w:rPr>
        <w:t>2012</w:t>
      </w:r>
      <w:r w:rsidRPr="00ED1809">
        <w:rPr>
          <w:rFonts w:hint="eastAsia"/>
        </w:rPr>
        <w:t>年</w:t>
      </w:r>
      <w:r w:rsidRPr="00ED1809">
        <w:rPr>
          <w:rFonts w:hint="eastAsia"/>
        </w:rPr>
        <w:t>43.55</w:t>
      </w:r>
      <w:r w:rsidRPr="00ED1809">
        <w:rPr>
          <w:rFonts w:hint="eastAsia"/>
        </w:rPr>
        <w:t>千克标煤</w:t>
      </w:r>
      <w:r w:rsidRPr="00ED1809">
        <w:rPr>
          <w:rFonts w:hint="eastAsia"/>
        </w:rPr>
        <w:t>/</w:t>
      </w:r>
      <w:r w:rsidRPr="00ED1809">
        <w:rPr>
          <w:rFonts w:hint="eastAsia"/>
        </w:rPr>
        <w:t>百吨公里。</w:t>
      </w:r>
    </w:p>
    <w:p w14:paraId="69609469" w14:textId="6202E58F" w:rsidR="00ED1809" w:rsidRDefault="00ED1809" w:rsidP="00ED1809">
      <w:pPr>
        <w:ind w:firstLineChars="0" w:firstLine="0"/>
      </w:pPr>
      <w:r>
        <w:rPr>
          <w:noProof/>
        </w:rPr>
        <w:drawing>
          <wp:inline distT="0" distB="0" distL="114300" distR="114300" wp14:anchorId="242D8EE5" wp14:editId="6328B66F">
            <wp:extent cx="5220000" cy="3262225"/>
            <wp:effectExtent l="0" t="0" r="0" b="0"/>
            <wp:docPr id="4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3"/>
                    <pic:cNvPicPr>
                      <a:picLocks noChangeAspect="1"/>
                    </pic:cNvPicPr>
                  </pic:nvPicPr>
                  <pic:blipFill>
                    <a:blip r:embed="rId30"/>
                    <a:stretch>
                      <a:fillRect/>
                    </a:stretch>
                  </pic:blipFill>
                  <pic:spPr>
                    <a:xfrm>
                      <a:off x="0" y="0"/>
                      <a:ext cx="5220000" cy="3262225"/>
                    </a:xfrm>
                    <a:prstGeom prst="rect">
                      <a:avLst/>
                    </a:prstGeom>
                    <a:noFill/>
                    <a:ln>
                      <a:noFill/>
                    </a:ln>
                  </pic:spPr>
                </pic:pic>
              </a:graphicData>
            </a:graphic>
          </wp:inline>
        </w:drawing>
      </w:r>
    </w:p>
    <w:p w14:paraId="2D6E14CF" w14:textId="152A8B92" w:rsidR="00ED1809" w:rsidRPr="00DB5A8A" w:rsidRDefault="00ED1809" w:rsidP="00DB5A8A">
      <w:pPr>
        <w:ind w:firstLineChars="0" w:firstLine="0"/>
        <w:jc w:val="center"/>
        <w:rPr>
          <w:rFonts w:eastAsia="黑体"/>
          <w:sz w:val="24"/>
          <w:szCs w:val="21"/>
        </w:rPr>
      </w:pPr>
      <w:r w:rsidRPr="00DB5A8A">
        <w:rPr>
          <w:rFonts w:eastAsia="黑体" w:hint="eastAsia"/>
          <w:sz w:val="24"/>
          <w:szCs w:val="21"/>
        </w:rPr>
        <w:t>图</w:t>
      </w:r>
      <w:r w:rsidRPr="00DB5A8A">
        <w:rPr>
          <w:rFonts w:eastAsia="黑体" w:hint="eastAsia"/>
          <w:sz w:val="24"/>
          <w:szCs w:val="21"/>
        </w:rPr>
        <w:t>2-13  2005-2020</w:t>
      </w:r>
      <w:r w:rsidRPr="00DB5A8A">
        <w:rPr>
          <w:rFonts w:eastAsia="黑体" w:hint="eastAsia"/>
          <w:sz w:val="24"/>
          <w:szCs w:val="21"/>
        </w:rPr>
        <w:t>不同货运方式单位运输周转量能耗情况</w:t>
      </w:r>
    </w:p>
    <w:p w14:paraId="571F4143" w14:textId="1BB49405" w:rsidR="00ED1809" w:rsidRPr="004740A9" w:rsidRDefault="004740A9" w:rsidP="00AF58E9">
      <w:pPr>
        <w:ind w:firstLine="562"/>
        <w:outlineLvl w:val="3"/>
        <w:rPr>
          <w:b/>
          <w:bCs/>
        </w:rPr>
      </w:pPr>
      <w:r w:rsidRPr="004740A9">
        <w:rPr>
          <w:rFonts w:hint="eastAsia"/>
          <w:b/>
          <w:bCs/>
        </w:rPr>
        <w:t>（</w:t>
      </w:r>
      <w:r w:rsidRPr="004740A9">
        <w:rPr>
          <w:rFonts w:hint="eastAsia"/>
          <w:b/>
          <w:bCs/>
        </w:rPr>
        <w:t>2</w:t>
      </w:r>
      <w:r w:rsidRPr="004740A9">
        <w:rPr>
          <w:rFonts w:hint="eastAsia"/>
          <w:b/>
          <w:bCs/>
        </w:rPr>
        <w:t>）城际客运</w:t>
      </w:r>
      <w:r w:rsidR="008102C6">
        <w:rPr>
          <w:rFonts w:hint="eastAsia"/>
          <w:b/>
          <w:bCs/>
        </w:rPr>
        <w:t>碳</w:t>
      </w:r>
      <w:r w:rsidRPr="004740A9">
        <w:rPr>
          <w:rFonts w:hint="eastAsia"/>
          <w:b/>
          <w:bCs/>
        </w:rPr>
        <w:t>排放增长迅速，民航</w:t>
      </w:r>
      <w:r w:rsidR="008102C6">
        <w:rPr>
          <w:rFonts w:hint="eastAsia"/>
          <w:b/>
          <w:bCs/>
        </w:rPr>
        <w:t>碳</w:t>
      </w:r>
      <w:r w:rsidRPr="004740A9">
        <w:rPr>
          <w:rFonts w:hint="eastAsia"/>
          <w:b/>
          <w:bCs/>
        </w:rPr>
        <w:t>排放占比最高。</w:t>
      </w:r>
    </w:p>
    <w:p w14:paraId="55EB2388" w14:textId="6F53C6E1" w:rsidR="00ED1809" w:rsidRDefault="004740A9" w:rsidP="004740A9">
      <w:pPr>
        <w:ind w:firstLine="560"/>
      </w:pPr>
      <w:r w:rsidRPr="004740A9">
        <w:rPr>
          <w:rFonts w:hint="eastAsia"/>
        </w:rPr>
        <w:t>城间客运碳排放总体呈上升趋势，居民城际出行方式逐步转向以铁路、航空出行为主。从增长趋势来看，航空客运碳排放量占城间客</w:t>
      </w:r>
      <w:r w:rsidRPr="004740A9">
        <w:rPr>
          <w:rFonts w:hint="eastAsia"/>
        </w:rPr>
        <w:lastRenderedPageBreak/>
        <w:t>运比重较大，</w:t>
      </w:r>
      <w:r w:rsidR="008102C6">
        <w:rPr>
          <w:rFonts w:hint="eastAsia"/>
        </w:rPr>
        <w:t>碳</w:t>
      </w:r>
      <w:r w:rsidRPr="004740A9">
        <w:rPr>
          <w:rFonts w:hint="eastAsia"/>
        </w:rPr>
        <w:t>排放从</w:t>
      </w:r>
      <w:r w:rsidRPr="004740A9">
        <w:rPr>
          <w:rFonts w:hint="eastAsia"/>
        </w:rPr>
        <w:t>2005</w:t>
      </w:r>
      <w:r w:rsidRPr="004740A9">
        <w:rPr>
          <w:rFonts w:hint="eastAsia"/>
        </w:rPr>
        <w:t>年的</w:t>
      </w:r>
      <w:r w:rsidRPr="004740A9">
        <w:rPr>
          <w:rFonts w:hint="eastAsia"/>
        </w:rPr>
        <w:t>0.2</w:t>
      </w:r>
      <w:r w:rsidR="008102C6">
        <w:rPr>
          <w:rFonts w:hint="eastAsia"/>
        </w:rPr>
        <w:t>亿</w:t>
      </w:r>
      <w:r w:rsidR="008102C6">
        <w:rPr>
          <w:rFonts w:hint="eastAsia"/>
        </w:rPr>
        <w:t>t</w:t>
      </w:r>
      <w:r w:rsidRPr="004740A9">
        <w:rPr>
          <w:rFonts w:hint="eastAsia"/>
        </w:rPr>
        <w:t>增长到</w:t>
      </w:r>
      <w:r w:rsidRPr="004740A9">
        <w:rPr>
          <w:rFonts w:hint="eastAsia"/>
        </w:rPr>
        <w:t>2019</w:t>
      </w:r>
      <w:r w:rsidRPr="004740A9">
        <w:rPr>
          <w:rFonts w:hint="eastAsia"/>
        </w:rPr>
        <w:t>年的</w:t>
      </w:r>
      <w:r w:rsidRPr="004740A9">
        <w:rPr>
          <w:rFonts w:hint="eastAsia"/>
        </w:rPr>
        <w:t>0.74</w:t>
      </w:r>
      <w:r w:rsidR="008102C6">
        <w:rPr>
          <w:rFonts w:hint="eastAsia"/>
        </w:rPr>
        <w:t>亿</w:t>
      </w:r>
      <w:r w:rsidR="008102C6">
        <w:rPr>
          <w:rFonts w:hint="eastAsia"/>
        </w:rPr>
        <w:t>t</w:t>
      </w:r>
      <w:r w:rsidRPr="004740A9">
        <w:rPr>
          <w:rFonts w:hint="eastAsia"/>
        </w:rPr>
        <w:t>，增长</w:t>
      </w:r>
      <w:r w:rsidRPr="004740A9">
        <w:rPr>
          <w:rFonts w:hint="eastAsia"/>
        </w:rPr>
        <w:t>35</w:t>
      </w:r>
      <w:r w:rsidRPr="004740A9">
        <w:rPr>
          <w:rFonts w:hint="eastAsia"/>
        </w:rPr>
        <w:t>倍，占比达到</w:t>
      </w:r>
      <w:r w:rsidRPr="004740A9">
        <w:rPr>
          <w:rFonts w:hint="eastAsia"/>
        </w:rPr>
        <w:t>59.3%</w:t>
      </w:r>
      <w:r w:rsidRPr="004740A9">
        <w:rPr>
          <w:rFonts w:hint="eastAsia"/>
        </w:rPr>
        <w:t>；铁路实现了较为全面的电气化改造，铁路客运</w:t>
      </w:r>
      <w:r w:rsidR="008102C6">
        <w:rPr>
          <w:rFonts w:hint="eastAsia"/>
        </w:rPr>
        <w:t>碳</w:t>
      </w:r>
      <w:r w:rsidRPr="004740A9">
        <w:rPr>
          <w:rFonts w:hint="eastAsia"/>
        </w:rPr>
        <w:t>排放强度较低，</w:t>
      </w:r>
      <w:r w:rsidR="008102C6">
        <w:rPr>
          <w:rFonts w:hint="eastAsia"/>
        </w:rPr>
        <w:t>碳</w:t>
      </w:r>
      <w:r w:rsidRPr="004740A9">
        <w:rPr>
          <w:rFonts w:hint="eastAsia"/>
        </w:rPr>
        <w:t>排放量呈逐渐下降态势，铁路客运</w:t>
      </w:r>
      <w:r w:rsidR="008102C6">
        <w:rPr>
          <w:rFonts w:hint="eastAsia"/>
        </w:rPr>
        <w:t>、</w:t>
      </w:r>
      <w:r w:rsidRPr="004740A9">
        <w:rPr>
          <w:rFonts w:hint="eastAsia"/>
        </w:rPr>
        <w:t>碳排放量分别由</w:t>
      </w:r>
      <w:r w:rsidRPr="004740A9">
        <w:rPr>
          <w:rFonts w:hint="eastAsia"/>
        </w:rPr>
        <w:t>2005</w:t>
      </w:r>
      <w:r w:rsidRPr="004740A9">
        <w:rPr>
          <w:rFonts w:hint="eastAsia"/>
        </w:rPr>
        <w:t>年的</w:t>
      </w:r>
      <w:r w:rsidRPr="004740A9">
        <w:rPr>
          <w:rFonts w:hint="eastAsia"/>
        </w:rPr>
        <w:t>0.031</w:t>
      </w:r>
      <w:r w:rsidRPr="004740A9">
        <w:rPr>
          <w:rFonts w:hint="eastAsia"/>
        </w:rPr>
        <w:t>亿</w:t>
      </w:r>
      <w:r w:rsidR="008102C6">
        <w:rPr>
          <w:rFonts w:hint="eastAsia"/>
        </w:rPr>
        <w:t>t</w:t>
      </w:r>
      <w:r w:rsidRPr="004740A9">
        <w:rPr>
          <w:rFonts w:hint="eastAsia"/>
        </w:rPr>
        <w:t>下降到</w:t>
      </w:r>
      <w:r w:rsidRPr="004740A9">
        <w:rPr>
          <w:rFonts w:hint="eastAsia"/>
        </w:rPr>
        <w:t>2019</w:t>
      </w:r>
      <w:r w:rsidRPr="004740A9">
        <w:rPr>
          <w:rFonts w:hint="eastAsia"/>
        </w:rPr>
        <w:t>年的</w:t>
      </w:r>
      <w:r w:rsidRPr="004740A9">
        <w:rPr>
          <w:rFonts w:hint="eastAsia"/>
        </w:rPr>
        <w:t>0.022</w:t>
      </w:r>
      <w:r w:rsidR="008102C6">
        <w:rPr>
          <w:rFonts w:hint="eastAsia"/>
        </w:rPr>
        <w:t>亿</w:t>
      </w:r>
      <w:r w:rsidR="008102C6">
        <w:rPr>
          <w:rFonts w:hint="eastAsia"/>
        </w:rPr>
        <w:t>t</w:t>
      </w:r>
      <w:r w:rsidRPr="004740A9">
        <w:rPr>
          <w:rFonts w:hint="eastAsia"/>
        </w:rPr>
        <w:t>；公路客运的</w:t>
      </w:r>
      <w:r w:rsidR="008102C6">
        <w:rPr>
          <w:rFonts w:hint="eastAsia"/>
        </w:rPr>
        <w:t>、</w:t>
      </w:r>
      <w:r w:rsidRPr="004740A9">
        <w:rPr>
          <w:rFonts w:hint="eastAsia"/>
        </w:rPr>
        <w:t>碳排放量下降幅度较为明显，城间客运中碳排放占比分别由</w:t>
      </w:r>
      <w:r w:rsidRPr="004740A9">
        <w:rPr>
          <w:rFonts w:hint="eastAsia"/>
        </w:rPr>
        <w:t>2005</w:t>
      </w:r>
      <w:r w:rsidRPr="004740A9">
        <w:rPr>
          <w:rFonts w:hint="eastAsia"/>
        </w:rPr>
        <w:t>年的</w:t>
      </w:r>
      <w:r w:rsidRPr="004740A9">
        <w:rPr>
          <w:rFonts w:hint="eastAsia"/>
        </w:rPr>
        <w:t>52.03%</w:t>
      </w:r>
      <w:r w:rsidRPr="004740A9">
        <w:rPr>
          <w:rFonts w:hint="eastAsia"/>
        </w:rPr>
        <w:t>下降到</w:t>
      </w:r>
      <w:r w:rsidRPr="004740A9">
        <w:rPr>
          <w:rFonts w:hint="eastAsia"/>
        </w:rPr>
        <w:t>2019</w:t>
      </w:r>
      <w:r w:rsidRPr="004740A9">
        <w:rPr>
          <w:rFonts w:hint="eastAsia"/>
        </w:rPr>
        <w:t>年的</w:t>
      </w:r>
      <w:r w:rsidRPr="004740A9">
        <w:rPr>
          <w:rFonts w:hint="eastAsia"/>
        </w:rPr>
        <w:t>21.8%</w:t>
      </w:r>
      <w:r w:rsidRPr="004740A9">
        <w:rPr>
          <w:rFonts w:hint="eastAsia"/>
        </w:rPr>
        <w:t>；水路客运碳排放占比较小，呈下降趋势，</w:t>
      </w:r>
      <w:r w:rsidRPr="004740A9">
        <w:rPr>
          <w:rFonts w:hint="eastAsia"/>
        </w:rPr>
        <w:t>2020</w:t>
      </w:r>
      <w:r w:rsidRPr="004740A9">
        <w:rPr>
          <w:rFonts w:hint="eastAsia"/>
        </w:rPr>
        <w:t>年占比达到</w:t>
      </w:r>
      <w:r w:rsidRPr="004740A9">
        <w:rPr>
          <w:rFonts w:hint="eastAsia"/>
        </w:rPr>
        <w:t>0.92%</w:t>
      </w:r>
      <w:r w:rsidRPr="004740A9">
        <w:rPr>
          <w:rFonts w:hint="eastAsia"/>
        </w:rPr>
        <w:t>。</w:t>
      </w:r>
    </w:p>
    <w:p w14:paraId="10F2A1EE" w14:textId="41189946" w:rsidR="004740A9" w:rsidRDefault="004740A9" w:rsidP="008102C6">
      <w:pPr>
        <w:ind w:firstLineChars="0" w:firstLine="0"/>
      </w:pPr>
      <w:r>
        <w:rPr>
          <w:noProof/>
        </w:rPr>
        <w:drawing>
          <wp:inline distT="0" distB="0" distL="114300" distR="114300" wp14:anchorId="391EAD27" wp14:editId="79E56957">
            <wp:extent cx="5219196" cy="2624667"/>
            <wp:effectExtent l="0" t="0" r="635" b="4445"/>
            <wp:docPr id="58"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4"/>
                    <pic:cNvPicPr>
                      <a:picLocks noChangeAspect="1"/>
                    </pic:cNvPicPr>
                  </pic:nvPicPr>
                  <pic:blipFill>
                    <a:blip r:embed="rId31"/>
                    <a:stretch>
                      <a:fillRect/>
                    </a:stretch>
                  </pic:blipFill>
                  <pic:spPr>
                    <a:xfrm>
                      <a:off x="0" y="0"/>
                      <a:ext cx="5228159" cy="2629174"/>
                    </a:xfrm>
                    <a:prstGeom prst="rect">
                      <a:avLst/>
                    </a:prstGeom>
                    <a:noFill/>
                    <a:ln>
                      <a:noFill/>
                    </a:ln>
                  </pic:spPr>
                </pic:pic>
              </a:graphicData>
            </a:graphic>
          </wp:inline>
        </w:drawing>
      </w:r>
    </w:p>
    <w:p w14:paraId="67BCFA0E" w14:textId="4E52278E" w:rsidR="004740A9" w:rsidRPr="00DB5A8A" w:rsidRDefault="004740A9" w:rsidP="00DB5A8A">
      <w:pPr>
        <w:ind w:firstLineChars="0" w:firstLine="0"/>
        <w:jc w:val="center"/>
        <w:rPr>
          <w:rFonts w:eastAsia="黑体"/>
          <w:sz w:val="24"/>
          <w:szCs w:val="21"/>
        </w:rPr>
      </w:pPr>
      <w:r w:rsidRPr="00DB5A8A">
        <w:rPr>
          <w:rFonts w:eastAsia="黑体" w:hint="eastAsia"/>
          <w:sz w:val="24"/>
          <w:szCs w:val="21"/>
        </w:rPr>
        <w:t>图</w:t>
      </w:r>
      <w:r w:rsidRPr="00DB5A8A">
        <w:rPr>
          <w:rFonts w:eastAsia="黑体" w:hint="eastAsia"/>
          <w:sz w:val="24"/>
          <w:szCs w:val="21"/>
        </w:rPr>
        <w:t>2-1</w:t>
      </w:r>
      <w:r w:rsidR="00B01D38">
        <w:rPr>
          <w:rFonts w:eastAsia="黑体"/>
          <w:sz w:val="24"/>
          <w:szCs w:val="21"/>
        </w:rPr>
        <w:t>4</w:t>
      </w:r>
      <w:r w:rsidRPr="00DB5A8A">
        <w:rPr>
          <w:rFonts w:eastAsia="黑体" w:hint="eastAsia"/>
          <w:sz w:val="24"/>
          <w:szCs w:val="21"/>
        </w:rPr>
        <w:t xml:space="preserve"> 2005-2020</w:t>
      </w:r>
      <w:r w:rsidRPr="00DB5A8A">
        <w:rPr>
          <w:rFonts w:eastAsia="黑体" w:hint="eastAsia"/>
          <w:sz w:val="24"/>
          <w:szCs w:val="21"/>
        </w:rPr>
        <w:t>年城际客运</w:t>
      </w:r>
      <w:r w:rsidR="008102C6">
        <w:rPr>
          <w:rFonts w:eastAsia="黑体" w:hint="eastAsia"/>
          <w:sz w:val="24"/>
          <w:szCs w:val="21"/>
        </w:rPr>
        <w:t>碳</w:t>
      </w:r>
      <w:r w:rsidRPr="00DB5A8A">
        <w:rPr>
          <w:rFonts w:eastAsia="黑体" w:hint="eastAsia"/>
          <w:sz w:val="24"/>
          <w:szCs w:val="21"/>
        </w:rPr>
        <w:t>排放情况</w:t>
      </w:r>
    </w:p>
    <w:p w14:paraId="4A2B73AB" w14:textId="5FF692FF" w:rsidR="004740A9" w:rsidRDefault="004740A9" w:rsidP="008102C6">
      <w:pPr>
        <w:ind w:firstLineChars="0" w:firstLine="0"/>
      </w:pPr>
      <w:r>
        <w:rPr>
          <w:noProof/>
        </w:rPr>
        <w:drawing>
          <wp:inline distT="0" distB="0" distL="114300" distR="114300" wp14:anchorId="11723335" wp14:editId="4A8297A1">
            <wp:extent cx="5218959" cy="2514600"/>
            <wp:effectExtent l="0" t="0" r="1270" b="0"/>
            <wp:docPr id="61"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7"/>
                    <pic:cNvPicPr>
                      <a:picLocks noChangeAspect="1"/>
                    </pic:cNvPicPr>
                  </pic:nvPicPr>
                  <pic:blipFill>
                    <a:blip r:embed="rId32"/>
                    <a:stretch>
                      <a:fillRect/>
                    </a:stretch>
                  </pic:blipFill>
                  <pic:spPr>
                    <a:xfrm>
                      <a:off x="0" y="0"/>
                      <a:ext cx="5224562" cy="2517299"/>
                    </a:xfrm>
                    <a:prstGeom prst="rect">
                      <a:avLst/>
                    </a:prstGeom>
                    <a:noFill/>
                    <a:ln>
                      <a:noFill/>
                    </a:ln>
                  </pic:spPr>
                </pic:pic>
              </a:graphicData>
            </a:graphic>
          </wp:inline>
        </w:drawing>
      </w:r>
    </w:p>
    <w:p w14:paraId="4C1D23EB" w14:textId="47BA2BFE" w:rsidR="004740A9" w:rsidRPr="00DB5A8A" w:rsidRDefault="004740A9" w:rsidP="00DB5A8A">
      <w:pPr>
        <w:ind w:firstLineChars="0" w:firstLine="0"/>
        <w:jc w:val="center"/>
        <w:rPr>
          <w:rFonts w:eastAsia="黑体"/>
          <w:sz w:val="24"/>
          <w:szCs w:val="21"/>
        </w:rPr>
      </w:pPr>
      <w:r w:rsidRPr="00DB5A8A">
        <w:rPr>
          <w:rFonts w:eastAsia="黑体" w:hint="eastAsia"/>
          <w:sz w:val="24"/>
          <w:szCs w:val="21"/>
        </w:rPr>
        <w:t>图</w:t>
      </w:r>
      <w:r w:rsidRPr="00DB5A8A">
        <w:rPr>
          <w:rFonts w:eastAsia="黑体" w:hint="eastAsia"/>
          <w:sz w:val="24"/>
          <w:szCs w:val="21"/>
        </w:rPr>
        <w:t>2-1</w:t>
      </w:r>
      <w:r w:rsidR="00B01D38">
        <w:rPr>
          <w:rFonts w:eastAsia="黑体"/>
          <w:sz w:val="24"/>
          <w:szCs w:val="21"/>
        </w:rPr>
        <w:t>5</w:t>
      </w:r>
      <w:r w:rsidRPr="00DB5A8A">
        <w:rPr>
          <w:rFonts w:eastAsia="黑体" w:hint="eastAsia"/>
          <w:sz w:val="24"/>
          <w:szCs w:val="21"/>
        </w:rPr>
        <w:t xml:space="preserve"> 2005-2020</w:t>
      </w:r>
      <w:r w:rsidRPr="00DB5A8A">
        <w:rPr>
          <w:rFonts w:eastAsia="黑体" w:hint="eastAsia"/>
          <w:sz w:val="24"/>
          <w:szCs w:val="21"/>
        </w:rPr>
        <w:t>年不同城际客运方式</w:t>
      </w:r>
      <w:r w:rsidR="008102C6">
        <w:rPr>
          <w:rFonts w:eastAsia="黑体" w:hint="eastAsia"/>
          <w:sz w:val="24"/>
          <w:szCs w:val="21"/>
        </w:rPr>
        <w:t>碳</w:t>
      </w:r>
      <w:r w:rsidRPr="00DB5A8A">
        <w:rPr>
          <w:rFonts w:eastAsia="黑体" w:hint="eastAsia"/>
          <w:sz w:val="24"/>
          <w:szCs w:val="21"/>
        </w:rPr>
        <w:t>排放占比情况</w:t>
      </w:r>
    </w:p>
    <w:p w14:paraId="7C22FA04" w14:textId="0EFFC752" w:rsidR="004740A9" w:rsidRDefault="004740A9" w:rsidP="008102C6">
      <w:pPr>
        <w:ind w:firstLine="560"/>
      </w:pPr>
      <w:r w:rsidRPr="004740A9">
        <w:rPr>
          <w:rFonts w:hint="eastAsia"/>
        </w:rPr>
        <w:lastRenderedPageBreak/>
        <w:t>从城间客运能源强度来看，铁路客运的单位运输周转量能耗最低，其次是公路客运，航空客运和水路客运单耗较高。公路营运客车单耗由</w:t>
      </w:r>
      <w:r w:rsidRPr="004740A9">
        <w:rPr>
          <w:rFonts w:hint="eastAsia"/>
        </w:rPr>
        <w:t>2005</w:t>
      </w:r>
      <w:r w:rsidRPr="004740A9">
        <w:rPr>
          <w:rFonts w:hint="eastAsia"/>
        </w:rPr>
        <w:t>年的</w:t>
      </w:r>
      <w:r w:rsidRPr="004740A9">
        <w:rPr>
          <w:rFonts w:hint="eastAsia"/>
        </w:rPr>
        <w:t>17.9</w:t>
      </w:r>
      <w:r w:rsidRPr="004740A9">
        <w:rPr>
          <w:rFonts w:hint="eastAsia"/>
        </w:rPr>
        <w:t>千克标煤</w:t>
      </w:r>
      <w:r w:rsidRPr="004740A9">
        <w:rPr>
          <w:rFonts w:hint="eastAsia"/>
        </w:rPr>
        <w:t>/</w:t>
      </w:r>
      <w:r w:rsidRPr="004740A9">
        <w:rPr>
          <w:rFonts w:hint="eastAsia"/>
        </w:rPr>
        <w:t>千人公里下降至</w:t>
      </w:r>
      <w:r w:rsidRPr="004740A9">
        <w:rPr>
          <w:rFonts w:hint="eastAsia"/>
        </w:rPr>
        <w:t>2019</w:t>
      </w:r>
      <w:r w:rsidRPr="004740A9">
        <w:rPr>
          <w:rFonts w:hint="eastAsia"/>
        </w:rPr>
        <w:t>年的</w:t>
      </w:r>
      <w:r w:rsidRPr="004740A9">
        <w:rPr>
          <w:rFonts w:hint="eastAsia"/>
        </w:rPr>
        <w:t>14.5</w:t>
      </w:r>
      <w:r w:rsidRPr="004740A9">
        <w:rPr>
          <w:rFonts w:hint="eastAsia"/>
        </w:rPr>
        <w:t>千克标煤</w:t>
      </w:r>
      <w:r w:rsidRPr="004740A9">
        <w:rPr>
          <w:rFonts w:hint="eastAsia"/>
        </w:rPr>
        <w:t>/</w:t>
      </w:r>
      <w:r w:rsidRPr="004740A9">
        <w:rPr>
          <w:rFonts w:hint="eastAsia"/>
        </w:rPr>
        <w:t>千人公里；航空客运单耗由</w:t>
      </w:r>
      <w:r w:rsidRPr="004740A9">
        <w:rPr>
          <w:rFonts w:hint="eastAsia"/>
        </w:rPr>
        <w:t>2005</w:t>
      </w:r>
      <w:r w:rsidRPr="004740A9">
        <w:rPr>
          <w:rFonts w:hint="eastAsia"/>
        </w:rPr>
        <w:t>年</w:t>
      </w:r>
      <w:r w:rsidRPr="004740A9">
        <w:rPr>
          <w:rFonts w:hint="eastAsia"/>
        </w:rPr>
        <w:t>44.1</w:t>
      </w:r>
      <w:r w:rsidRPr="004740A9">
        <w:rPr>
          <w:rFonts w:hint="eastAsia"/>
        </w:rPr>
        <w:t>千克标煤</w:t>
      </w:r>
      <w:r w:rsidRPr="004740A9">
        <w:rPr>
          <w:rFonts w:hint="eastAsia"/>
        </w:rPr>
        <w:t>/</w:t>
      </w:r>
      <w:r w:rsidRPr="004740A9">
        <w:rPr>
          <w:rFonts w:hint="eastAsia"/>
        </w:rPr>
        <w:t>千人公里下降至</w:t>
      </w:r>
      <w:r w:rsidRPr="004740A9">
        <w:rPr>
          <w:rFonts w:hint="eastAsia"/>
        </w:rPr>
        <w:t>2012</w:t>
      </w:r>
      <w:r w:rsidRPr="004740A9">
        <w:rPr>
          <w:rFonts w:hint="eastAsia"/>
        </w:rPr>
        <w:t>年</w:t>
      </w:r>
      <w:r w:rsidRPr="004740A9">
        <w:rPr>
          <w:rFonts w:hint="eastAsia"/>
        </w:rPr>
        <w:t>36.9</w:t>
      </w:r>
      <w:r w:rsidRPr="004740A9">
        <w:rPr>
          <w:rFonts w:hint="eastAsia"/>
        </w:rPr>
        <w:t>千克标煤</w:t>
      </w:r>
      <w:r w:rsidRPr="004740A9">
        <w:rPr>
          <w:rFonts w:hint="eastAsia"/>
        </w:rPr>
        <w:t>/</w:t>
      </w:r>
      <w:r w:rsidRPr="004740A9">
        <w:rPr>
          <w:rFonts w:hint="eastAsia"/>
        </w:rPr>
        <w:t>千人公里。</w:t>
      </w:r>
    </w:p>
    <w:p w14:paraId="17B4A0D9" w14:textId="078B699F" w:rsidR="004740A9" w:rsidRDefault="004740A9" w:rsidP="004740A9">
      <w:pPr>
        <w:ind w:firstLineChars="0" w:firstLine="0"/>
      </w:pPr>
      <w:r>
        <w:rPr>
          <w:noProof/>
        </w:rPr>
        <w:drawing>
          <wp:inline distT="0" distB="0" distL="114300" distR="114300" wp14:anchorId="0A5FA280" wp14:editId="2965EE80">
            <wp:extent cx="5219700" cy="2810934"/>
            <wp:effectExtent l="0" t="0" r="0" b="8890"/>
            <wp:docPr id="51"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7"/>
                    <pic:cNvPicPr>
                      <a:picLocks noChangeAspect="1"/>
                    </pic:cNvPicPr>
                  </pic:nvPicPr>
                  <pic:blipFill>
                    <a:blip r:embed="rId33"/>
                    <a:stretch>
                      <a:fillRect/>
                    </a:stretch>
                  </pic:blipFill>
                  <pic:spPr>
                    <a:xfrm>
                      <a:off x="0" y="0"/>
                      <a:ext cx="5221838" cy="2812085"/>
                    </a:xfrm>
                    <a:prstGeom prst="rect">
                      <a:avLst/>
                    </a:prstGeom>
                    <a:noFill/>
                    <a:ln>
                      <a:noFill/>
                    </a:ln>
                  </pic:spPr>
                </pic:pic>
              </a:graphicData>
            </a:graphic>
          </wp:inline>
        </w:drawing>
      </w:r>
    </w:p>
    <w:p w14:paraId="417658FE" w14:textId="6137463A" w:rsidR="004740A9" w:rsidRPr="00DB5A8A" w:rsidRDefault="004740A9" w:rsidP="00DB5A8A">
      <w:pPr>
        <w:ind w:firstLineChars="0" w:firstLine="0"/>
        <w:jc w:val="center"/>
        <w:rPr>
          <w:rFonts w:eastAsia="黑体"/>
          <w:sz w:val="24"/>
          <w:szCs w:val="21"/>
        </w:rPr>
      </w:pPr>
      <w:r w:rsidRPr="00DB5A8A">
        <w:rPr>
          <w:rFonts w:eastAsia="黑体" w:hint="eastAsia"/>
          <w:sz w:val="24"/>
          <w:szCs w:val="21"/>
        </w:rPr>
        <w:t>图</w:t>
      </w:r>
      <w:r w:rsidRPr="00DB5A8A">
        <w:rPr>
          <w:rFonts w:eastAsia="黑体" w:hint="eastAsia"/>
          <w:sz w:val="24"/>
          <w:szCs w:val="21"/>
        </w:rPr>
        <w:t>2-1</w:t>
      </w:r>
      <w:r w:rsidR="00B01D38">
        <w:rPr>
          <w:rFonts w:eastAsia="黑体"/>
          <w:sz w:val="24"/>
          <w:szCs w:val="21"/>
        </w:rPr>
        <w:t>6</w:t>
      </w:r>
      <w:r w:rsidRPr="00DB5A8A">
        <w:rPr>
          <w:rFonts w:eastAsia="黑体" w:hint="eastAsia"/>
          <w:sz w:val="24"/>
          <w:szCs w:val="21"/>
        </w:rPr>
        <w:t xml:space="preserve">  2005-2020</w:t>
      </w:r>
      <w:r w:rsidRPr="00DB5A8A">
        <w:rPr>
          <w:rFonts w:eastAsia="黑体" w:hint="eastAsia"/>
          <w:sz w:val="24"/>
          <w:szCs w:val="21"/>
        </w:rPr>
        <w:t>年不同城间客运方式单位旅客周转量能耗情况</w:t>
      </w:r>
    </w:p>
    <w:p w14:paraId="23E2C2DB" w14:textId="0715AA89" w:rsidR="004740A9" w:rsidRDefault="004740A9" w:rsidP="00AF58E9">
      <w:pPr>
        <w:ind w:firstLine="562"/>
        <w:outlineLvl w:val="3"/>
        <w:rPr>
          <w:b/>
          <w:bCs/>
        </w:rPr>
      </w:pPr>
      <w:r w:rsidRPr="004740A9">
        <w:rPr>
          <w:rFonts w:hint="eastAsia"/>
          <w:b/>
          <w:bCs/>
        </w:rPr>
        <w:t>（</w:t>
      </w:r>
      <w:r w:rsidRPr="004740A9">
        <w:rPr>
          <w:rFonts w:hint="eastAsia"/>
          <w:b/>
          <w:bCs/>
        </w:rPr>
        <w:t>3</w:t>
      </w:r>
      <w:r w:rsidRPr="004740A9">
        <w:rPr>
          <w:rFonts w:hint="eastAsia"/>
          <w:b/>
          <w:bCs/>
        </w:rPr>
        <w:t>）城市客运中城市公共交通碳排放占比稳步下降，私人乘用车保有量快速增长，成为城市客运</w:t>
      </w:r>
      <w:r w:rsidR="008102C6">
        <w:rPr>
          <w:rFonts w:hint="eastAsia"/>
          <w:b/>
          <w:bCs/>
        </w:rPr>
        <w:t>碳</w:t>
      </w:r>
      <w:r w:rsidRPr="004740A9">
        <w:rPr>
          <w:rFonts w:hint="eastAsia"/>
          <w:b/>
          <w:bCs/>
        </w:rPr>
        <w:t>排放最多的方式。</w:t>
      </w:r>
    </w:p>
    <w:p w14:paraId="793E40B4" w14:textId="72B1A693" w:rsidR="004740A9" w:rsidRPr="005004EF" w:rsidRDefault="004740A9" w:rsidP="004740A9">
      <w:pPr>
        <w:ind w:firstLine="560"/>
      </w:pPr>
      <w:r w:rsidRPr="005004EF">
        <w:rPr>
          <w:rFonts w:hint="eastAsia"/>
        </w:rPr>
        <w:t>城市客运碳排放呈现快速增长趋势，私人乘用车碳排放量仍占较大比重。随着</w:t>
      </w:r>
      <w:r w:rsidR="005950C4">
        <w:rPr>
          <w:rFonts w:hint="eastAsia"/>
        </w:rPr>
        <w:t>中国</w:t>
      </w:r>
      <w:r w:rsidRPr="005004EF">
        <w:rPr>
          <w:rFonts w:hint="eastAsia"/>
        </w:rPr>
        <w:t>城镇化进程的加快，城市私人乘用车和公共交通规模迅速增长，相对应的碳排放量呈现快速增长趋势。城市客运各种交通运输方式碳排放的比例结构发生了明显变化，私人乘用车的</w:t>
      </w:r>
      <w:r w:rsidR="008102C6">
        <w:rPr>
          <w:rFonts w:hint="eastAsia"/>
        </w:rPr>
        <w:t>碳</w:t>
      </w:r>
      <w:r w:rsidRPr="005004EF">
        <w:rPr>
          <w:rFonts w:hint="eastAsia"/>
        </w:rPr>
        <w:t>排放占比上升较快，成为拉动城市客运</w:t>
      </w:r>
      <w:r w:rsidR="008102C6">
        <w:rPr>
          <w:rFonts w:hint="eastAsia"/>
        </w:rPr>
        <w:t>碳</w:t>
      </w:r>
      <w:r w:rsidRPr="005004EF">
        <w:rPr>
          <w:rFonts w:hint="eastAsia"/>
        </w:rPr>
        <w:t>排放增长的主要动力，城市客运中私人乘用车碳排放占比由</w:t>
      </w:r>
      <w:r w:rsidRPr="005004EF">
        <w:rPr>
          <w:rFonts w:hint="eastAsia"/>
        </w:rPr>
        <w:t>2005</w:t>
      </w:r>
      <w:r w:rsidRPr="005004EF">
        <w:rPr>
          <w:rFonts w:hint="eastAsia"/>
        </w:rPr>
        <w:t>年的</w:t>
      </w:r>
      <w:r w:rsidRPr="005004EF">
        <w:rPr>
          <w:rFonts w:hint="eastAsia"/>
        </w:rPr>
        <w:t>18.8%</w:t>
      </w:r>
      <w:r w:rsidRPr="005004EF">
        <w:rPr>
          <w:rFonts w:hint="eastAsia"/>
        </w:rPr>
        <w:t>上升到</w:t>
      </w:r>
      <w:r w:rsidRPr="005004EF">
        <w:rPr>
          <w:rFonts w:hint="eastAsia"/>
        </w:rPr>
        <w:t>2019</w:t>
      </w:r>
      <w:r w:rsidRPr="005004EF">
        <w:rPr>
          <w:rFonts w:hint="eastAsia"/>
        </w:rPr>
        <w:t>年的</w:t>
      </w:r>
      <w:r w:rsidRPr="005004EF">
        <w:rPr>
          <w:rFonts w:hint="eastAsia"/>
        </w:rPr>
        <w:t>58.8%</w:t>
      </w:r>
      <w:r w:rsidRPr="005004EF">
        <w:rPr>
          <w:rFonts w:hint="eastAsia"/>
        </w:rPr>
        <w:t>。</w:t>
      </w:r>
      <w:r w:rsidRPr="005004EF">
        <w:rPr>
          <w:rFonts w:hint="eastAsia"/>
        </w:rPr>
        <w:t>2005-2019</w:t>
      </w:r>
      <w:r w:rsidRPr="005004EF">
        <w:rPr>
          <w:rFonts w:hint="eastAsia"/>
        </w:rPr>
        <w:t>年间，私人乘用车保有量从</w:t>
      </w:r>
      <w:r w:rsidRPr="005004EF">
        <w:rPr>
          <w:rFonts w:hint="eastAsia"/>
        </w:rPr>
        <w:t>2005</w:t>
      </w:r>
      <w:r w:rsidRPr="005004EF">
        <w:rPr>
          <w:rFonts w:hint="eastAsia"/>
        </w:rPr>
        <w:t>年的</w:t>
      </w:r>
      <w:r w:rsidRPr="005004EF">
        <w:rPr>
          <w:rFonts w:hint="eastAsia"/>
        </w:rPr>
        <w:t>0.24</w:t>
      </w:r>
      <w:r w:rsidRPr="005004EF">
        <w:rPr>
          <w:rFonts w:hint="eastAsia"/>
        </w:rPr>
        <w:t>亿辆快速增长</w:t>
      </w:r>
      <w:r w:rsidRPr="005004EF">
        <w:rPr>
          <w:rFonts w:hint="eastAsia"/>
        </w:rPr>
        <w:lastRenderedPageBreak/>
        <w:t>到</w:t>
      </w:r>
      <w:r w:rsidRPr="005004EF">
        <w:rPr>
          <w:rFonts w:hint="eastAsia"/>
        </w:rPr>
        <w:t>2019</w:t>
      </w:r>
      <w:r w:rsidRPr="005004EF">
        <w:rPr>
          <w:rFonts w:hint="eastAsia"/>
        </w:rPr>
        <w:t>的</w:t>
      </w:r>
      <w:r w:rsidRPr="005004EF">
        <w:rPr>
          <w:rFonts w:hint="eastAsia"/>
        </w:rPr>
        <w:t>2.07</w:t>
      </w:r>
      <w:r w:rsidRPr="005004EF">
        <w:rPr>
          <w:rFonts w:hint="eastAsia"/>
        </w:rPr>
        <w:t>亿辆，年均增长率为</w:t>
      </w:r>
      <w:r w:rsidRPr="005004EF">
        <w:rPr>
          <w:rFonts w:hint="eastAsia"/>
        </w:rPr>
        <w:t>15.4%</w:t>
      </w:r>
      <w:r w:rsidRPr="005004EF">
        <w:rPr>
          <w:rFonts w:hint="eastAsia"/>
        </w:rPr>
        <w:t>，导致了其</w:t>
      </w:r>
      <w:r w:rsidR="008102C6">
        <w:rPr>
          <w:rFonts w:hint="eastAsia"/>
        </w:rPr>
        <w:t>碳</w:t>
      </w:r>
      <w:r w:rsidRPr="005004EF">
        <w:rPr>
          <w:rFonts w:hint="eastAsia"/>
        </w:rPr>
        <w:t>排放量的快速增加。</w:t>
      </w:r>
      <w:r w:rsidRPr="005004EF">
        <w:rPr>
          <w:rFonts w:hint="eastAsia"/>
        </w:rPr>
        <w:t>2013</w:t>
      </w:r>
      <w:r w:rsidRPr="005004EF">
        <w:rPr>
          <w:rFonts w:hint="eastAsia"/>
        </w:rPr>
        <w:t>年私人乘用车超越出租车成为城市客运中</w:t>
      </w:r>
      <w:r w:rsidR="008102C6">
        <w:rPr>
          <w:rFonts w:hint="eastAsia"/>
        </w:rPr>
        <w:t>碳</w:t>
      </w:r>
      <w:r w:rsidRPr="005004EF">
        <w:rPr>
          <w:rFonts w:hint="eastAsia"/>
        </w:rPr>
        <w:t>排放最多的方式。其次为出租车、摩托车和公共汽电车。随着近年来清洁能源及新能源在城市公交、出租车、私人乘用车中的应用和轨道交通的快速发展，城市公共交通的</w:t>
      </w:r>
      <w:r w:rsidR="008102C6">
        <w:rPr>
          <w:rFonts w:hint="eastAsia"/>
        </w:rPr>
        <w:t>碳</w:t>
      </w:r>
      <w:r w:rsidRPr="005004EF">
        <w:rPr>
          <w:rFonts w:hint="eastAsia"/>
        </w:rPr>
        <w:t>排放占城市客运比重总体呈下降态势。</w:t>
      </w:r>
    </w:p>
    <w:p w14:paraId="06A3090B" w14:textId="3643CCB5" w:rsidR="005004EF" w:rsidRPr="005004EF" w:rsidRDefault="005004EF" w:rsidP="005004EF">
      <w:pPr>
        <w:ind w:firstLineChars="0" w:firstLine="0"/>
      </w:pPr>
      <w:r>
        <w:rPr>
          <w:noProof/>
        </w:rPr>
        <w:drawing>
          <wp:inline distT="0" distB="0" distL="114300" distR="114300" wp14:anchorId="62110721" wp14:editId="704441FB">
            <wp:extent cx="5218719" cy="2616200"/>
            <wp:effectExtent l="0" t="0" r="1270" b="0"/>
            <wp:docPr id="59"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75"/>
                    <pic:cNvPicPr>
                      <a:picLocks noChangeAspect="1"/>
                    </pic:cNvPicPr>
                  </pic:nvPicPr>
                  <pic:blipFill>
                    <a:blip r:embed="rId34"/>
                    <a:stretch>
                      <a:fillRect/>
                    </a:stretch>
                  </pic:blipFill>
                  <pic:spPr>
                    <a:xfrm>
                      <a:off x="0" y="0"/>
                      <a:ext cx="5222804" cy="2618248"/>
                    </a:xfrm>
                    <a:prstGeom prst="rect">
                      <a:avLst/>
                    </a:prstGeom>
                    <a:noFill/>
                    <a:ln>
                      <a:noFill/>
                    </a:ln>
                  </pic:spPr>
                </pic:pic>
              </a:graphicData>
            </a:graphic>
          </wp:inline>
        </w:drawing>
      </w:r>
    </w:p>
    <w:p w14:paraId="4CA8A605" w14:textId="0233CD14" w:rsidR="004740A9" w:rsidRPr="00DB5A8A" w:rsidRDefault="005004EF" w:rsidP="00DB5A8A">
      <w:pPr>
        <w:ind w:firstLineChars="0" w:firstLine="0"/>
        <w:jc w:val="center"/>
        <w:rPr>
          <w:rFonts w:eastAsia="黑体"/>
          <w:sz w:val="24"/>
          <w:szCs w:val="21"/>
        </w:rPr>
      </w:pPr>
      <w:r w:rsidRPr="00DB5A8A">
        <w:rPr>
          <w:rFonts w:eastAsia="黑体" w:hint="eastAsia"/>
          <w:sz w:val="24"/>
          <w:szCs w:val="21"/>
        </w:rPr>
        <w:t>图</w:t>
      </w:r>
      <w:r w:rsidRPr="00DB5A8A">
        <w:rPr>
          <w:rFonts w:eastAsia="黑体" w:hint="eastAsia"/>
          <w:sz w:val="24"/>
          <w:szCs w:val="21"/>
        </w:rPr>
        <w:t>2-1</w:t>
      </w:r>
      <w:r w:rsidR="00B01D38">
        <w:rPr>
          <w:rFonts w:eastAsia="黑体"/>
          <w:sz w:val="24"/>
          <w:szCs w:val="21"/>
        </w:rPr>
        <w:t>7</w:t>
      </w:r>
      <w:r w:rsidRPr="00DB5A8A">
        <w:rPr>
          <w:rFonts w:eastAsia="黑体" w:hint="eastAsia"/>
          <w:sz w:val="24"/>
          <w:szCs w:val="21"/>
        </w:rPr>
        <w:t xml:space="preserve">  2005-2020</w:t>
      </w:r>
      <w:r w:rsidRPr="00DB5A8A">
        <w:rPr>
          <w:rFonts w:eastAsia="黑体" w:hint="eastAsia"/>
          <w:sz w:val="24"/>
          <w:szCs w:val="21"/>
        </w:rPr>
        <w:t>年城市客运</w:t>
      </w:r>
      <w:r w:rsidR="008102C6">
        <w:rPr>
          <w:rFonts w:eastAsia="黑体" w:hint="eastAsia"/>
          <w:sz w:val="24"/>
          <w:szCs w:val="21"/>
        </w:rPr>
        <w:t>碳</w:t>
      </w:r>
      <w:r w:rsidRPr="00DB5A8A">
        <w:rPr>
          <w:rFonts w:eastAsia="黑体" w:hint="eastAsia"/>
          <w:sz w:val="24"/>
          <w:szCs w:val="21"/>
        </w:rPr>
        <w:t>排放情况</w:t>
      </w:r>
    </w:p>
    <w:p w14:paraId="01A23FC0" w14:textId="034EF8DA" w:rsidR="004740A9" w:rsidRDefault="005004EF" w:rsidP="005004EF">
      <w:pPr>
        <w:ind w:firstLineChars="0" w:firstLine="0"/>
        <w:rPr>
          <w:b/>
          <w:bCs/>
        </w:rPr>
      </w:pPr>
      <w:r>
        <w:rPr>
          <w:noProof/>
        </w:rPr>
        <w:drawing>
          <wp:inline distT="0" distB="0" distL="114300" distR="114300" wp14:anchorId="07AD7254" wp14:editId="68345E28">
            <wp:extent cx="5219700" cy="2616200"/>
            <wp:effectExtent l="0" t="0" r="0" b="0"/>
            <wp:docPr id="60"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76"/>
                    <pic:cNvPicPr>
                      <a:picLocks noChangeAspect="1"/>
                    </pic:cNvPicPr>
                  </pic:nvPicPr>
                  <pic:blipFill>
                    <a:blip r:embed="rId35"/>
                    <a:stretch>
                      <a:fillRect/>
                    </a:stretch>
                  </pic:blipFill>
                  <pic:spPr>
                    <a:xfrm>
                      <a:off x="0" y="0"/>
                      <a:ext cx="5223551" cy="2618130"/>
                    </a:xfrm>
                    <a:prstGeom prst="rect">
                      <a:avLst/>
                    </a:prstGeom>
                    <a:noFill/>
                    <a:ln>
                      <a:noFill/>
                    </a:ln>
                  </pic:spPr>
                </pic:pic>
              </a:graphicData>
            </a:graphic>
          </wp:inline>
        </w:drawing>
      </w:r>
    </w:p>
    <w:p w14:paraId="382F7CB7" w14:textId="1ED11FCB" w:rsidR="005004EF" w:rsidRPr="00DB5A8A" w:rsidRDefault="005004EF" w:rsidP="00DB5A8A">
      <w:pPr>
        <w:ind w:firstLineChars="0" w:firstLine="0"/>
        <w:jc w:val="center"/>
        <w:rPr>
          <w:rFonts w:eastAsia="黑体"/>
          <w:sz w:val="24"/>
          <w:szCs w:val="21"/>
        </w:rPr>
      </w:pPr>
      <w:r w:rsidRPr="00DB5A8A">
        <w:rPr>
          <w:rFonts w:eastAsia="黑体" w:hint="eastAsia"/>
          <w:sz w:val="24"/>
          <w:szCs w:val="21"/>
        </w:rPr>
        <w:t>图</w:t>
      </w:r>
      <w:r w:rsidRPr="00DB5A8A">
        <w:rPr>
          <w:rFonts w:eastAsia="黑体" w:hint="eastAsia"/>
          <w:sz w:val="24"/>
          <w:szCs w:val="21"/>
        </w:rPr>
        <w:t>2-19  2005-2020</w:t>
      </w:r>
      <w:r w:rsidRPr="00DB5A8A">
        <w:rPr>
          <w:rFonts w:eastAsia="黑体" w:hint="eastAsia"/>
          <w:sz w:val="24"/>
          <w:szCs w:val="21"/>
        </w:rPr>
        <w:t>年不同城市客运</w:t>
      </w:r>
      <w:r w:rsidR="008102C6">
        <w:rPr>
          <w:rFonts w:eastAsia="黑体" w:hint="eastAsia"/>
          <w:sz w:val="24"/>
          <w:szCs w:val="21"/>
        </w:rPr>
        <w:t>碳</w:t>
      </w:r>
      <w:r w:rsidRPr="00DB5A8A">
        <w:rPr>
          <w:rFonts w:eastAsia="黑体" w:hint="eastAsia"/>
          <w:sz w:val="24"/>
          <w:szCs w:val="21"/>
        </w:rPr>
        <w:t>排放占比</w:t>
      </w:r>
    </w:p>
    <w:p w14:paraId="14BE7E39" w14:textId="355636A5" w:rsidR="004740A9" w:rsidRDefault="00AF58E9" w:rsidP="00AF58E9">
      <w:pPr>
        <w:ind w:firstLine="560"/>
      </w:pPr>
      <w:r>
        <w:rPr>
          <w:rFonts w:hint="eastAsia"/>
        </w:rPr>
        <w:t>总的来说，</w:t>
      </w:r>
      <w:r w:rsidR="00D94E2F">
        <w:rPr>
          <w:rFonts w:hint="eastAsia"/>
        </w:rPr>
        <w:t>现阶段</w:t>
      </w:r>
      <w:r w:rsidR="005950C4">
        <w:rPr>
          <w:rFonts w:hint="eastAsia"/>
        </w:rPr>
        <w:t>中国</w:t>
      </w:r>
      <w:r w:rsidR="00B52C65">
        <w:rPr>
          <w:rFonts w:hint="eastAsia"/>
        </w:rPr>
        <w:t>交通部门碳排放仍处于</w:t>
      </w:r>
      <w:r w:rsidR="00BB5ED0">
        <w:rPr>
          <w:rFonts w:hint="eastAsia"/>
        </w:rPr>
        <w:t>持续增加阶段，同时，能源消费结构仍以</w:t>
      </w:r>
      <w:r w:rsidR="00B67063">
        <w:rPr>
          <w:rFonts w:hint="eastAsia"/>
        </w:rPr>
        <w:t>传统化石燃料为主（占比超过</w:t>
      </w:r>
      <w:r w:rsidR="00B67063">
        <w:rPr>
          <w:rFonts w:hint="eastAsia"/>
        </w:rPr>
        <w:t>9</w:t>
      </w:r>
      <w:r w:rsidR="00B67063">
        <w:t>5</w:t>
      </w:r>
      <w:r w:rsidR="00B67063">
        <w:rPr>
          <w:rFonts w:hint="eastAsia"/>
        </w:rPr>
        <w:t>%</w:t>
      </w:r>
      <w:r w:rsidR="00B67063">
        <w:rPr>
          <w:rFonts w:hint="eastAsia"/>
        </w:rPr>
        <w:t>）</w:t>
      </w:r>
      <w:r w:rsidR="002116C3">
        <w:rPr>
          <w:rFonts w:hint="eastAsia"/>
        </w:rPr>
        <w:t>。对于实</w:t>
      </w:r>
      <w:r w:rsidR="002116C3">
        <w:rPr>
          <w:rFonts w:hint="eastAsia"/>
        </w:rPr>
        <w:lastRenderedPageBreak/>
        <w:t>现</w:t>
      </w:r>
      <w:r w:rsidR="00B67063">
        <w:rPr>
          <w:rFonts w:hint="eastAsia"/>
        </w:rPr>
        <w:t>交通部门近零排放的</w:t>
      </w:r>
      <w:r w:rsidR="002116C3">
        <w:rPr>
          <w:rFonts w:hint="eastAsia"/>
        </w:rPr>
        <w:t>目标，要从根本上改变能源消费结构，</w:t>
      </w:r>
      <w:r w:rsidR="002116C3" w:rsidRPr="002116C3">
        <w:rPr>
          <w:rFonts w:hint="eastAsia"/>
        </w:rPr>
        <w:t>以调结构、转方式、重创新、强治理为根本途径，着力推动交通基础设施绿色集约、交通运输装备</w:t>
      </w:r>
      <w:r w:rsidR="002116C3">
        <w:rPr>
          <w:rFonts w:hint="eastAsia"/>
        </w:rPr>
        <w:t>电气化</w:t>
      </w:r>
      <w:r w:rsidR="002116C3" w:rsidRPr="002116C3">
        <w:rPr>
          <w:rFonts w:hint="eastAsia"/>
        </w:rPr>
        <w:t>、低碳交通技术</w:t>
      </w:r>
      <w:r w:rsidR="002116C3">
        <w:rPr>
          <w:rFonts w:hint="eastAsia"/>
        </w:rPr>
        <w:t>智能化</w:t>
      </w:r>
      <w:r w:rsidR="002116C3" w:rsidRPr="002116C3">
        <w:rPr>
          <w:rFonts w:hint="eastAsia"/>
        </w:rPr>
        <w:t>、交通运输服务高效</w:t>
      </w:r>
      <w:r w:rsidR="002116C3">
        <w:rPr>
          <w:rFonts w:hint="eastAsia"/>
        </w:rPr>
        <w:t>化</w:t>
      </w:r>
      <w:r w:rsidR="002116C3" w:rsidRPr="002116C3">
        <w:rPr>
          <w:rFonts w:hint="eastAsia"/>
        </w:rPr>
        <w:t>、低碳交通治理科学现代，形成绿色低碳导向的交通运输发展方式</w:t>
      </w:r>
      <w:r w:rsidR="002116C3">
        <w:rPr>
          <w:rFonts w:hint="eastAsia"/>
        </w:rPr>
        <w:t>。</w:t>
      </w:r>
    </w:p>
    <w:p w14:paraId="0CF9D5EE" w14:textId="6F745C96" w:rsidR="00B6608B" w:rsidRDefault="00B6608B" w:rsidP="00B6608B">
      <w:pPr>
        <w:pStyle w:val="3"/>
      </w:pPr>
      <w:bookmarkStart w:id="18" w:name="_Toc93782309"/>
      <w:r>
        <w:rPr>
          <w:rFonts w:hint="eastAsia"/>
        </w:rPr>
        <w:t>2</w:t>
      </w:r>
      <w:r>
        <w:t xml:space="preserve">.3 </w:t>
      </w:r>
      <w:r w:rsidR="00430B66">
        <w:rPr>
          <w:rFonts w:hint="eastAsia"/>
        </w:rPr>
        <w:t>现阶段</w:t>
      </w:r>
      <w:r w:rsidRPr="00B6608B">
        <w:rPr>
          <w:rFonts w:hint="eastAsia"/>
        </w:rPr>
        <w:t>中国交通部门低碳发展</w:t>
      </w:r>
      <w:r w:rsidR="00430B66">
        <w:rPr>
          <w:rFonts w:hint="eastAsia"/>
        </w:rPr>
        <w:t>成效、近期低碳政策措施及远期</w:t>
      </w:r>
      <w:r w:rsidR="00D576E2">
        <w:rPr>
          <w:rFonts w:hint="eastAsia"/>
        </w:rPr>
        <w:t>“近零碳”</w:t>
      </w:r>
      <w:r w:rsidR="00430B66">
        <w:rPr>
          <w:rFonts w:hint="eastAsia"/>
        </w:rPr>
        <w:t>要求</w:t>
      </w:r>
      <w:bookmarkEnd w:id="18"/>
    </w:p>
    <w:p w14:paraId="62B3B7D8" w14:textId="58FD2F4F" w:rsidR="00430B66" w:rsidRPr="00DB5A8A" w:rsidRDefault="00430B66" w:rsidP="00DB5A8A">
      <w:pPr>
        <w:pStyle w:val="4"/>
      </w:pPr>
      <w:r w:rsidRPr="00DB5A8A">
        <w:rPr>
          <w:rFonts w:hint="eastAsia"/>
        </w:rPr>
        <w:t>2</w:t>
      </w:r>
      <w:r w:rsidRPr="00DB5A8A">
        <w:t>.3.1</w:t>
      </w:r>
      <w:r w:rsidR="00525EC7">
        <w:t xml:space="preserve"> </w:t>
      </w:r>
      <w:r w:rsidRPr="00DB5A8A">
        <w:rPr>
          <w:rFonts w:hint="eastAsia"/>
        </w:rPr>
        <w:t>现阶段中国交通部门低碳发展成效及主要问题</w:t>
      </w:r>
    </w:p>
    <w:p w14:paraId="463B5B01" w14:textId="30986DA9" w:rsidR="005004EF" w:rsidRDefault="005004EF" w:rsidP="005004EF">
      <w:pPr>
        <w:ind w:firstLine="560"/>
      </w:pPr>
      <w:r>
        <w:rPr>
          <w:rFonts w:hint="eastAsia"/>
        </w:rPr>
        <w:t>交通运输行业坚持以习近平生态文明思想为指导，全方位、全地域、全过程推进绿色低碳发展，在推动生态保护、节能降碳、污染防治等方面开展了大量工作，低碳发展理念深入人心，低碳发展政策日渐完善，取得了积极成效。</w:t>
      </w:r>
    </w:p>
    <w:p w14:paraId="360859B9" w14:textId="1434CDB7" w:rsidR="00B6608B" w:rsidRDefault="00A8551D" w:rsidP="005004EF">
      <w:pPr>
        <w:ind w:firstLine="562"/>
      </w:pPr>
      <w:r>
        <w:rPr>
          <w:rFonts w:hint="eastAsia"/>
          <w:b/>
          <w:bCs/>
        </w:rPr>
        <w:t>一是</w:t>
      </w:r>
      <w:r w:rsidR="005004EF" w:rsidRPr="00430B66">
        <w:rPr>
          <w:rFonts w:hint="eastAsia"/>
          <w:b/>
          <w:bCs/>
        </w:rPr>
        <w:t>绿色</w:t>
      </w:r>
      <w:r w:rsidR="00430B66">
        <w:rPr>
          <w:rFonts w:hint="eastAsia"/>
          <w:b/>
          <w:bCs/>
        </w:rPr>
        <w:t>低碳</w:t>
      </w:r>
      <w:r w:rsidR="005004EF" w:rsidRPr="00430B66">
        <w:rPr>
          <w:rFonts w:hint="eastAsia"/>
          <w:b/>
          <w:bCs/>
        </w:rPr>
        <w:t>发展顶层设计逐步完善。</w:t>
      </w:r>
      <w:r w:rsidR="005004EF">
        <w:rPr>
          <w:rFonts w:hint="eastAsia"/>
        </w:rPr>
        <w:t>先后制定《推进交通运输生态文明建设实施方案》《关于全面深入推进绿色交通发展的意见》《交通运输部关于全面加强生态环境保护坚决打好污染防治攻坚战的实施意见》《推进长江经济带绿色航运发展的意见》，联合相关部门印发《绿色出行行动计划（</w:t>
      </w:r>
      <w:r w:rsidR="005004EF">
        <w:rPr>
          <w:rFonts w:hint="eastAsia"/>
        </w:rPr>
        <w:t>2019</w:t>
      </w:r>
      <w:r w:rsidR="005004EF">
        <w:rPr>
          <w:rFonts w:hint="eastAsia"/>
        </w:rPr>
        <w:t>—</w:t>
      </w:r>
      <w:r w:rsidR="005004EF">
        <w:rPr>
          <w:rFonts w:hint="eastAsia"/>
        </w:rPr>
        <w:t>2022</w:t>
      </w:r>
      <w:r w:rsidR="005004EF">
        <w:rPr>
          <w:rFonts w:hint="eastAsia"/>
        </w:rPr>
        <w:t>年）》《贯彻落实国务院办公厅</w:t>
      </w:r>
      <w:r w:rsidR="005004EF">
        <w:rPr>
          <w:rFonts w:hint="eastAsia"/>
        </w:rPr>
        <w:t>&lt;</w:t>
      </w:r>
      <w:r w:rsidR="005004EF">
        <w:rPr>
          <w:rFonts w:hint="eastAsia"/>
        </w:rPr>
        <w:t>推进运输结构调整三年行动计划（</w:t>
      </w:r>
      <w:r w:rsidR="005004EF">
        <w:rPr>
          <w:rFonts w:hint="eastAsia"/>
        </w:rPr>
        <w:t>2018</w:t>
      </w:r>
      <w:r w:rsidR="005004EF">
        <w:rPr>
          <w:rFonts w:hint="eastAsia"/>
        </w:rPr>
        <w:t>—</w:t>
      </w:r>
      <w:r w:rsidR="005004EF">
        <w:rPr>
          <w:rFonts w:hint="eastAsia"/>
        </w:rPr>
        <w:t>2020</w:t>
      </w:r>
      <w:r w:rsidR="005004EF">
        <w:rPr>
          <w:rFonts w:hint="eastAsia"/>
        </w:rPr>
        <w:t>年）</w:t>
      </w:r>
      <w:r w:rsidR="005004EF">
        <w:rPr>
          <w:rFonts w:hint="eastAsia"/>
        </w:rPr>
        <w:t>&gt;</w:t>
      </w:r>
      <w:r w:rsidR="005004EF">
        <w:rPr>
          <w:rFonts w:hint="eastAsia"/>
        </w:rPr>
        <w:t>的通知》等政策文件，行业绿色发展路径日渐清晰，目标任务要求更加明确。</w:t>
      </w:r>
    </w:p>
    <w:p w14:paraId="42E7F842" w14:textId="48C4AA90" w:rsidR="005004EF" w:rsidRDefault="00A8551D" w:rsidP="005004EF">
      <w:pPr>
        <w:ind w:firstLine="562"/>
      </w:pPr>
      <w:r>
        <w:rPr>
          <w:rFonts w:hint="eastAsia"/>
          <w:b/>
          <w:bCs/>
        </w:rPr>
        <w:t>二是</w:t>
      </w:r>
      <w:r w:rsidR="005004EF" w:rsidRPr="00430B66">
        <w:rPr>
          <w:rFonts w:hint="eastAsia"/>
          <w:b/>
          <w:bCs/>
        </w:rPr>
        <w:t>新能源和清洁能源应用加快推广。</w:t>
      </w:r>
      <w:r w:rsidR="005004EF">
        <w:rPr>
          <w:rFonts w:hint="eastAsia"/>
        </w:rPr>
        <w:t>大力推动靠港船舶使用岸电，全国港口岸电设施覆盖泊位约</w:t>
      </w:r>
      <w:r w:rsidR="005004EF">
        <w:rPr>
          <w:rFonts w:hint="eastAsia"/>
        </w:rPr>
        <w:t>7500</w:t>
      </w:r>
      <w:r w:rsidR="005004EF">
        <w:rPr>
          <w:rFonts w:hint="eastAsia"/>
        </w:rPr>
        <w:t>个，其中五类专业化泊位（集装箱、客滚、邮轮、</w:t>
      </w:r>
      <w:r w:rsidR="005004EF">
        <w:rPr>
          <w:rFonts w:hint="eastAsia"/>
        </w:rPr>
        <w:t>3</w:t>
      </w:r>
      <w:r w:rsidR="005004EF">
        <w:rPr>
          <w:rFonts w:hint="eastAsia"/>
        </w:rPr>
        <w:t>千吨级以上客运、</w:t>
      </w:r>
      <w:r w:rsidR="005004EF">
        <w:rPr>
          <w:rFonts w:hint="eastAsia"/>
        </w:rPr>
        <w:t>5</w:t>
      </w:r>
      <w:r w:rsidR="005004EF">
        <w:rPr>
          <w:rFonts w:hint="eastAsia"/>
        </w:rPr>
        <w:t>万吨级以上干散货）岸电</w:t>
      </w:r>
      <w:r w:rsidR="005004EF">
        <w:rPr>
          <w:rFonts w:hint="eastAsia"/>
        </w:rPr>
        <w:lastRenderedPageBreak/>
        <w:t>设施覆盖率达</w:t>
      </w:r>
      <w:r w:rsidR="005004EF">
        <w:rPr>
          <w:rFonts w:hint="eastAsia"/>
        </w:rPr>
        <w:t>75%</w:t>
      </w:r>
      <w:r w:rsidR="005004EF">
        <w:rPr>
          <w:rFonts w:hint="eastAsia"/>
        </w:rPr>
        <w:t>；</w:t>
      </w:r>
      <w:r w:rsidR="005004EF">
        <w:rPr>
          <w:rFonts w:hint="eastAsia"/>
        </w:rPr>
        <w:t>2020</w:t>
      </w:r>
      <w:r w:rsidR="005004EF">
        <w:rPr>
          <w:rFonts w:hint="eastAsia"/>
        </w:rPr>
        <w:t>年长江经济带岸电使用约</w:t>
      </w:r>
      <w:r w:rsidR="005004EF">
        <w:rPr>
          <w:rFonts w:hint="eastAsia"/>
        </w:rPr>
        <w:t>23</w:t>
      </w:r>
      <w:r w:rsidR="005004EF">
        <w:rPr>
          <w:rFonts w:hint="eastAsia"/>
        </w:rPr>
        <w:t>万次，用电量约</w:t>
      </w:r>
      <w:r w:rsidR="005004EF">
        <w:rPr>
          <w:rFonts w:hint="eastAsia"/>
        </w:rPr>
        <w:t>5000</w:t>
      </w:r>
      <w:r w:rsidR="005004EF">
        <w:rPr>
          <w:rFonts w:hint="eastAsia"/>
        </w:rPr>
        <w:t>万度。积极推进水运行业应用液化天然气（</w:t>
      </w:r>
      <w:r w:rsidR="005004EF">
        <w:rPr>
          <w:rFonts w:hint="eastAsia"/>
        </w:rPr>
        <w:t>LNG</w:t>
      </w:r>
      <w:r w:rsidR="005004EF">
        <w:rPr>
          <w:rFonts w:hint="eastAsia"/>
        </w:rPr>
        <w:t>），内河船舶</w:t>
      </w:r>
      <w:r w:rsidR="005004EF">
        <w:rPr>
          <w:rFonts w:hint="eastAsia"/>
        </w:rPr>
        <w:t>LNG</w:t>
      </w:r>
      <w:r w:rsidR="005004EF">
        <w:rPr>
          <w:rFonts w:hint="eastAsia"/>
        </w:rPr>
        <w:t>加注站达到</w:t>
      </w:r>
      <w:r w:rsidR="005004EF">
        <w:rPr>
          <w:rFonts w:hint="eastAsia"/>
        </w:rPr>
        <w:t>20</w:t>
      </w:r>
      <w:r w:rsidR="005004EF">
        <w:rPr>
          <w:rFonts w:hint="eastAsia"/>
        </w:rPr>
        <w:t>个，现有</w:t>
      </w:r>
      <w:r w:rsidR="005004EF">
        <w:rPr>
          <w:rFonts w:hint="eastAsia"/>
        </w:rPr>
        <w:t>LNG</w:t>
      </w:r>
      <w:r w:rsidR="005004EF">
        <w:rPr>
          <w:rFonts w:hint="eastAsia"/>
        </w:rPr>
        <w:t>动力船舶</w:t>
      </w:r>
      <w:r w:rsidR="005004EF">
        <w:rPr>
          <w:rFonts w:hint="eastAsia"/>
        </w:rPr>
        <w:t>290</w:t>
      </w:r>
      <w:r w:rsidR="005004EF">
        <w:rPr>
          <w:rFonts w:hint="eastAsia"/>
        </w:rPr>
        <w:t>余艘。持续加快新能源汽车推广应用，公交、出租和城市物流配送新能源汽车数量分别达到</w:t>
      </w:r>
      <w:r w:rsidR="005004EF">
        <w:rPr>
          <w:rFonts w:hint="eastAsia"/>
        </w:rPr>
        <w:t>40.9</w:t>
      </w:r>
      <w:r w:rsidR="005004EF">
        <w:rPr>
          <w:rFonts w:hint="eastAsia"/>
        </w:rPr>
        <w:t>万辆、</w:t>
      </w:r>
      <w:r w:rsidR="005004EF">
        <w:rPr>
          <w:rFonts w:hint="eastAsia"/>
        </w:rPr>
        <w:t>14.2</w:t>
      </w:r>
      <w:r w:rsidR="005004EF">
        <w:rPr>
          <w:rFonts w:hint="eastAsia"/>
        </w:rPr>
        <w:t>万辆和</w:t>
      </w:r>
      <w:r w:rsidR="005004EF">
        <w:rPr>
          <w:rFonts w:hint="eastAsia"/>
        </w:rPr>
        <w:t>43</w:t>
      </w:r>
      <w:r w:rsidR="005004EF">
        <w:rPr>
          <w:rFonts w:hint="eastAsia"/>
        </w:rPr>
        <w:t>万辆。港口新增及更新机械设备优先使用新能源或清洁能源。公路建设施工期集中供电技术应用率超过</w:t>
      </w:r>
      <w:r w:rsidR="005004EF">
        <w:rPr>
          <w:rFonts w:hint="eastAsia"/>
        </w:rPr>
        <w:t>90%</w:t>
      </w:r>
      <w:r w:rsidR="005004EF">
        <w:rPr>
          <w:rFonts w:hint="eastAsia"/>
        </w:rPr>
        <w:t>。全国高速公路充电站总数超过</w:t>
      </w:r>
      <w:r w:rsidR="005004EF">
        <w:rPr>
          <w:rFonts w:hint="eastAsia"/>
        </w:rPr>
        <w:t>2000</w:t>
      </w:r>
      <w:r w:rsidR="005004EF">
        <w:rPr>
          <w:rFonts w:hint="eastAsia"/>
        </w:rPr>
        <w:t>座，充电桩约</w:t>
      </w:r>
      <w:r w:rsidR="005004EF">
        <w:rPr>
          <w:rFonts w:hint="eastAsia"/>
        </w:rPr>
        <w:t>8000</w:t>
      </w:r>
      <w:r w:rsidR="005004EF">
        <w:rPr>
          <w:rFonts w:hint="eastAsia"/>
        </w:rPr>
        <w:t>个，覆盖</w:t>
      </w:r>
      <w:r w:rsidR="005004EF">
        <w:rPr>
          <w:rFonts w:hint="eastAsia"/>
        </w:rPr>
        <w:t>26</w:t>
      </w:r>
      <w:r w:rsidR="005004EF">
        <w:rPr>
          <w:rFonts w:hint="eastAsia"/>
        </w:rPr>
        <w:t>个省市区的</w:t>
      </w:r>
      <w:r w:rsidR="005004EF">
        <w:rPr>
          <w:rFonts w:hint="eastAsia"/>
        </w:rPr>
        <w:t>1100</w:t>
      </w:r>
      <w:r w:rsidR="005004EF">
        <w:rPr>
          <w:rFonts w:hint="eastAsia"/>
        </w:rPr>
        <w:t>余对服务区。</w:t>
      </w:r>
    </w:p>
    <w:p w14:paraId="2C0036B6" w14:textId="3F8BBA8B" w:rsidR="005004EF" w:rsidRDefault="00A8551D" w:rsidP="005004EF">
      <w:pPr>
        <w:ind w:firstLine="562"/>
      </w:pPr>
      <w:r>
        <w:rPr>
          <w:rFonts w:hint="eastAsia"/>
          <w:b/>
          <w:bCs/>
        </w:rPr>
        <w:t>三是</w:t>
      </w:r>
      <w:r w:rsidR="005004EF" w:rsidRPr="00430B66">
        <w:rPr>
          <w:rFonts w:hint="eastAsia"/>
          <w:b/>
          <w:bCs/>
        </w:rPr>
        <w:t>运输结构调整成效初显。</w:t>
      </w:r>
      <w:r w:rsidR="005004EF">
        <w:rPr>
          <w:rFonts w:hint="eastAsia"/>
        </w:rPr>
        <w:t>深入实施铁路运能提升、水运系统升级等“六大行动”，推进大宗货物及中长距离货物运输向铁路和水运有序转移。落实《“十三五”港口集疏运系统建设方案》，加快集疏港铁路和铁路专用线建设。环渤海、长三角地区等</w:t>
      </w:r>
      <w:r w:rsidR="005004EF">
        <w:rPr>
          <w:rFonts w:hint="eastAsia"/>
        </w:rPr>
        <w:t>17</w:t>
      </w:r>
      <w:r w:rsidR="005004EF">
        <w:rPr>
          <w:rFonts w:hint="eastAsia"/>
        </w:rPr>
        <w:t>个沿海主要港口矿石疏港采用铁路、水运和皮带运输的比例比</w:t>
      </w:r>
      <w:r w:rsidR="005004EF">
        <w:rPr>
          <w:rFonts w:hint="eastAsia"/>
        </w:rPr>
        <w:t>2017</w:t>
      </w:r>
      <w:r w:rsidR="005004EF">
        <w:rPr>
          <w:rFonts w:hint="eastAsia"/>
        </w:rPr>
        <w:t>年提高约</w:t>
      </w:r>
      <w:r w:rsidR="005004EF">
        <w:rPr>
          <w:rFonts w:hint="eastAsia"/>
        </w:rPr>
        <w:t>20%</w:t>
      </w:r>
      <w:r w:rsidR="005004EF">
        <w:rPr>
          <w:rFonts w:hint="eastAsia"/>
        </w:rPr>
        <w:t>，截至</w:t>
      </w:r>
      <w:r w:rsidR="005004EF">
        <w:rPr>
          <w:rFonts w:hint="eastAsia"/>
        </w:rPr>
        <w:t>2020</w:t>
      </w:r>
      <w:r w:rsidR="005004EF">
        <w:rPr>
          <w:rFonts w:hint="eastAsia"/>
        </w:rPr>
        <w:t>年底，全国铁路货运量比</w:t>
      </w:r>
      <w:r w:rsidR="005004EF">
        <w:rPr>
          <w:rFonts w:hint="eastAsia"/>
        </w:rPr>
        <w:t>2017</w:t>
      </w:r>
      <w:r w:rsidR="005004EF">
        <w:rPr>
          <w:rFonts w:hint="eastAsia"/>
        </w:rPr>
        <w:t>年增长</w:t>
      </w:r>
      <w:r w:rsidR="005004EF">
        <w:rPr>
          <w:rFonts w:hint="eastAsia"/>
        </w:rPr>
        <w:t>7.8</w:t>
      </w:r>
      <w:r w:rsidR="008102C6">
        <w:rPr>
          <w:rFonts w:hint="eastAsia"/>
        </w:rPr>
        <w:t>亿</w:t>
      </w:r>
      <w:r w:rsidR="008102C6">
        <w:rPr>
          <w:rFonts w:hint="eastAsia"/>
        </w:rPr>
        <w:t>t</w:t>
      </w:r>
      <w:r w:rsidR="005004EF">
        <w:rPr>
          <w:rFonts w:hint="eastAsia"/>
        </w:rPr>
        <w:t>，水路货运量增长</w:t>
      </w:r>
      <w:r w:rsidR="005004EF">
        <w:rPr>
          <w:rFonts w:hint="eastAsia"/>
        </w:rPr>
        <w:t>9.4</w:t>
      </w:r>
      <w:r w:rsidR="008102C6">
        <w:rPr>
          <w:rFonts w:hint="eastAsia"/>
        </w:rPr>
        <w:t>亿</w:t>
      </w:r>
      <w:r w:rsidR="008102C6">
        <w:rPr>
          <w:rFonts w:hint="eastAsia"/>
        </w:rPr>
        <w:t>t</w:t>
      </w:r>
      <w:r w:rsidR="005004EF">
        <w:rPr>
          <w:rFonts w:hint="eastAsia"/>
        </w:rPr>
        <w:t>。先后组织实施了三批共</w:t>
      </w:r>
      <w:r w:rsidR="005004EF">
        <w:rPr>
          <w:rFonts w:hint="eastAsia"/>
        </w:rPr>
        <w:t>70</w:t>
      </w:r>
      <w:r w:rsidR="005004EF">
        <w:rPr>
          <w:rFonts w:hint="eastAsia"/>
        </w:rPr>
        <w:t>个多式联运示范工程，两批共</w:t>
      </w:r>
      <w:r w:rsidR="005004EF">
        <w:rPr>
          <w:rFonts w:hint="eastAsia"/>
        </w:rPr>
        <w:t>46</w:t>
      </w:r>
      <w:r w:rsidR="005004EF">
        <w:rPr>
          <w:rFonts w:hint="eastAsia"/>
        </w:rPr>
        <w:t>个城市绿色货运配送示范工程创建。</w:t>
      </w:r>
      <w:r w:rsidR="005004EF">
        <w:rPr>
          <w:rFonts w:hint="eastAsia"/>
        </w:rPr>
        <w:t>2020</w:t>
      </w:r>
      <w:r w:rsidR="005004EF">
        <w:rPr>
          <w:rFonts w:hint="eastAsia"/>
        </w:rPr>
        <w:t>年全国港口完成集装箱铁水联运量</w:t>
      </w:r>
      <w:r w:rsidR="005004EF">
        <w:rPr>
          <w:rFonts w:hint="eastAsia"/>
        </w:rPr>
        <w:t>687.2</w:t>
      </w:r>
      <w:r w:rsidR="005004EF">
        <w:rPr>
          <w:rFonts w:hint="eastAsia"/>
        </w:rPr>
        <w:t>万标箱，比</w:t>
      </w:r>
      <w:r w:rsidR="005004EF">
        <w:rPr>
          <w:rFonts w:hint="eastAsia"/>
        </w:rPr>
        <w:t>2017</w:t>
      </w:r>
      <w:r w:rsidR="005004EF">
        <w:rPr>
          <w:rFonts w:hint="eastAsia"/>
        </w:rPr>
        <w:t>年增长</w:t>
      </w:r>
      <w:r w:rsidR="005004EF">
        <w:rPr>
          <w:rFonts w:hint="eastAsia"/>
        </w:rPr>
        <w:t>97.4%</w:t>
      </w:r>
      <w:r w:rsidR="005004EF">
        <w:rPr>
          <w:rFonts w:hint="eastAsia"/>
        </w:rPr>
        <w:t>。</w:t>
      </w:r>
    </w:p>
    <w:p w14:paraId="14479F32" w14:textId="72C8F4BE" w:rsidR="005004EF" w:rsidRDefault="005004EF" w:rsidP="005004EF">
      <w:pPr>
        <w:ind w:firstLine="560"/>
      </w:pPr>
      <w:r>
        <w:rPr>
          <w:rFonts w:hint="eastAsia"/>
        </w:rPr>
        <w:t>交通运输行业在推进绿色交通发展，实现双碳目标的过程中还存在一些困难和问题。</w:t>
      </w:r>
    </w:p>
    <w:p w14:paraId="1AB304D4" w14:textId="77777777" w:rsidR="005004EF" w:rsidRDefault="005004EF" w:rsidP="005004EF">
      <w:pPr>
        <w:ind w:firstLine="562"/>
      </w:pPr>
      <w:r w:rsidRPr="00430B66">
        <w:rPr>
          <w:rFonts w:hint="eastAsia"/>
          <w:b/>
          <w:bCs/>
        </w:rPr>
        <w:t>一是交通运输结构尚需进一步优化。</w:t>
      </w:r>
      <w:r>
        <w:rPr>
          <w:rFonts w:hint="eastAsia"/>
        </w:rPr>
        <w:t>部分地区大宗货物中长距离公路运输占比仍然偏高，多式联运等高效组织模式发展滞后，大型城市和城市群区域绿色出行比例有待进一步提升。铁路货运专线、集疏</w:t>
      </w:r>
      <w:r>
        <w:rPr>
          <w:rFonts w:hint="eastAsia"/>
        </w:rPr>
        <w:lastRenderedPageBreak/>
        <w:t>港码头、综合枢纽的建设需要大量资金投入，对中央及地方财政造成较大的压力。公路运价仍明显低于铁路运价，“倒挂”问题仍普遍存在，未来一旦取消铁路运价优惠政策，运输结构调整成效存在“反弹”风险。</w:t>
      </w:r>
    </w:p>
    <w:p w14:paraId="60CCED50" w14:textId="77777777" w:rsidR="005004EF" w:rsidRDefault="005004EF" w:rsidP="005004EF">
      <w:pPr>
        <w:ind w:firstLine="562"/>
      </w:pPr>
      <w:r w:rsidRPr="00430B66">
        <w:rPr>
          <w:rFonts w:hint="eastAsia"/>
          <w:b/>
          <w:bCs/>
        </w:rPr>
        <w:t>二是节能低碳技术装备发展路线图仍不明确。</w:t>
      </w:r>
      <w:r>
        <w:rPr>
          <w:rFonts w:hint="eastAsia"/>
        </w:rPr>
        <w:t>经济社会的发展对运输时效性、个性化、舒适度等要求越来越高，豪华舒适大巴、冷链物流等高耗能运输需求将持续增加。清洁燃料技术有待突破，重型货车、船舶等新能源技术发展路线仍不明确，在技术成熟、产能提升、市场占有率、配套基础设施建设等方面还存在较大不确定性。</w:t>
      </w:r>
    </w:p>
    <w:p w14:paraId="77571968" w14:textId="77777777" w:rsidR="00430B66" w:rsidRDefault="005004EF" w:rsidP="005004EF">
      <w:pPr>
        <w:ind w:firstLine="562"/>
      </w:pPr>
      <w:r w:rsidRPr="00430B66">
        <w:rPr>
          <w:rFonts w:hint="eastAsia"/>
          <w:b/>
          <w:bCs/>
        </w:rPr>
        <w:t>三是促进交通节能减排的推进手段尚不完善。</w:t>
      </w:r>
      <w:r>
        <w:rPr>
          <w:rFonts w:hint="eastAsia"/>
        </w:rPr>
        <w:t>相关法规制度、标准体系、政策措施的有待完善。交通节能环保统计体系尚不完善，部分领域底数不清，交通运输经营业户对能耗排放数据积累不足，行业主管部门难以采集高质量的排放数据，难以支撑行业科学决策。过往节能减排试点示范建设经验亟需总结提升，形成相应的技术标准规范全面推广应用。节能减排工作评估监管体系尚不健全。同时，还存在能源、工信、制造等部门间联动难度大，货源货类结构发展趋势难以预判使得运输结构发挥作用，法规政策标准、能耗及碳排放监测等能力保障存在短板等问题。</w:t>
      </w:r>
    </w:p>
    <w:p w14:paraId="4E0255C4" w14:textId="3E0881EF" w:rsidR="0062514F" w:rsidRPr="00DB5A8A" w:rsidRDefault="0062514F" w:rsidP="00DB5A8A">
      <w:pPr>
        <w:pStyle w:val="4"/>
      </w:pPr>
      <w:r w:rsidRPr="00DB5A8A">
        <w:rPr>
          <w:rFonts w:hint="eastAsia"/>
        </w:rPr>
        <w:t>2</w:t>
      </w:r>
      <w:r w:rsidRPr="00DB5A8A">
        <w:t>.3.2</w:t>
      </w:r>
      <w:r w:rsidR="00525EC7">
        <w:t xml:space="preserve"> </w:t>
      </w:r>
      <w:r w:rsidRPr="00DB5A8A">
        <w:rPr>
          <w:rFonts w:hint="eastAsia"/>
        </w:rPr>
        <w:t>近期低碳政策措施</w:t>
      </w:r>
    </w:p>
    <w:p w14:paraId="1AF4DF73" w14:textId="77777777" w:rsidR="0062514F" w:rsidRDefault="0062514F" w:rsidP="0062514F">
      <w:pPr>
        <w:ind w:firstLine="560"/>
      </w:pPr>
      <w:r>
        <w:rPr>
          <w:rFonts w:hint="eastAsia"/>
        </w:rPr>
        <w:t>目前，交通运输行业重点在运输结构调整、绿色出行、新能源与清洁能源车船推广、船舶靠港使用岸电、船舶排放控制区、绿色交通基础设施建设、柴油货车污染治理等方面，发布了一系列低碳交通发</w:t>
      </w:r>
      <w:r>
        <w:rPr>
          <w:rFonts w:hint="eastAsia"/>
        </w:rPr>
        <w:lastRenderedPageBreak/>
        <w:t>展政策。</w:t>
      </w:r>
    </w:p>
    <w:p w14:paraId="12BE05E0" w14:textId="77CEFB1B" w:rsidR="00617557" w:rsidRDefault="00617557" w:rsidP="00617557">
      <w:pPr>
        <w:ind w:firstLine="562"/>
      </w:pPr>
      <w:r w:rsidRPr="00BA61E9">
        <w:rPr>
          <w:rFonts w:hint="eastAsia"/>
          <w:b/>
          <w:bCs/>
        </w:rPr>
        <w:t>一是运输结构调整政策方面。</w:t>
      </w:r>
      <w:r w:rsidR="00BA61E9" w:rsidRPr="00BA61E9">
        <w:rPr>
          <w:rFonts w:hint="eastAsia"/>
        </w:rPr>
        <w:t>《十四五”现代综合交通运输体系发展规划》《综合运输服务“十四五”发展规划》</w:t>
      </w:r>
      <w:r w:rsidR="00BA61E9">
        <w:rPr>
          <w:rFonts w:hint="eastAsia"/>
        </w:rPr>
        <w:t>《绿色交通“十四五”规划》等政策文件中主要任务包括：</w:t>
      </w:r>
      <w:r>
        <w:rPr>
          <w:rFonts w:hint="eastAsia"/>
        </w:rPr>
        <w:t>深入推进运输结构调整，逐步构建以铁路、船舶为主的中长途货运系统，加促进大宗货物和中长途货运“公转铁”“公转水”。大力发展货物多式联运，推进大宗货物和集装箱铁水联运系统建设，扩大铁水联运规模。推进大宗货物年吞吐量</w:t>
      </w:r>
      <w:r>
        <w:rPr>
          <w:rFonts w:hint="eastAsia"/>
        </w:rPr>
        <w:t>150</w:t>
      </w:r>
      <w:r>
        <w:rPr>
          <w:rFonts w:hint="eastAsia"/>
        </w:rPr>
        <w:t>万吨以上的新建货运枢纽建设铁路专用线，加快内河高等级航道网和专业化、规模化内河港口建设。优化“门到门”物流服务网络，鼓励发展城乡物流共同配送、统一配送、集中配送、分时配送等集约化配送模式，提高工矿企业绿色运输比例。</w:t>
      </w:r>
    </w:p>
    <w:p w14:paraId="1EF420F1" w14:textId="5A844054" w:rsidR="00617557" w:rsidRDefault="00617557" w:rsidP="00617557">
      <w:pPr>
        <w:ind w:firstLine="562"/>
      </w:pPr>
      <w:r w:rsidRPr="00BA61E9">
        <w:rPr>
          <w:rFonts w:hint="eastAsia"/>
          <w:b/>
          <w:bCs/>
        </w:rPr>
        <w:t>二是绿色出行政策方面。</w:t>
      </w:r>
      <w:r>
        <w:rPr>
          <w:rFonts w:hint="eastAsia"/>
        </w:rPr>
        <w:t>深入实施公交优先发展战略，倡导以公共交通为导向的城市发展模式，构建适应城市特点的公共交通出行服务体系。到</w:t>
      </w:r>
      <w:r>
        <w:rPr>
          <w:rFonts w:hint="eastAsia"/>
        </w:rPr>
        <w:t>2025</w:t>
      </w:r>
      <w:r>
        <w:rPr>
          <w:rFonts w:hint="eastAsia"/>
        </w:rPr>
        <w:t>年，遴选</w:t>
      </w:r>
      <w:r>
        <w:rPr>
          <w:rFonts w:hint="eastAsia"/>
        </w:rPr>
        <w:t>50</w:t>
      </w:r>
      <w:r>
        <w:rPr>
          <w:rFonts w:hint="eastAsia"/>
        </w:rPr>
        <w:t>个左右地市级及以上城市和部分中小城市分主题类型开展国家公交都市创建。积极开展绿色出行创建行动，提升绿色出行装备水平，推进新能源车辆规模化应用，加快建设布局合理、生态友好、清洁低碳、集约高效的绿色出行服务体系。</w:t>
      </w:r>
    </w:p>
    <w:p w14:paraId="16A08ABB" w14:textId="77777777" w:rsidR="00617557" w:rsidRDefault="00617557" w:rsidP="00617557">
      <w:pPr>
        <w:ind w:firstLine="562"/>
      </w:pPr>
      <w:r w:rsidRPr="00BA61E9">
        <w:rPr>
          <w:rFonts w:hint="eastAsia"/>
          <w:b/>
          <w:bCs/>
        </w:rPr>
        <w:t>三是新能源与清洁能源车船推广政策方面。</w:t>
      </w:r>
      <w:r>
        <w:rPr>
          <w:rFonts w:hint="eastAsia"/>
        </w:rPr>
        <w:t>推动交通用能低碳多元发展，积极推广新能源和清洁能源运输车辆，稳步推进铁路电气化改造，推动内河船舶更多使用清洁能源，进一步降低交通工具能耗。推动新能源、清洁能源、可再生合成燃料等在中重型卡车的应用，依托交通强国建设试点，开展绿色氢能、纯电动、燃料电池、可再生合</w:t>
      </w:r>
      <w:r>
        <w:rPr>
          <w:rFonts w:hint="eastAsia"/>
        </w:rPr>
        <w:lastRenderedPageBreak/>
        <w:t>成燃料中重型货车应用试点。推动新能源、清洁能源、可再生合成燃料等在内河船舶的应用，积极开展新能源和清洁能源船舶应用试点。</w:t>
      </w:r>
    </w:p>
    <w:p w14:paraId="27F6DEDC" w14:textId="77777777" w:rsidR="00617557" w:rsidRDefault="00617557" w:rsidP="00617557">
      <w:pPr>
        <w:ind w:firstLine="562"/>
      </w:pPr>
      <w:r w:rsidRPr="00BA61E9">
        <w:rPr>
          <w:rFonts w:hint="eastAsia"/>
          <w:b/>
          <w:bCs/>
        </w:rPr>
        <w:t>四是船舶靠港使用岸电政策方面。</w:t>
      </w:r>
      <w:r>
        <w:rPr>
          <w:rFonts w:hint="eastAsia"/>
        </w:rPr>
        <w:t>持续推进港口码头岸电设施建设，推进船舶受电设施改造，积极推进船舶靠港使用岸电，协同推进船舶和港口岸电设施匹配改造，强化岸电建设使用监管，不断提高岸电使用率。加快推进长江经济带船舶岸电设施改造，以及海进江船的改造工作，积极推进国际航行船舶靠港使用岸电。</w:t>
      </w:r>
    </w:p>
    <w:p w14:paraId="6C80E23A" w14:textId="44D056DE" w:rsidR="0062514F" w:rsidRDefault="00617557" w:rsidP="00617557">
      <w:pPr>
        <w:ind w:firstLine="562"/>
      </w:pPr>
      <w:r w:rsidRPr="00BA61E9">
        <w:rPr>
          <w:rFonts w:hint="eastAsia"/>
          <w:b/>
          <w:bCs/>
        </w:rPr>
        <w:t>五是绿色交通基础设施建设政策方面。</w:t>
      </w:r>
      <w:r>
        <w:rPr>
          <w:rFonts w:hint="eastAsia"/>
        </w:rPr>
        <w:t>规划建设便利高效、适度超前的充换电网络，重点推进交通枢纽场站、停车设施、公路服务区等区域充电设施设备建设，鼓励在交通枢纽场站以及公路、铁路等沿线合理布局光伏发电及储能设施。推动分区域分领域研究交通路网沿线光伏发电设施铺设标准，鼓励在服务区等公路沿线合理布局光伏发电设施、开发分布式发电与储能项目。加快构建充换电基础设施体系，积极建设城际充换电网络，推进有条件的枢纽场站、服务区、港口码头开展地热能、生物质能供热供暖制冷“能用尽用”</w:t>
      </w:r>
      <w:r w:rsidR="0062514F">
        <w:rPr>
          <w:rFonts w:hint="eastAsia"/>
        </w:rPr>
        <w:t>。</w:t>
      </w:r>
    </w:p>
    <w:p w14:paraId="786EB4A6" w14:textId="55A57ACE" w:rsidR="005004EF" w:rsidRDefault="005004EF" w:rsidP="00525EC7">
      <w:pPr>
        <w:pStyle w:val="4"/>
      </w:pPr>
      <w:r w:rsidRPr="00525EC7">
        <w:rPr>
          <w:rFonts w:hint="eastAsia"/>
        </w:rPr>
        <w:t xml:space="preserve">2.3.3 </w:t>
      </w:r>
      <w:r w:rsidR="00CD564A">
        <w:rPr>
          <w:rFonts w:hint="eastAsia"/>
        </w:rPr>
        <w:t>远期</w:t>
      </w:r>
      <w:r w:rsidR="00430B66" w:rsidRPr="00525EC7">
        <w:rPr>
          <w:rFonts w:hint="eastAsia"/>
        </w:rPr>
        <w:t>近零碳要求</w:t>
      </w:r>
    </w:p>
    <w:p w14:paraId="4CAED150" w14:textId="32CC0C52" w:rsidR="00617557" w:rsidRDefault="00617557" w:rsidP="00617557">
      <w:pPr>
        <w:ind w:firstLine="560"/>
      </w:pPr>
      <w:r>
        <w:rPr>
          <w:rFonts w:hint="eastAsia"/>
        </w:rPr>
        <w:t>“碳中和”的概念就是可以通过拥有等量碳汇或者国外的碳减排信用抵消自身的碳排放，使净碳排放接近零。</w:t>
      </w:r>
      <w:r w:rsidRPr="00466ACB">
        <w:rPr>
          <w:rFonts w:hint="eastAsia"/>
          <w:b/>
          <w:bCs/>
        </w:rPr>
        <w:t>碳中和时，当年的碳排放量应被碳捕集与封存（</w:t>
      </w:r>
      <w:r w:rsidRPr="00466ACB">
        <w:rPr>
          <w:rFonts w:hint="eastAsia"/>
          <w:b/>
          <w:bCs/>
        </w:rPr>
        <w:t>CCS</w:t>
      </w:r>
      <w:r w:rsidRPr="00466ACB">
        <w:rPr>
          <w:rFonts w:hint="eastAsia"/>
          <w:b/>
          <w:bCs/>
        </w:rPr>
        <w:t>）量、生态碳汇量所抵消。</w:t>
      </w:r>
      <w:r>
        <w:rPr>
          <w:rFonts w:hint="eastAsia"/>
        </w:rPr>
        <w:t>其中，</w:t>
      </w:r>
      <w:r>
        <w:rPr>
          <w:rFonts w:hint="eastAsia"/>
        </w:rPr>
        <w:t>CCS</w:t>
      </w:r>
      <w:r>
        <w:rPr>
          <w:rFonts w:hint="eastAsia"/>
        </w:rPr>
        <w:t>技术尚处于商业化发展初期，中长期发展情景取决于全球应对气候变化的决心和行动；生态碳汇量即生态系统固碳量，通过每年增加的木质纤维素量（如森林蓄积量）等体现，植被尤其是森林覆盖率基本稳</w:t>
      </w:r>
      <w:r>
        <w:rPr>
          <w:rFonts w:hint="eastAsia"/>
        </w:rPr>
        <w:lastRenderedPageBreak/>
        <w:t>定后，每年的森林蓄积量增量便基本保持不变。</w:t>
      </w:r>
      <w:r>
        <w:rPr>
          <w:rFonts w:hint="eastAsia"/>
        </w:rPr>
        <w:t>CCS</w:t>
      </w:r>
      <w:r>
        <w:rPr>
          <w:rFonts w:hint="eastAsia"/>
        </w:rPr>
        <w:t>和生态碳汇量的上限决定了碳中和时的碳排放量上限。</w:t>
      </w:r>
    </w:p>
    <w:p w14:paraId="69A0B9B6" w14:textId="2E592B07" w:rsidR="00617557" w:rsidRDefault="00617557" w:rsidP="00617557">
      <w:pPr>
        <w:ind w:firstLine="560"/>
      </w:pPr>
      <w:r>
        <w:rPr>
          <w:rFonts w:hint="eastAsia"/>
        </w:rPr>
        <w:t>根据联合国环境规划署（</w:t>
      </w:r>
      <w:r>
        <w:rPr>
          <w:rFonts w:hint="eastAsia"/>
        </w:rPr>
        <w:t>UNEP</w:t>
      </w:r>
      <w:r>
        <w:rPr>
          <w:rFonts w:hint="eastAsia"/>
        </w:rPr>
        <w:t>）、</w:t>
      </w:r>
      <w:r>
        <w:rPr>
          <w:rFonts w:hint="eastAsia"/>
        </w:rPr>
        <w:t>IPCC</w:t>
      </w:r>
      <w:r>
        <w:rPr>
          <w:rFonts w:hint="eastAsia"/>
        </w:rPr>
        <w:t>、国际能源署（</w:t>
      </w:r>
      <w:r>
        <w:rPr>
          <w:rFonts w:hint="eastAsia"/>
        </w:rPr>
        <w:t>IEA</w:t>
      </w:r>
      <w:r>
        <w:rPr>
          <w:rFonts w:hint="eastAsia"/>
        </w:rPr>
        <w:t>）、英国石油公司（</w:t>
      </w:r>
      <w:r>
        <w:rPr>
          <w:rFonts w:hint="eastAsia"/>
        </w:rPr>
        <w:t>BP</w:t>
      </w:r>
      <w:r>
        <w:rPr>
          <w:rFonts w:hint="eastAsia"/>
        </w:rPr>
        <w:t>）等的研究成果，考虑到国家自主贡献目标落实程度和温室气体排放缓冲，目前应按照</w:t>
      </w:r>
      <w:r>
        <w:rPr>
          <w:rFonts w:hint="eastAsia"/>
        </w:rPr>
        <w:t>1.5</w:t>
      </w:r>
      <w:r>
        <w:rPr>
          <w:rFonts w:hint="eastAsia"/>
        </w:rPr>
        <w:t>°</w:t>
      </w:r>
      <w:r>
        <w:rPr>
          <w:rFonts w:hint="eastAsia"/>
        </w:rPr>
        <w:t>C</w:t>
      </w:r>
      <w:r>
        <w:rPr>
          <w:rFonts w:hint="eastAsia"/>
        </w:rPr>
        <w:t>情景努力，使全球在</w:t>
      </w:r>
      <w:r>
        <w:rPr>
          <w:rFonts w:hint="eastAsia"/>
        </w:rPr>
        <w:t>2050</w:t>
      </w:r>
      <w:r>
        <w:rPr>
          <w:rFonts w:hint="eastAsia"/>
        </w:rPr>
        <w:t>年左右实现碳中和，并将每年二氧化碳排放量控制在</w:t>
      </w:r>
      <w:r>
        <w:rPr>
          <w:rFonts w:hint="eastAsia"/>
        </w:rPr>
        <w:t>100</w:t>
      </w:r>
      <w:r>
        <w:rPr>
          <w:rFonts w:hint="eastAsia"/>
        </w:rPr>
        <w:t>亿吨左右，同时加快推进</w:t>
      </w:r>
      <w:r>
        <w:rPr>
          <w:rFonts w:hint="eastAsia"/>
        </w:rPr>
        <w:t>CCS</w:t>
      </w:r>
      <w:r>
        <w:rPr>
          <w:rFonts w:hint="eastAsia"/>
        </w:rPr>
        <w:t>技术发展。</w:t>
      </w:r>
      <w:r>
        <w:rPr>
          <w:rFonts w:hint="eastAsia"/>
        </w:rPr>
        <w:t>IPCC</w:t>
      </w:r>
      <w:r>
        <w:rPr>
          <w:rFonts w:hint="eastAsia"/>
        </w:rPr>
        <w:t>指出目前全球每年的碳捕集与封存量约为</w:t>
      </w:r>
      <w:r>
        <w:rPr>
          <w:rFonts w:hint="eastAsia"/>
        </w:rPr>
        <w:t>0.4</w:t>
      </w:r>
      <w:r>
        <w:rPr>
          <w:rFonts w:hint="eastAsia"/>
        </w:rPr>
        <w:t>亿吨二氧化碳，到</w:t>
      </w:r>
      <w:r>
        <w:rPr>
          <w:rFonts w:hint="eastAsia"/>
        </w:rPr>
        <w:t>2050</w:t>
      </w:r>
      <w:r>
        <w:rPr>
          <w:rFonts w:hint="eastAsia"/>
        </w:rPr>
        <w:t>年该数值须至少增加到</w:t>
      </w:r>
      <w:r>
        <w:rPr>
          <w:rFonts w:hint="eastAsia"/>
        </w:rPr>
        <w:t>40</w:t>
      </w:r>
      <w:r>
        <w:rPr>
          <w:rFonts w:hint="eastAsia"/>
        </w:rPr>
        <w:t>亿吨；</w:t>
      </w:r>
      <w:r>
        <w:rPr>
          <w:rFonts w:hint="eastAsia"/>
        </w:rPr>
        <w:t>IEA</w:t>
      </w:r>
      <w:r>
        <w:rPr>
          <w:rFonts w:hint="eastAsia"/>
        </w:rPr>
        <w:t>估计，全球每年至少要有</w:t>
      </w:r>
      <w:r>
        <w:rPr>
          <w:rFonts w:hint="eastAsia"/>
        </w:rPr>
        <w:t>6000</w:t>
      </w:r>
      <w:r>
        <w:rPr>
          <w:rFonts w:hint="eastAsia"/>
        </w:rPr>
        <w:t>个在地下存储</w:t>
      </w:r>
      <w:r>
        <w:rPr>
          <w:rFonts w:hint="eastAsia"/>
        </w:rPr>
        <w:t>100</w:t>
      </w:r>
      <w:r>
        <w:rPr>
          <w:rFonts w:hint="eastAsia"/>
        </w:rPr>
        <w:t>万吨二氧化碳的</w:t>
      </w:r>
      <w:r>
        <w:rPr>
          <w:rFonts w:hint="eastAsia"/>
        </w:rPr>
        <w:t>CCS</w:t>
      </w:r>
      <w:r>
        <w:rPr>
          <w:rFonts w:hint="eastAsia"/>
        </w:rPr>
        <w:t>项目（碳捕集与封存量总量</w:t>
      </w:r>
      <w:r>
        <w:rPr>
          <w:rFonts w:hint="eastAsia"/>
        </w:rPr>
        <w:t>60</w:t>
      </w:r>
      <w:r>
        <w:rPr>
          <w:rFonts w:hint="eastAsia"/>
        </w:rPr>
        <w:t>亿吨二氧化碳），才能在</w:t>
      </w:r>
      <w:r>
        <w:rPr>
          <w:rFonts w:hint="eastAsia"/>
        </w:rPr>
        <w:t>2050</w:t>
      </w:r>
      <w:r>
        <w:rPr>
          <w:rFonts w:hint="eastAsia"/>
        </w:rPr>
        <w:t>年实现碳中和目标。即碳中和时，全球碳捕集与封存量</w:t>
      </w:r>
      <w:r>
        <w:rPr>
          <w:rFonts w:hint="eastAsia"/>
        </w:rPr>
        <w:t>/</w:t>
      </w:r>
      <w:r>
        <w:rPr>
          <w:rFonts w:hint="eastAsia"/>
        </w:rPr>
        <w:t>人为碳排放量的比率要达到</w:t>
      </w:r>
      <w:r>
        <w:rPr>
          <w:rFonts w:hint="eastAsia"/>
        </w:rPr>
        <w:t>40%~60%</w:t>
      </w:r>
      <w:r>
        <w:rPr>
          <w:rFonts w:hint="eastAsia"/>
        </w:rPr>
        <w:t>。</w:t>
      </w:r>
    </w:p>
    <w:p w14:paraId="6EF49476" w14:textId="25110F9F" w:rsidR="005004EF" w:rsidRDefault="005950C4" w:rsidP="005004EF">
      <w:pPr>
        <w:ind w:firstLine="560"/>
      </w:pPr>
      <w:r>
        <w:rPr>
          <w:rFonts w:hint="eastAsia"/>
        </w:rPr>
        <w:t>中国</w:t>
      </w:r>
      <w:r w:rsidR="00617557">
        <w:rPr>
          <w:rFonts w:hint="eastAsia"/>
        </w:rPr>
        <w:t>近三年来的二氧化碳排放情况没有公开的官方数据。据清华大学气候变化与可持续发展研究院测算，</w:t>
      </w:r>
      <w:r w:rsidR="00617557">
        <w:rPr>
          <w:rFonts w:hint="eastAsia"/>
        </w:rPr>
        <w:t>2020</w:t>
      </w:r>
      <w:r w:rsidR="00617557">
        <w:rPr>
          <w:rFonts w:hint="eastAsia"/>
        </w:rPr>
        <w:t>年</w:t>
      </w:r>
      <w:r>
        <w:rPr>
          <w:rFonts w:hint="eastAsia"/>
        </w:rPr>
        <w:t>中国</w:t>
      </w:r>
      <w:r w:rsidR="00617557">
        <w:rPr>
          <w:rFonts w:hint="eastAsia"/>
        </w:rPr>
        <w:t>能源活动和工业过程二氧化碳排放量约</w:t>
      </w:r>
      <w:r w:rsidR="00617557">
        <w:rPr>
          <w:rFonts w:hint="eastAsia"/>
        </w:rPr>
        <w:t>113.5</w:t>
      </w:r>
      <w:r w:rsidR="00617557">
        <w:rPr>
          <w:rFonts w:hint="eastAsia"/>
        </w:rPr>
        <w:t>亿吨，占全球二氧化碳排放量的</w:t>
      </w:r>
      <w:r w:rsidR="00617557">
        <w:rPr>
          <w:rFonts w:hint="eastAsia"/>
        </w:rPr>
        <w:t>28.4%</w:t>
      </w:r>
      <w:r w:rsidR="00617557">
        <w:rPr>
          <w:rFonts w:hint="eastAsia"/>
        </w:rPr>
        <w:t>。其中，能源活动二氧化碳排放量约</w:t>
      </w:r>
      <w:r w:rsidR="00617557">
        <w:rPr>
          <w:rFonts w:hint="eastAsia"/>
        </w:rPr>
        <w:t>100.3</w:t>
      </w:r>
      <w:r w:rsidR="00617557">
        <w:rPr>
          <w:rFonts w:hint="eastAsia"/>
        </w:rPr>
        <w:t>亿吨，占</w:t>
      </w:r>
      <w:r>
        <w:rPr>
          <w:rFonts w:hint="eastAsia"/>
        </w:rPr>
        <w:t>中国</w:t>
      </w:r>
      <w:r w:rsidR="00617557">
        <w:rPr>
          <w:rFonts w:hint="eastAsia"/>
        </w:rPr>
        <w:t>温室气体排放总量的</w:t>
      </w:r>
      <w:r w:rsidR="00617557">
        <w:rPr>
          <w:rFonts w:hint="eastAsia"/>
        </w:rPr>
        <w:t>72.7%</w:t>
      </w:r>
      <w:r w:rsidR="00617557">
        <w:rPr>
          <w:rFonts w:hint="eastAsia"/>
        </w:rPr>
        <w:t>。综合国际国内主流机构对</w:t>
      </w:r>
      <w:r>
        <w:rPr>
          <w:rFonts w:hint="eastAsia"/>
        </w:rPr>
        <w:t>中国</w:t>
      </w:r>
      <w:r w:rsidR="00617557">
        <w:rPr>
          <w:rFonts w:hint="eastAsia"/>
        </w:rPr>
        <w:t>碳中和路径的预测情况，</w:t>
      </w:r>
      <w:r>
        <w:rPr>
          <w:rFonts w:hint="eastAsia"/>
        </w:rPr>
        <w:t>中国</w:t>
      </w:r>
      <w:r w:rsidR="00617557">
        <w:rPr>
          <w:rFonts w:hint="eastAsia"/>
        </w:rPr>
        <w:t>实现碳中和时需要将二氧化碳年排放量降低到</w:t>
      </w:r>
      <w:r w:rsidR="00617557">
        <w:rPr>
          <w:rFonts w:hint="eastAsia"/>
        </w:rPr>
        <w:t>20</w:t>
      </w:r>
      <w:r w:rsidR="00617557">
        <w:rPr>
          <w:rFonts w:hint="eastAsia"/>
        </w:rPr>
        <w:t>亿吨左右，约占届时全球二氧化碳排放量的</w:t>
      </w:r>
      <w:r w:rsidR="00617557">
        <w:rPr>
          <w:rFonts w:hint="eastAsia"/>
        </w:rPr>
        <w:t>20%</w:t>
      </w:r>
      <w:r w:rsidR="00617557">
        <w:rPr>
          <w:rFonts w:hint="eastAsia"/>
        </w:rPr>
        <w:t>，比当前占比有较大幅度下降。碳排放抵消量方面，根据国家林草局的数据，</w:t>
      </w:r>
      <w:r>
        <w:rPr>
          <w:rFonts w:hint="eastAsia"/>
        </w:rPr>
        <w:t>中国</w:t>
      </w:r>
      <w:r w:rsidR="00617557">
        <w:rPr>
          <w:rFonts w:hint="eastAsia"/>
        </w:rPr>
        <w:t>平均每年增加的森林碳储量折合碳汇为</w:t>
      </w:r>
      <w:r w:rsidR="00617557">
        <w:rPr>
          <w:rFonts w:hint="eastAsia"/>
        </w:rPr>
        <w:t>7</w:t>
      </w:r>
      <w:r w:rsidR="00617557">
        <w:rPr>
          <w:rFonts w:hint="eastAsia"/>
        </w:rPr>
        <w:t>亿到</w:t>
      </w:r>
      <w:r w:rsidR="00617557">
        <w:rPr>
          <w:rFonts w:hint="eastAsia"/>
        </w:rPr>
        <w:t>8</w:t>
      </w:r>
      <w:r w:rsidR="00617557">
        <w:rPr>
          <w:rFonts w:hint="eastAsia"/>
        </w:rPr>
        <w:t>亿吨，估计</w:t>
      </w:r>
      <w:r>
        <w:rPr>
          <w:rFonts w:hint="eastAsia"/>
        </w:rPr>
        <w:t>中国</w:t>
      </w:r>
      <w:r w:rsidR="00617557">
        <w:rPr>
          <w:rFonts w:hint="eastAsia"/>
        </w:rPr>
        <w:t>生态碳汇量上限在</w:t>
      </w:r>
      <w:r w:rsidR="00617557">
        <w:rPr>
          <w:rFonts w:hint="eastAsia"/>
        </w:rPr>
        <w:t>10</w:t>
      </w:r>
      <w:r w:rsidR="00617557">
        <w:rPr>
          <w:rFonts w:hint="eastAsia"/>
        </w:rPr>
        <w:t>亿吨</w:t>
      </w:r>
      <w:r w:rsidR="00617557">
        <w:rPr>
          <w:rFonts w:hint="eastAsia"/>
        </w:rPr>
        <w:t>/</w:t>
      </w:r>
      <w:r w:rsidR="00617557">
        <w:rPr>
          <w:rFonts w:hint="eastAsia"/>
        </w:rPr>
        <w:t>年。按照</w:t>
      </w:r>
      <w:r>
        <w:rPr>
          <w:rFonts w:hint="eastAsia"/>
        </w:rPr>
        <w:t>中国</w:t>
      </w:r>
      <w:r w:rsidR="00617557">
        <w:rPr>
          <w:rFonts w:hint="eastAsia"/>
        </w:rPr>
        <w:t>碳捕集与封存量</w:t>
      </w:r>
      <w:r w:rsidR="00617557">
        <w:rPr>
          <w:rFonts w:hint="eastAsia"/>
        </w:rPr>
        <w:t>/</w:t>
      </w:r>
      <w:r w:rsidR="00617557">
        <w:rPr>
          <w:rFonts w:hint="eastAsia"/>
        </w:rPr>
        <w:t>人为碳排放量比率与全球平</w:t>
      </w:r>
      <w:r w:rsidR="00617557">
        <w:rPr>
          <w:rFonts w:hint="eastAsia"/>
        </w:rPr>
        <w:lastRenderedPageBreak/>
        <w:t>均水平相当估算，</w:t>
      </w:r>
      <w:r>
        <w:rPr>
          <w:rFonts w:hint="eastAsia"/>
        </w:rPr>
        <w:t>中国</w:t>
      </w:r>
      <w:r w:rsidR="00617557">
        <w:rPr>
          <w:rFonts w:hint="eastAsia"/>
        </w:rPr>
        <w:t>实现碳中和时的碳捕集与封存量约</w:t>
      </w:r>
      <w:r w:rsidR="00617557">
        <w:rPr>
          <w:rFonts w:hint="eastAsia"/>
        </w:rPr>
        <w:t>10</w:t>
      </w:r>
      <w:r w:rsidR="00617557">
        <w:rPr>
          <w:rFonts w:hint="eastAsia"/>
        </w:rPr>
        <w:t>亿吨二氧化碳</w:t>
      </w:r>
      <w:r w:rsidR="00617557">
        <w:rPr>
          <w:rFonts w:hint="eastAsia"/>
        </w:rPr>
        <w:t>/</w:t>
      </w:r>
      <w:r w:rsidR="00617557">
        <w:rPr>
          <w:rFonts w:hint="eastAsia"/>
        </w:rPr>
        <w:t>年。目前</w:t>
      </w:r>
      <w:r>
        <w:rPr>
          <w:rFonts w:hint="eastAsia"/>
        </w:rPr>
        <w:t>中国</w:t>
      </w:r>
      <w:r w:rsidR="00617557">
        <w:rPr>
          <w:rFonts w:hint="eastAsia"/>
        </w:rPr>
        <w:t>交通运输领域碳排放量约</w:t>
      </w:r>
      <w:r w:rsidR="00617557">
        <w:rPr>
          <w:rFonts w:hint="eastAsia"/>
        </w:rPr>
        <w:t>10</w:t>
      </w:r>
      <w:r w:rsidR="00617557">
        <w:rPr>
          <w:rFonts w:hint="eastAsia"/>
        </w:rPr>
        <w:t>亿吨左右，考虑到交通运输领域作为服务型行业，交通部门仅依靠行业自身难以完全实现零排放，考虑到目前交通部门占</w:t>
      </w:r>
      <w:r>
        <w:rPr>
          <w:rFonts w:hint="eastAsia"/>
        </w:rPr>
        <w:t>中国</w:t>
      </w:r>
      <w:r w:rsidR="00617557">
        <w:rPr>
          <w:rFonts w:hint="eastAsia"/>
        </w:rPr>
        <w:t>碳排放比例为</w:t>
      </w:r>
      <w:r w:rsidR="00617557">
        <w:rPr>
          <w:rFonts w:hint="eastAsia"/>
        </w:rPr>
        <w:t>10%</w:t>
      </w:r>
      <w:r w:rsidR="00617557">
        <w:rPr>
          <w:rFonts w:hint="eastAsia"/>
        </w:rPr>
        <w:t>左右，在</w:t>
      </w:r>
      <w:r w:rsidR="00617557">
        <w:rPr>
          <w:rFonts w:hint="eastAsia"/>
        </w:rPr>
        <w:t>2060</w:t>
      </w:r>
      <w:r w:rsidR="00617557">
        <w:rPr>
          <w:rFonts w:hint="eastAsia"/>
        </w:rPr>
        <w:t>年</w:t>
      </w:r>
      <w:r>
        <w:rPr>
          <w:rFonts w:hint="eastAsia"/>
        </w:rPr>
        <w:t>中国</w:t>
      </w:r>
      <w:r w:rsidR="00617557">
        <w:rPr>
          <w:rFonts w:hint="eastAsia"/>
        </w:rPr>
        <w:t>实现碳中和时的</w:t>
      </w:r>
      <w:r w:rsidR="00617557">
        <w:rPr>
          <w:rFonts w:hint="eastAsia"/>
        </w:rPr>
        <w:t>20</w:t>
      </w:r>
      <w:r w:rsidR="00617557">
        <w:rPr>
          <w:rFonts w:hint="eastAsia"/>
        </w:rPr>
        <w:t>亿吨碳排放预算中给其留出</w:t>
      </w:r>
      <w:r w:rsidR="00617557">
        <w:rPr>
          <w:rFonts w:hint="eastAsia"/>
        </w:rPr>
        <w:t>2</w:t>
      </w:r>
      <w:r w:rsidR="00617557">
        <w:rPr>
          <w:rFonts w:hint="eastAsia"/>
        </w:rPr>
        <w:t>亿吨左右空间。</w:t>
      </w:r>
    </w:p>
    <w:p w14:paraId="0DDC1252" w14:textId="2800116C" w:rsidR="0059548B" w:rsidRPr="0059548B" w:rsidRDefault="0059548B" w:rsidP="00C718FF">
      <w:pPr>
        <w:pStyle w:val="2"/>
        <w:jc w:val="left"/>
      </w:pPr>
      <w:bookmarkStart w:id="19" w:name="_Toc93782310"/>
      <w:r w:rsidRPr="0059548B">
        <w:rPr>
          <w:rFonts w:hint="eastAsia"/>
        </w:rPr>
        <w:t>3</w:t>
      </w:r>
      <w:r w:rsidRPr="0059548B">
        <w:t xml:space="preserve">. </w:t>
      </w:r>
      <w:r w:rsidR="0042567B" w:rsidRPr="0042567B">
        <w:rPr>
          <w:rFonts w:hint="eastAsia"/>
        </w:rPr>
        <w:t>国外低碳交通部门发展现状及路径研究</w:t>
      </w:r>
      <w:bookmarkEnd w:id="19"/>
    </w:p>
    <w:p w14:paraId="0336E428" w14:textId="38623895" w:rsidR="0059548B" w:rsidRDefault="0077335C" w:rsidP="00AC0B93">
      <w:pPr>
        <w:pStyle w:val="3"/>
      </w:pPr>
      <w:bookmarkStart w:id="20" w:name="_Toc93782311"/>
      <w:r>
        <w:rPr>
          <w:rFonts w:hint="eastAsia"/>
        </w:rPr>
        <w:t>3</w:t>
      </w:r>
      <w:r>
        <w:t xml:space="preserve">.1 </w:t>
      </w:r>
      <w:r w:rsidR="00EE1A62">
        <w:rPr>
          <w:rFonts w:hint="eastAsia"/>
        </w:rPr>
        <w:t>典型国家“碳中和”目标</w:t>
      </w:r>
      <w:bookmarkEnd w:id="20"/>
    </w:p>
    <w:p w14:paraId="3B76C2B7" w14:textId="77777777" w:rsidR="0042567B" w:rsidRDefault="0042567B" w:rsidP="0042567B">
      <w:pPr>
        <w:pStyle w:val="a8"/>
        <w:ind w:firstLine="560"/>
      </w:pPr>
      <w:r>
        <w:rPr>
          <w:rFonts w:hint="eastAsia"/>
        </w:rPr>
        <w:t>美国碳排放在</w:t>
      </w:r>
      <w:r>
        <w:rPr>
          <w:rFonts w:hint="eastAsia"/>
        </w:rPr>
        <w:t>2005</w:t>
      </w:r>
      <w:r>
        <w:rPr>
          <w:rFonts w:hint="eastAsia"/>
        </w:rPr>
        <w:t>年前后已经达峰，大约在</w:t>
      </w:r>
      <w:r>
        <w:rPr>
          <w:rFonts w:hint="eastAsia"/>
        </w:rPr>
        <w:t>67</w:t>
      </w:r>
      <w:r>
        <w:rPr>
          <w:rFonts w:hint="eastAsia"/>
        </w:rPr>
        <w:t>亿吨二氧化碳当量左右。</w:t>
      </w:r>
      <w:r>
        <w:rPr>
          <w:rFonts w:hint="eastAsia"/>
        </w:rPr>
        <w:t>2021</w:t>
      </w:r>
      <w:r>
        <w:rPr>
          <w:rFonts w:hint="eastAsia"/>
        </w:rPr>
        <w:t>美国总统拜登提出美国的国家自主贡献目标，</w:t>
      </w:r>
      <w:r>
        <w:rPr>
          <w:rFonts w:hint="eastAsia"/>
        </w:rPr>
        <w:t>2030</w:t>
      </w:r>
      <w:r>
        <w:rPr>
          <w:rFonts w:hint="eastAsia"/>
        </w:rPr>
        <w:t>年温室气体排放比</w:t>
      </w:r>
      <w:r>
        <w:rPr>
          <w:rFonts w:hint="eastAsia"/>
        </w:rPr>
        <w:t>2005</w:t>
      </w:r>
      <w:r>
        <w:rPr>
          <w:rFonts w:hint="eastAsia"/>
        </w:rPr>
        <w:t>年降低</w:t>
      </w:r>
      <w:r>
        <w:rPr>
          <w:rFonts w:hint="eastAsia"/>
        </w:rPr>
        <w:t>50%-52%</w:t>
      </w:r>
      <w:r>
        <w:rPr>
          <w:rFonts w:hint="eastAsia"/>
        </w:rPr>
        <w:t>，在</w:t>
      </w:r>
      <w:r>
        <w:rPr>
          <w:rFonts w:hint="eastAsia"/>
        </w:rPr>
        <w:t>2050</w:t>
      </w:r>
      <w:r>
        <w:rPr>
          <w:rFonts w:hint="eastAsia"/>
        </w:rPr>
        <w:t>年达到完全的碳中和。</w:t>
      </w:r>
      <w:r>
        <w:rPr>
          <w:rFonts w:hint="eastAsia"/>
        </w:rPr>
        <w:t>2019</w:t>
      </w:r>
      <w:r>
        <w:rPr>
          <w:rFonts w:hint="eastAsia"/>
        </w:rPr>
        <w:t>年，美国交通部门的碳排放量占比高达</w:t>
      </w:r>
      <w:r>
        <w:rPr>
          <w:rFonts w:hint="eastAsia"/>
        </w:rPr>
        <w:t>28%</w:t>
      </w:r>
      <w:r>
        <w:rPr>
          <w:rFonts w:hint="eastAsia"/>
        </w:rPr>
        <w:t>是碳的首要排放部门。</w:t>
      </w:r>
    </w:p>
    <w:p w14:paraId="5618B89A" w14:textId="77777777" w:rsidR="0042567B" w:rsidRDefault="0042567B" w:rsidP="0042567B">
      <w:pPr>
        <w:pStyle w:val="a8"/>
        <w:ind w:firstLine="560"/>
      </w:pPr>
      <w:r>
        <w:rPr>
          <w:rFonts w:hint="eastAsia"/>
        </w:rPr>
        <w:t>英国早在</w:t>
      </w:r>
      <w:r>
        <w:rPr>
          <w:rFonts w:hint="eastAsia"/>
        </w:rPr>
        <w:t>20</w:t>
      </w:r>
      <w:r>
        <w:rPr>
          <w:rFonts w:hint="eastAsia"/>
        </w:rPr>
        <w:t>世纪</w:t>
      </w:r>
      <w:r>
        <w:rPr>
          <w:rFonts w:hint="eastAsia"/>
        </w:rPr>
        <w:t>70</w:t>
      </w:r>
      <w:r>
        <w:rPr>
          <w:rFonts w:hint="eastAsia"/>
        </w:rPr>
        <w:t>年代年就已经实现本土碳达峰。</w:t>
      </w:r>
      <w:r>
        <w:rPr>
          <w:rFonts w:hint="eastAsia"/>
        </w:rPr>
        <w:t>2008</w:t>
      </w:r>
      <w:r>
        <w:rPr>
          <w:rFonts w:hint="eastAsia"/>
        </w:rPr>
        <w:t>年英国正式颁布《气候变化法》，确定了到</w:t>
      </w:r>
      <w:r>
        <w:rPr>
          <w:rFonts w:hint="eastAsia"/>
        </w:rPr>
        <w:t>2050</w:t>
      </w:r>
      <w:r>
        <w:rPr>
          <w:rFonts w:hint="eastAsia"/>
        </w:rPr>
        <w:t>年将温室气体排放量比</w:t>
      </w:r>
      <w:r>
        <w:rPr>
          <w:rFonts w:hint="eastAsia"/>
        </w:rPr>
        <w:t>1990</w:t>
      </w:r>
      <w:r>
        <w:rPr>
          <w:rFonts w:hint="eastAsia"/>
        </w:rPr>
        <w:t>年减少</w:t>
      </w:r>
      <w:r>
        <w:rPr>
          <w:rFonts w:hint="eastAsia"/>
        </w:rPr>
        <w:t>80%</w:t>
      </w:r>
      <w:r>
        <w:rPr>
          <w:rFonts w:hint="eastAsia"/>
        </w:rPr>
        <w:t>的长期减排目标。</w:t>
      </w:r>
      <w:r>
        <w:rPr>
          <w:rFonts w:hint="eastAsia"/>
        </w:rPr>
        <w:t>2019</w:t>
      </w:r>
      <w:r>
        <w:rPr>
          <w:rFonts w:hint="eastAsia"/>
        </w:rPr>
        <w:t>年</w:t>
      </w:r>
      <w:r>
        <w:rPr>
          <w:rFonts w:hint="eastAsia"/>
        </w:rPr>
        <w:t>6</w:t>
      </w:r>
      <w:r>
        <w:rPr>
          <w:rFonts w:hint="eastAsia"/>
        </w:rPr>
        <w:t>月，英国提出了《气候变化法案（</w:t>
      </w:r>
      <w:r>
        <w:rPr>
          <w:rFonts w:hint="eastAsia"/>
        </w:rPr>
        <w:t>2050</w:t>
      </w:r>
      <w:r>
        <w:rPr>
          <w:rFonts w:hint="eastAsia"/>
        </w:rPr>
        <w:t>目标修订案）》，正式确立到</w:t>
      </w:r>
      <w:r>
        <w:rPr>
          <w:rFonts w:hint="eastAsia"/>
        </w:rPr>
        <w:t>2050</w:t>
      </w:r>
      <w:r>
        <w:rPr>
          <w:rFonts w:hint="eastAsia"/>
        </w:rPr>
        <w:t>年实现温室气体“净零排放”。</w:t>
      </w:r>
      <w:r>
        <w:rPr>
          <w:rFonts w:hint="eastAsia"/>
        </w:rPr>
        <w:t>2020</w:t>
      </w:r>
      <w:r>
        <w:rPr>
          <w:rFonts w:hint="eastAsia"/>
        </w:rPr>
        <w:t>年</w:t>
      </w:r>
      <w:r>
        <w:rPr>
          <w:rFonts w:hint="eastAsia"/>
        </w:rPr>
        <w:t>12</w:t>
      </w:r>
      <w:r>
        <w:rPr>
          <w:rFonts w:hint="eastAsia"/>
        </w:rPr>
        <w:t>月宣布最新减排目标，承诺到</w:t>
      </w:r>
      <w:r>
        <w:rPr>
          <w:rFonts w:hint="eastAsia"/>
        </w:rPr>
        <w:t>2030</w:t>
      </w:r>
      <w:r>
        <w:rPr>
          <w:rFonts w:hint="eastAsia"/>
        </w:rPr>
        <w:t>年英国温室气体排放量与</w:t>
      </w:r>
      <w:r>
        <w:rPr>
          <w:rFonts w:hint="eastAsia"/>
        </w:rPr>
        <w:t>1990</w:t>
      </w:r>
      <w:r>
        <w:rPr>
          <w:rFonts w:hint="eastAsia"/>
        </w:rPr>
        <w:t>年相比，至少降低</w:t>
      </w:r>
      <w:r>
        <w:rPr>
          <w:rFonts w:hint="eastAsia"/>
        </w:rPr>
        <w:t>68%</w:t>
      </w:r>
      <w:r>
        <w:rPr>
          <w:rFonts w:hint="eastAsia"/>
        </w:rPr>
        <w:t>。交通运输是英国最大的二氧化碳排放部门，</w:t>
      </w:r>
      <w:r>
        <w:rPr>
          <w:rFonts w:hint="eastAsia"/>
        </w:rPr>
        <w:t>2019</w:t>
      </w:r>
      <w:r>
        <w:rPr>
          <w:rFonts w:hint="eastAsia"/>
        </w:rPr>
        <w:t>年占比达</w:t>
      </w:r>
      <w:r>
        <w:rPr>
          <w:rFonts w:hint="eastAsia"/>
        </w:rPr>
        <w:t>27%</w:t>
      </w:r>
      <w:r>
        <w:rPr>
          <w:rFonts w:hint="eastAsia"/>
        </w:rPr>
        <w:t>（不含国际航空和航运）。</w:t>
      </w:r>
    </w:p>
    <w:p w14:paraId="0575F413" w14:textId="0D6EC8C9" w:rsidR="00396A93" w:rsidRDefault="0042567B" w:rsidP="0042567B">
      <w:pPr>
        <w:pStyle w:val="a8"/>
        <w:ind w:firstLine="560"/>
      </w:pPr>
      <w:r>
        <w:rPr>
          <w:rFonts w:hint="eastAsia"/>
        </w:rPr>
        <w:t>欧盟碳排放于</w:t>
      </w:r>
      <w:r>
        <w:rPr>
          <w:rFonts w:hint="eastAsia"/>
        </w:rPr>
        <w:t>1979</w:t>
      </w:r>
      <w:r>
        <w:rPr>
          <w:rFonts w:hint="eastAsia"/>
        </w:rPr>
        <w:t>年见顶，</w:t>
      </w:r>
      <w:r>
        <w:rPr>
          <w:rFonts w:hint="eastAsia"/>
        </w:rPr>
        <w:t>90</w:t>
      </w:r>
      <w:r>
        <w:rPr>
          <w:rFonts w:hint="eastAsia"/>
        </w:rPr>
        <w:t>年代起从高平台下行。</w:t>
      </w:r>
      <w:r>
        <w:rPr>
          <w:rFonts w:hint="eastAsia"/>
        </w:rPr>
        <w:t>2019</w:t>
      </w:r>
      <w:r>
        <w:rPr>
          <w:rFonts w:hint="eastAsia"/>
        </w:rPr>
        <w:t>年</w:t>
      </w:r>
      <w:r>
        <w:rPr>
          <w:rFonts w:hint="eastAsia"/>
        </w:rPr>
        <w:t>12</w:t>
      </w:r>
      <w:r>
        <w:rPr>
          <w:rFonts w:hint="eastAsia"/>
        </w:rPr>
        <w:t>月，欧盟委员会发布《欧洲绿色协议》，宣布</w:t>
      </w:r>
      <w:r>
        <w:rPr>
          <w:rFonts w:hint="eastAsia"/>
        </w:rPr>
        <w:t>2030</w:t>
      </w:r>
      <w:r>
        <w:rPr>
          <w:rFonts w:hint="eastAsia"/>
        </w:rPr>
        <w:t>年缩减碳排放至少</w:t>
      </w:r>
      <w:r>
        <w:rPr>
          <w:rFonts w:hint="eastAsia"/>
        </w:rPr>
        <w:lastRenderedPageBreak/>
        <w:t>55%</w:t>
      </w:r>
      <w:r>
        <w:rPr>
          <w:rFonts w:hint="eastAsia"/>
        </w:rPr>
        <w:t>（相较</w:t>
      </w:r>
      <w:r>
        <w:rPr>
          <w:rFonts w:hint="eastAsia"/>
        </w:rPr>
        <w:t>1990</w:t>
      </w:r>
      <w:r>
        <w:rPr>
          <w:rFonts w:hint="eastAsia"/>
        </w:rPr>
        <w:t>年，后续又提高到</w:t>
      </w:r>
      <w:r>
        <w:rPr>
          <w:rFonts w:hint="eastAsia"/>
        </w:rPr>
        <w:t>60%</w:t>
      </w:r>
      <w:r>
        <w:rPr>
          <w:rFonts w:hint="eastAsia"/>
        </w:rPr>
        <w:t>），并在</w:t>
      </w:r>
      <w:r>
        <w:rPr>
          <w:rFonts w:hint="eastAsia"/>
        </w:rPr>
        <w:t>2050</w:t>
      </w:r>
      <w:r>
        <w:rPr>
          <w:rFonts w:hint="eastAsia"/>
        </w:rPr>
        <w:t>年之前实现碳中和。</w:t>
      </w:r>
      <w:r>
        <w:rPr>
          <w:rFonts w:hint="eastAsia"/>
        </w:rPr>
        <w:t>2021</w:t>
      </w:r>
      <w:r>
        <w:rPr>
          <w:rFonts w:hint="eastAsia"/>
        </w:rPr>
        <w:t>年，欧盟通过了一项气候变化法案，从法律上要求</w:t>
      </w:r>
      <w:r>
        <w:rPr>
          <w:rFonts w:hint="eastAsia"/>
        </w:rPr>
        <w:t>27</w:t>
      </w:r>
      <w:r>
        <w:rPr>
          <w:rFonts w:hint="eastAsia"/>
        </w:rPr>
        <w:t>个成员国在</w:t>
      </w:r>
      <w:r>
        <w:rPr>
          <w:rFonts w:hint="eastAsia"/>
        </w:rPr>
        <w:t>2030</w:t>
      </w:r>
      <w:r>
        <w:rPr>
          <w:rFonts w:hint="eastAsia"/>
        </w:rPr>
        <w:t>年前将温室气体排放量在</w:t>
      </w:r>
      <w:r>
        <w:rPr>
          <w:rFonts w:hint="eastAsia"/>
        </w:rPr>
        <w:t>1990</w:t>
      </w:r>
      <w:r>
        <w:rPr>
          <w:rFonts w:hint="eastAsia"/>
        </w:rPr>
        <w:t>年的水平基础上削减</w:t>
      </w:r>
      <w:r>
        <w:rPr>
          <w:rFonts w:hint="eastAsia"/>
        </w:rPr>
        <w:t>55%</w:t>
      </w:r>
      <w:r>
        <w:rPr>
          <w:rFonts w:hint="eastAsia"/>
        </w:rPr>
        <w:t>，并在</w:t>
      </w:r>
      <w:r>
        <w:rPr>
          <w:rFonts w:hint="eastAsia"/>
        </w:rPr>
        <w:t>2050</w:t>
      </w:r>
      <w:r>
        <w:rPr>
          <w:rFonts w:hint="eastAsia"/>
        </w:rPr>
        <w:t>年前成为净零排放经济体。</w:t>
      </w:r>
      <w:r>
        <w:rPr>
          <w:rFonts w:hint="eastAsia"/>
        </w:rPr>
        <w:t>2019</w:t>
      </w:r>
      <w:r>
        <w:rPr>
          <w:rFonts w:hint="eastAsia"/>
        </w:rPr>
        <w:t>年，交通运输的排放量约占欧盟温室气体总排放量的</w:t>
      </w:r>
      <w:r>
        <w:rPr>
          <w:rFonts w:hint="eastAsia"/>
        </w:rPr>
        <w:t>24%</w:t>
      </w:r>
      <w:r>
        <w:rPr>
          <w:rFonts w:hint="eastAsia"/>
        </w:rPr>
        <w:t>。针对交通行业碳排放，欧盟在其</w:t>
      </w:r>
      <w:r>
        <w:rPr>
          <w:rFonts w:hint="eastAsia"/>
        </w:rPr>
        <w:t>2020</w:t>
      </w:r>
      <w:r>
        <w:rPr>
          <w:rFonts w:hint="eastAsia"/>
        </w:rPr>
        <w:t>年发布的《可持续及智能交通战略》中提出，在未来</w:t>
      </w:r>
      <w:r>
        <w:rPr>
          <w:rFonts w:hint="eastAsia"/>
        </w:rPr>
        <w:t>30</w:t>
      </w:r>
      <w:r>
        <w:rPr>
          <w:rFonts w:hint="eastAsia"/>
        </w:rPr>
        <w:t>年减少碳排放，到</w:t>
      </w:r>
      <w:r>
        <w:rPr>
          <w:rFonts w:hint="eastAsia"/>
        </w:rPr>
        <w:t>2050</w:t>
      </w:r>
      <w:r>
        <w:rPr>
          <w:rFonts w:hint="eastAsia"/>
        </w:rPr>
        <w:t>年将欧盟交通领域的温室气体排放减少</w:t>
      </w:r>
      <w:r>
        <w:rPr>
          <w:rFonts w:hint="eastAsia"/>
        </w:rPr>
        <w:t>90%</w:t>
      </w:r>
      <w:r>
        <w:rPr>
          <w:rFonts w:hint="eastAsia"/>
        </w:rPr>
        <w:t>，几乎所有汽车、货车、公共汽车及新型重型车辆都将实现零排放。</w:t>
      </w:r>
      <w:r w:rsidR="00EE1A62" w:rsidRPr="00EE1A62">
        <w:rPr>
          <w:rFonts w:hint="eastAsia"/>
        </w:rPr>
        <w:t>。</w:t>
      </w:r>
    </w:p>
    <w:p w14:paraId="2B43B426" w14:textId="4E94FBB2" w:rsidR="00396A93" w:rsidRDefault="00AC0B93" w:rsidP="00AC0B93">
      <w:pPr>
        <w:pStyle w:val="3"/>
      </w:pPr>
      <w:bookmarkStart w:id="21" w:name="_Toc93782312"/>
      <w:r>
        <w:rPr>
          <w:rFonts w:hint="eastAsia"/>
        </w:rPr>
        <w:t>3</w:t>
      </w:r>
      <w:r>
        <w:t xml:space="preserve">.2 </w:t>
      </w:r>
      <w:bookmarkEnd w:id="21"/>
      <w:r w:rsidR="005950C4" w:rsidRPr="005950C4">
        <w:rPr>
          <w:rFonts w:hint="eastAsia"/>
        </w:rPr>
        <w:t>典型国家交通部门近零碳转型发展的现状与政策</w:t>
      </w:r>
    </w:p>
    <w:p w14:paraId="4002B7B2" w14:textId="77777777" w:rsidR="0042567B" w:rsidRPr="0042567B" w:rsidRDefault="0042567B" w:rsidP="00EB2831">
      <w:pPr>
        <w:pStyle w:val="4"/>
      </w:pPr>
      <w:r w:rsidRPr="0042567B">
        <w:t xml:space="preserve">3.2.1 </w:t>
      </w:r>
      <w:r w:rsidRPr="0042567B">
        <w:rPr>
          <w:rFonts w:hint="eastAsia"/>
        </w:rPr>
        <w:t>典型国家货运需求分析</w:t>
      </w:r>
    </w:p>
    <w:p w14:paraId="434DF836" w14:textId="77777777" w:rsidR="0042567B" w:rsidRPr="0042567B" w:rsidRDefault="0042567B" w:rsidP="0042567B">
      <w:pPr>
        <w:ind w:firstLine="560"/>
      </w:pPr>
      <w:r w:rsidRPr="0042567B">
        <w:rPr>
          <w:rFonts w:hint="eastAsia"/>
        </w:rPr>
        <w:t>由于交通运输需求是影响碳排放量的重要因素，本研究首先分析了典型发达国家的交通运输需求发展特征。</w:t>
      </w:r>
    </w:p>
    <w:p w14:paraId="21381393" w14:textId="77777777" w:rsidR="0042567B" w:rsidRPr="0042567B" w:rsidRDefault="0042567B" w:rsidP="0042567B">
      <w:pPr>
        <w:spacing w:line="240" w:lineRule="auto"/>
        <w:ind w:firstLine="560"/>
        <w:rPr>
          <w:bCs/>
        </w:rPr>
      </w:pPr>
      <w:r w:rsidRPr="0042567B">
        <w:rPr>
          <w:rFonts w:hint="eastAsia"/>
          <w:bCs/>
        </w:rPr>
        <w:t>（</w:t>
      </w:r>
      <w:r w:rsidRPr="0042567B">
        <w:rPr>
          <w:bCs/>
        </w:rPr>
        <w:t>1</w:t>
      </w:r>
      <w:r w:rsidRPr="0042567B">
        <w:rPr>
          <w:rFonts w:hint="eastAsia"/>
          <w:bCs/>
        </w:rPr>
        <w:t>）各国不同的交通发展模式导致了人均交通碳排放的相差巨大。</w:t>
      </w:r>
    </w:p>
    <w:p w14:paraId="7F53ADB7" w14:textId="77777777" w:rsidR="0042567B" w:rsidRPr="0042567B" w:rsidRDefault="0042567B" w:rsidP="0042567B">
      <w:pPr>
        <w:spacing w:line="240" w:lineRule="auto"/>
        <w:ind w:firstLine="560"/>
        <w:rPr>
          <w:bCs/>
        </w:rPr>
      </w:pPr>
      <w:r w:rsidRPr="0042567B">
        <w:rPr>
          <w:rFonts w:hint="eastAsia"/>
          <w:bCs/>
        </w:rPr>
        <w:t>日本、德国等国家形成集约化交通发展模式，而美国则形成蔓延式交通发展模式，在人均</w:t>
      </w:r>
      <w:r w:rsidRPr="0042567B">
        <w:rPr>
          <w:bCs/>
        </w:rPr>
        <w:t>GDP</w:t>
      </w:r>
      <w:r w:rsidRPr="0042567B">
        <w:rPr>
          <w:rFonts w:hint="eastAsia"/>
          <w:bCs/>
        </w:rPr>
        <w:t>处于相同水平时，不同模式下各国人均交通碳排放差距巨大，美国人均交通碳排放是欧盟、日本的</w:t>
      </w:r>
      <w:r w:rsidRPr="0042567B">
        <w:rPr>
          <w:bCs/>
        </w:rPr>
        <w:t>3</w:t>
      </w:r>
      <w:r w:rsidRPr="0042567B">
        <w:rPr>
          <w:rFonts w:hint="eastAsia"/>
          <w:bCs/>
        </w:rPr>
        <w:t>倍以上。</w:t>
      </w:r>
    </w:p>
    <w:p w14:paraId="483C31FA" w14:textId="77777777" w:rsidR="0042567B" w:rsidRPr="0042567B" w:rsidRDefault="0042567B" w:rsidP="0042567B">
      <w:pPr>
        <w:spacing w:line="240" w:lineRule="auto"/>
        <w:ind w:firstLine="480"/>
        <w:jc w:val="center"/>
        <w:rPr>
          <w:rFonts w:ascii="黑体" w:eastAsia="黑体" w:hAnsi="黑体"/>
          <w:bCs/>
          <w:sz w:val="24"/>
        </w:rPr>
      </w:pPr>
      <w:r w:rsidRPr="0042567B">
        <w:rPr>
          <w:rFonts w:ascii="黑体" w:eastAsia="黑体" w:hAnsi="黑体" w:hint="eastAsia"/>
          <w:bCs/>
          <w:sz w:val="24"/>
        </w:rPr>
        <w:t>表3-1 典型国家同等人均GDP水平下人均碳排放量</w:t>
      </w:r>
    </w:p>
    <w:tbl>
      <w:tblPr>
        <w:tblStyle w:val="21"/>
        <w:tblW w:w="5000" w:type="pct"/>
        <w:tblInd w:w="0" w:type="dxa"/>
        <w:tblLook w:val="04A0" w:firstRow="1" w:lastRow="0" w:firstColumn="1" w:lastColumn="0" w:noHBand="0" w:noVBand="1"/>
      </w:tblPr>
      <w:tblGrid>
        <w:gridCol w:w="784"/>
        <w:gridCol w:w="1395"/>
        <w:gridCol w:w="1452"/>
        <w:gridCol w:w="1256"/>
        <w:gridCol w:w="1952"/>
        <w:gridCol w:w="1467"/>
      </w:tblGrid>
      <w:tr w:rsidR="0042567B" w:rsidRPr="0042567B" w14:paraId="7095B391" w14:textId="77777777" w:rsidTr="0042567B">
        <w:trPr>
          <w:cnfStyle w:val="100000000000" w:firstRow="1" w:lastRow="0" w:firstColumn="0" w:lastColumn="0" w:oddVBand="0" w:evenVBand="0" w:oddHBand="0"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472" w:type="pct"/>
            <w:tcBorders>
              <w:top w:val="single" w:sz="4" w:space="0" w:color="7F7F7F"/>
              <w:left w:val="nil"/>
              <w:right w:val="nil"/>
            </w:tcBorders>
            <w:hideMark/>
          </w:tcPr>
          <w:p w14:paraId="48561E42" w14:textId="77777777" w:rsidR="0042567B" w:rsidRPr="0042567B" w:rsidRDefault="0042567B" w:rsidP="0042567B">
            <w:pPr>
              <w:spacing w:line="240" w:lineRule="auto"/>
              <w:ind w:firstLineChars="0" w:firstLine="0"/>
              <w:rPr>
                <w:rFonts w:ascii="黑体" w:eastAsia="黑体" w:hAnsi="黑体"/>
                <w:sz w:val="24"/>
              </w:rPr>
            </w:pPr>
          </w:p>
        </w:tc>
        <w:tc>
          <w:tcPr>
            <w:tcW w:w="840" w:type="pct"/>
            <w:tcBorders>
              <w:top w:val="single" w:sz="4" w:space="0" w:color="7F7F7F"/>
              <w:left w:val="nil"/>
              <w:right w:val="nil"/>
            </w:tcBorders>
            <w:hideMark/>
          </w:tcPr>
          <w:p w14:paraId="2AD3AD09" w14:textId="77777777" w:rsidR="0042567B" w:rsidRPr="0042567B" w:rsidRDefault="0042567B" w:rsidP="0042567B">
            <w:pPr>
              <w:spacing w:line="240" w:lineRule="auto"/>
              <w:ind w:firstLineChars="0" w:firstLine="0"/>
              <w:cnfStyle w:val="100000000000" w:firstRow="1"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hint="eastAsia"/>
                <w:sz w:val="24"/>
                <w:szCs w:val="21"/>
              </w:rPr>
              <w:t>人均</w:t>
            </w:r>
            <w:r w:rsidRPr="0042567B">
              <w:rPr>
                <w:rFonts w:eastAsia="楷体"/>
                <w:sz w:val="24"/>
                <w:szCs w:val="21"/>
              </w:rPr>
              <w:t>GDP</w:t>
            </w:r>
          </w:p>
          <w:p w14:paraId="15A1EAB2" w14:textId="77777777" w:rsidR="0042567B" w:rsidRPr="0042567B" w:rsidRDefault="0042567B" w:rsidP="0042567B">
            <w:pPr>
              <w:spacing w:line="240" w:lineRule="auto"/>
              <w:ind w:firstLineChars="0" w:firstLine="0"/>
              <w:cnfStyle w:val="100000000000" w:firstRow="1"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hint="eastAsia"/>
                <w:sz w:val="24"/>
                <w:szCs w:val="21"/>
              </w:rPr>
              <w:t>约</w:t>
            </w:r>
            <w:r w:rsidRPr="0042567B">
              <w:rPr>
                <w:rFonts w:eastAsia="楷体"/>
                <w:sz w:val="24"/>
                <w:szCs w:val="21"/>
              </w:rPr>
              <w:t>1</w:t>
            </w:r>
            <w:r w:rsidRPr="0042567B">
              <w:rPr>
                <w:rFonts w:eastAsia="楷体" w:hint="eastAsia"/>
                <w:sz w:val="24"/>
                <w:szCs w:val="21"/>
              </w:rPr>
              <w:t>万美元年份</w:t>
            </w:r>
          </w:p>
        </w:tc>
        <w:tc>
          <w:tcPr>
            <w:tcW w:w="874" w:type="pct"/>
            <w:tcBorders>
              <w:top w:val="single" w:sz="4" w:space="0" w:color="7F7F7F"/>
              <w:left w:val="nil"/>
              <w:right w:val="nil"/>
            </w:tcBorders>
            <w:hideMark/>
          </w:tcPr>
          <w:p w14:paraId="7FB55985" w14:textId="77777777" w:rsidR="0042567B" w:rsidRPr="0042567B" w:rsidRDefault="0042567B" w:rsidP="0042567B">
            <w:pPr>
              <w:spacing w:line="240" w:lineRule="auto"/>
              <w:ind w:firstLineChars="0" w:firstLine="0"/>
              <w:cnfStyle w:val="100000000000" w:firstRow="1"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hint="eastAsia"/>
                <w:sz w:val="24"/>
                <w:szCs w:val="21"/>
              </w:rPr>
              <w:t>人均碳排放</w:t>
            </w:r>
          </w:p>
          <w:p w14:paraId="6B383F9F" w14:textId="77777777" w:rsidR="0042567B" w:rsidRPr="0042567B" w:rsidRDefault="0042567B" w:rsidP="0042567B">
            <w:pPr>
              <w:spacing w:line="240" w:lineRule="auto"/>
              <w:ind w:firstLineChars="0" w:firstLine="0"/>
              <w:cnfStyle w:val="100000000000" w:firstRow="1"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hint="eastAsia"/>
                <w:sz w:val="24"/>
                <w:szCs w:val="21"/>
              </w:rPr>
              <w:t>（吨</w:t>
            </w:r>
            <w:r w:rsidRPr="0042567B">
              <w:rPr>
                <w:rFonts w:eastAsia="楷体"/>
                <w:sz w:val="24"/>
                <w:szCs w:val="21"/>
              </w:rPr>
              <w:t>/</w:t>
            </w:r>
            <w:r w:rsidRPr="0042567B">
              <w:rPr>
                <w:rFonts w:eastAsia="楷体" w:hint="eastAsia"/>
                <w:sz w:val="24"/>
                <w:szCs w:val="21"/>
              </w:rPr>
              <w:t>人）</w:t>
            </w:r>
          </w:p>
        </w:tc>
        <w:tc>
          <w:tcPr>
            <w:tcW w:w="756" w:type="pct"/>
            <w:tcBorders>
              <w:top w:val="single" w:sz="4" w:space="0" w:color="7F7F7F"/>
              <w:left w:val="nil"/>
              <w:right w:val="nil"/>
            </w:tcBorders>
            <w:hideMark/>
          </w:tcPr>
          <w:p w14:paraId="67ED9DC9" w14:textId="77777777" w:rsidR="0042567B" w:rsidRPr="0042567B" w:rsidRDefault="0042567B" w:rsidP="0042567B">
            <w:pPr>
              <w:spacing w:line="240" w:lineRule="auto"/>
              <w:ind w:firstLineChars="0" w:firstLine="0"/>
              <w:cnfStyle w:val="100000000000" w:firstRow="1"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hint="eastAsia"/>
                <w:sz w:val="24"/>
                <w:szCs w:val="21"/>
              </w:rPr>
              <w:t>交通碳排放（亿吨）</w:t>
            </w:r>
          </w:p>
        </w:tc>
        <w:tc>
          <w:tcPr>
            <w:tcW w:w="1175" w:type="pct"/>
            <w:tcBorders>
              <w:top w:val="single" w:sz="4" w:space="0" w:color="7F7F7F"/>
              <w:left w:val="nil"/>
              <w:right w:val="nil"/>
            </w:tcBorders>
            <w:hideMark/>
          </w:tcPr>
          <w:p w14:paraId="21CB1EEF" w14:textId="77777777" w:rsidR="0042567B" w:rsidRPr="0042567B" w:rsidRDefault="0042567B" w:rsidP="0042567B">
            <w:pPr>
              <w:spacing w:line="240" w:lineRule="auto"/>
              <w:ind w:firstLineChars="0" w:firstLine="0"/>
              <w:cnfStyle w:val="100000000000" w:firstRow="1"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hint="eastAsia"/>
                <w:sz w:val="24"/>
                <w:szCs w:val="21"/>
              </w:rPr>
              <w:t>交通碳排放占</w:t>
            </w:r>
          </w:p>
          <w:p w14:paraId="086E746B" w14:textId="77777777" w:rsidR="0042567B" w:rsidRPr="0042567B" w:rsidRDefault="0042567B" w:rsidP="0042567B">
            <w:pPr>
              <w:spacing w:line="240" w:lineRule="auto"/>
              <w:ind w:firstLineChars="0" w:firstLine="0"/>
              <w:cnfStyle w:val="100000000000" w:firstRow="1"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hint="eastAsia"/>
                <w:sz w:val="24"/>
                <w:szCs w:val="21"/>
              </w:rPr>
              <w:t>本国碳排放比例</w:t>
            </w:r>
          </w:p>
        </w:tc>
        <w:tc>
          <w:tcPr>
            <w:tcW w:w="883" w:type="pct"/>
            <w:tcBorders>
              <w:top w:val="single" w:sz="4" w:space="0" w:color="7F7F7F"/>
              <w:left w:val="nil"/>
              <w:right w:val="nil"/>
            </w:tcBorders>
            <w:hideMark/>
          </w:tcPr>
          <w:p w14:paraId="1074EC30" w14:textId="77777777" w:rsidR="0042567B" w:rsidRPr="0042567B" w:rsidRDefault="0042567B" w:rsidP="0042567B">
            <w:pPr>
              <w:spacing w:line="240" w:lineRule="auto"/>
              <w:ind w:firstLineChars="0" w:firstLine="0"/>
              <w:cnfStyle w:val="100000000000" w:firstRow="1"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hint="eastAsia"/>
                <w:sz w:val="24"/>
                <w:szCs w:val="21"/>
              </w:rPr>
              <w:t>人均交通碳排放（吨</w:t>
            </w:r>
            <w:r w:rsidRPr="0042567B">
              <w:rPr>
                <w:rFonts w:eastAsia="楷体"/>
                <w:sz w:val="24"/>
                <w:szCs w:val="21"/>
              </w:rPr>
              <w:t>/</w:t>
            </w:r>
            <w:r w:rsidRPr="0042567B">
              <w:rPr>
                <w:rFonts w:eastAsia="楷体" w:hint="eastAsia"/>
                <w:sz w:val="24"/>
                <w:szCs w:val="21"/>
              </w:rPr>
              <w:t>人）</w:t>
            </w:r>
          </w:p>
        </w:tc>
      </w:tr>
      <w:tr w:rsidR="0042567B" w:rsidRPr="0042567B" w14:paraId="7C840B5B" w14:textId="77777777" w:rsidTr="0042567B">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472" w:type="pct"/>
            <w:tcBorders>
              <w:left w:val="nil"/>
              <w:right w:val="nil"/>
            </w:tcBorders>
            <w:hideMark/>
          </w:tcPr>
          <w:p w14:paraId="3A16C27A" w14:textId="77777777" w:rsidR="0042567B" w:rsidRPr="0042567B" w:rsidRDefault="0042567B" w:rsidP="0042567B">
            <w:pPr>
              <w:spacing w:line="240" w:lineRule="auto"/>
              <w:ind w:firstLineChars="0" w:firstLine="0"/>
              <w:rPr>
                <w:rFonts w:eastAsia="楷体"/>
                <w:sz w:val="24"/>
                <w:szCs w:val="21"/>
              </w:rPr>
            </w:pPr>
            <w:r w:rsidRPr="0042567B">
              <w:rPr>
                <w:rFonts w:eastAsia="楷体" w:hint="eastAsia"/>
                <w:sz w:val="24"/>
                <w:szCs w:val="21"/>
              </w:rPr>
              <w:t>美国</w:t>
            </w:r>
          </w:p>
        </w:tc>
        <w:tc>
          <w:tcPr>
            <w:tcW w:w="840" w:type="pct"/>
            <w:tcBorders>
              <w:left w:val="nil"/>
              <w:right w:val="nil"/>
            </w:tcBorders>
            <w:hideMark/>
          </w:tcPr>
          <w:p w14:paraId="162FA574" w14:textId="77777777" w:rsidR="0042567B" w:rsidRPr="0042567B" w:rsidRDefault="0042567B" w:rsidP="0042567B">
            <w:pPr>
              <w:spacing w:line="240" w:lineRule="auto"/>
              <w:ind w:firstLineChars="0" w:firstLine="0"/>
              <w:cnfStyle w:val="000000100000" w:firstRow="0" w:lastRow="0" w:firstColumn="0" w:lastColumn="0" w:oddVBand="0" w:evenVBand="0" w:oddHBand="1" w:evenHBand="0" w:firstRowFirstColumn="0" w:firstRowLastColumn="0" w:lastRowFirstColumn="0" w:lastRowLastColumn="0"/>
              <w:rPr>
                <w:rFonts w:eastAsia="楷体"/>
                <w:sz w:val="24"/>
                <w:szCs w:val="21"/>
              </w:rPr>
            </w:pPr>
            <w:r w:rsidRPr="0042567B">
              <w:rPr>
                <w:rFonts w:eastAsia="楷体"/>
                <w:sz w:val="24"/>
                <w:szCs w:val="21"/>
              </w:rPr>
              <w:t>1978</w:t>
            </w:r>
            <w:r w:rsidRPr="0042567B">
              <w:rPr>
                <w:rFonts w:eastAsia="楷体" w:hint="eastAsia"/>
                <w:sz w:val="24"/>
                <w:szCs w:val="21"/>
              </w:rPr>
              <w:t>年</w:t>
            </w:r>
          </w:p>
        </w:tc>
        <w:tc>
          <w:tcPr>
            <w:tcW w:w="874" w:type="pct"/>
            <w:tcBorders>
              <w:left w:val="nil"/>
              <w:right w:val="nil"/>
            </w:tcBorders>
            <w:hideMark/>
          </w:tcPr>
          <w:p w14:paraId="3CEB1288" w14:textId="77777777" w:rsidR="0042567B" w:rsidRPr="0042567B" w:rsidRDefault="0042567B" w:rsidP="0042567B">
            <w:pPr>
              <w:spacing w:line="240" w:lineRule="auto"/>
              <w:ind w:firstLineChars="0" w:firstLine="0"/>
              <w:cnfStyle w:val="000000100000" w:firstRow="0" w:lastRow="0" w:firstColumn="0" w:lastColumn="0" w:oddVBand="0" w:evenVBand="0" w:oddHBand="1" w:evenHBand="0" w:firstRowFirstColumn="0" w:firstRowLastColumn="0" w:lastRowFirstColumn="0" w:lastRowLastColumn="0"/>
              <w:rPr>
                <w:rFonts w:eastAsia="楷体"/>
                <w:sz w:val="24"/>
                <w:szCs w:val="21"/>
              </w:rPr>
            </w:pPr>
            <w:r w:rsidRPr="0042567B">
              <w:rPr>
                <w:rFonts w:eastAsia="楷体"/>
                <w:sz w:val="24"/>
                <w:szCs w:val="21"/>
              </w:rPr>
              <w:t xml:space="preserve">27.20 </w:t>
            </w:r>
          </w:p>
        </w:tc>
        <w:tc>
          <w:tcPr>
            <w:tcW w:w="756" w:type="pct"/>
            <w:tcBorders>
              <w:left w:val="nil"/>
              <w:right w:val="nil"/>
            </w:tcBorders>
            <w:hideMark/>
          </w:tcPr>
          <w:p w14:paraId="2132B882" w14:textId="77777777" w:rsidR="0042567B" w:rsidRPr="0042567B" w:rsidRDefault="0042567B" w:rsidP="0042567B">
            <w:pPr>
              <w:spacing w:line="240" w:lineRule="auto"/>
              <w:ind w:firstLineChars="0" w:firstLine="0"/>
              <w:cnfStyle w:val="000000100000" w:firstRow="0" w:lastRow="0" w:firstColumn="0" w:lastColumn="0" w:oddVBand="0" w:evenVBand="0" w:oddHBand="1" w:evenHBand="0" w:firstRowFirstColumn="0" w:firstRowLastColumn="0" w:lastRowFirstColumn="0" w:lastRowLastColumn="0"/>
              <w:rPr>
                <w:rFonts w:eastAsia="楷体"/>
                <w:sz w:val="24"/>
                <w:szCs w:val="21"/>
              </w:rPr>
            </w:pPr>
            <w:r w:rsidRPr="0042567B">
              <w:rPr>
                <w:rFonts w:eastAsia="楷体"/>
                <w:sz w:val="24"/>
                <w:szCs w:val="21"/>
              </w:rPr>
              <w:t xml:space="preserve">16.90 </w:t>
            </w:r>
          </w:p>
        </w:tc>
        <w:tc>
          <w:tcPr>
            <w:tcW w:w="1175" w:type="pct"/>
            <w:tcBorders>
              <w:left w:val="nil"/>
              <w:right w:val="nil"/>
            </w:tcBorders>
            <w:hideMark/>
          </w:tcPr>
          <w:p w14:paraId="31DD298C" w14:textId="77777777" w:rsidR="0042567B" w:rsidRPr="0042567B" w:rsidRDefault="0042567B" w:rsidP="0042567B">
            <w:pPr>
              <w:spacing w:line="240" w:lineRule="auto"/>
              <w:ind w:firstLineChars="0" w:firstLine="0"/>
              <w:cnfStyle w:val="000000100000" w:firstRow="0" w:lastRow="0" w:firstColumn="0" w:lastColumn="0" w:oddVBand="0" w:evenVBand="0" w:oddHBand="1" w:evenHBand="0" w:firstRowFirstColumn="0" w:firstRowLastColumn="0" w:lastRowFirstColumn="0" w:lastRowLastColumn="0"/>
              <w:rPr>
                <w:rFonts w:eastAsia="楷体"/>
                <w:sz w:val="24"/>
                <w:szCs w:val="21"/>
              </w:rPr>
            </w:pPr>
            <w:r w:rsidRPr="0042567B">
              <w:rPr>
                <w:rFonts w:eastAsia="楷体"/>
                <w:sz w:val="24"/>
                <w:szCs w:val="21"/>
              </w:rPr>
              <w:t>27.91%</w:t>
            </w:r>
          </w:p>
        </w:tc>
        <w:tc>
          <w:tcPr>
            <w:tcW w:w="883" w:type="pct"/>
            <w:tcBorders>
              <w:left w:val="nil"/>
              <w:right w:val="nil"/>
            </w:tcBorders>
            <w:hideMark/>
          </w:tcPr>
          <w:p w14:paraId="0C8F9CEE" w14:textId="77777777" w:rsidR="0042567B" w:rsidRPr="0042567B" w:rsidRDefault="0042567B" w:rsidP="0042567B">
            <w:pPr>
              <w:spacing w:line="240" w:lineRule="auto"/>
              <w:ind w:firstLineChars="0" w:firstLine="0"/>
              <w:cnfStyle w:val="000000100000" w:firstRow="0" w:lastRow="0" w:firstColumn="0" w:lastColumn="0" w:oddVBand="0" w:evenVBand="0" w:oddHBand="1" w:evenHBand="0" w:firstRowFirstColumn="0" w:firstRowLastColumn="0" w:lastRowFirstColumn="0" w:lastRowLastColumn="0"/>
              <w:rPr>
                <w:rFonts w:eastAsia="楷体"/>
                <w:sz w:val="24"/>
                <w:szCs w:val="21"/>
              </w:rPr>
            </w:pPr>
            <w:r w:rsidRPr="0042567B">
              <w:rPr>
                <w:rFonts w:eastAsia="楷体"/>
                <w:sz w:val="24"/>
                <w:szCs w:val="21"/>
              </w:rPr>
              <w:t xml:space="preserve">7.59 </w:t>
            </w:r>
          </w:p>
        </w:tc>
      </w:tr>
      <w:tr w:rsidR="0042567B" w:rsidRPr="0042567B" w14:paraId="1906FDE9" w14:textId="77777777" w:rsidTr="0042567B">
        <w:trPr>
          <w:trHeight w:val="379"/>
        </w:trPr>
        <w:tc>
          <w:tcPr>
            <w:cnfStyle w:val="001000000000" w:firstRow="0" w:lastRow="0" w:firstColumn="1" w:lastColumn="0" w:oddVBand="0" w:evenVBand="0" w:oddHBand="0" w:evenHBand="0" w:firstRowFirstColumn="0" w:firstRowLastColumn="0" w:lastRowFirstColumn="0" w:lastRowLastColumn="0"/>
            <w:tcW w:w="472" w:type="pct"/>
            <w:tcBorders>
              <w:top w:val="nil"/>
              <w:left w:val="nil"/>
              <w:bottom w:val="nil"/>
              <w:right w:val="nil"/>
            </w:tcBorders>
            <w:hideMark/>
          </w:tcPr>
          <w:p w14:paraId="70B4AB66" w14:textId="77777777" w:rsidR="0042567B" w:rsidRPr="0042567B" w:rsidRDefault="0042567B" w:rsidP="0042567B">
            <w:pPr>
              <w:spacing w:line="240" w:lineRule="auto"/>
              <w:ind w:firstLineChars="0" w:firstLine="0"/>
              <w:rPr>
                <w:rFonts w:eastAsia="楷体"/>
                <w:sz w:val="24"/>
                <w:szCs w:val="21"/>
              </w:rPr>
            </w:pPr>
            <w:r w:rsidRPr="0042567B">
              <w:rPr>
                <w:rFonts w:eastAsia="楷体" w:hint="eastAsia"/>
                <w:sz w:val="24"/>
                <w:szCs w:val="21"/>
              </w:rPr>
              <w:t>日本</w:t>
            </w:r>
          </w:p>
        </w:tc>
        <w:tc>
          <w:tcPr>
            <w:tcW w:w="840" w:type="pct"/>
            <w:tcBorders>
              <w:top w:val="nil"/>
              <w:left w:val="nil"/>
              <w:bottom w:val="nil"/>
              <w:right w:val="nil"/>
            </w:tcBorders>
            <w:hideMark/>
          </w:tcPr>
          <w:p w14:paraId="5E20664F" w14:textId="77777777" w:rsidR="0042567B" w:rsidRPr="0042567B" w:rsidRDefault="0042567B" w:rsidP="0042567B">
            <w:pPr>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sz w:val="24"/>
                <w:szCs w:val="21"/>
              </w:rPr>
              <w:t>1981</w:t>
            </w:r>
            <w:r w:rsidRPr="0042567B">
              <w:rPr>
                <w:rFonts w:eastAsia="楷体" w:hint="eastAsia"/>
                <w:sz w:val="24"/>
                <w:szCs w:val="21"/>
              </w:rPr>
              <w:t>年</w:t>
            </w:r>
          </w:p>
        </w:tc>
        <w:tc>
          <w:tcPr>
            <w:tcW w:w="874" w:type="pct"/>
            <w:tcBorders>
              <w:top w:val="nil"/>
              <w:left w:val="nil"/>
              <w:bottom w:val="nil"/>
              <w:right w:val="nil"/>
            </w:tcBorders>
            <w:hideMark/>
          </w:tcPr>
          <w:p w14:paraId="1C01C117" w14:textId="77777777" w:rsidR="0042567B" w:rsidRPr="0042567B" w:rsidRDefault="0042567B" w:rsidP="0042567B">
            <w:pPr>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sz w:val="24"/>
                <w:szCs w:val="21"/>
              </w:rPr>
              <w:t xml:space="preserve">9.40 </w:t>
            </w:r>
          </w:p>
        </w:tc>
        <w:tc>
          <w:tcPr>
            <w:tcW w:w="756" w:type="pct"/>
            <w:tcBorders>
              <w:top w:val="nil"/>
              <w:left w:val="nil"/>
              <w:bottom w:val="nil"/>
              <w:right w:val="nil"/>
            </w:tcBorders>
            <w:hideMark/>
          </w:tcPr>
          <w:p w14:paraId="0A594169" w14:textId="77777777" w:rsidR="0042567B" w:rsidRPr="0042567B" w:rsidRDefault="0042567B" w:rsidP="0042567B">
            <w:pPr>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sz w:val="24"/>
                <w:szCs w:val="21"/>
              </w:rPr>
              <w:t xml:space="preserve">2.01 </w:t>
            </w:r>
          </w:p>
        </w:tc>
        <w:tc>
          <w:tcPr>
            <w:tcW w:w="1175" w:type="pct"/>
            <w:tcBorders>
              <w:top w:val="nil"/>
              <w:left w:val="nil"/>
              <w:bottom w:val="nil"/>
              <w:right w:val="nil"/>
            </w:tcBorders>
            <w:hideMark/>
          </w:tcPr>
          <w:p w14:paraId="1D2F1983" w14:textId="77777777" w:rsidR="0042567B" w:rsidRPr="0042567B" w:rsidRDefault="0042567B" w:rsidP="0042567B">
            <w:pPr>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sz w:val="24"/>
                <w:szCs w:val="21"/>
              </w:rPr>
              <w:t>18.19%</w:t>
            </w:r>
          </w:p>
        </w:tc>
        <w:tc>
          <w:tcPr>
            <w:tcW w:w="883" w:type="pct"/>
            <w:tcBorders>
              <w:top w:val="nil"/>
              <w:left w:val="nil"/>
              <w:bottom w:val="nil"/>
              <w:right w:val="nil"/>
            </w:tcBorders>
            <w:hideMark/>
          </w:tcPr>
          <w:p w14:paraId="32F26B31" w14:textId="77777777" w:rsidR="0042567B" w:rsidRPr="0042567B" w:rsidRDefault="0042567B" w:rsidP="0042567B">
            <w:pPr>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sz w:val="24"/>
                <w:szCs w:val="21"/>
              </w:rPr>
              <w:t xml:space="preserve">1.71 </w:t>
            </w:r>
          </w:p>
        </w:tc>
      </w:tr>
      <w:tr w:rsidR="0042567B" w:rsidRPr="0042567B" w14:paraId="5E584828" w14:textId="77777777" w:rsidTr="0042567B">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472" w:type="pct"/>
            <w:tcBorders>
              <w:left w:val="nil"/>
              <w:right w:val="nil"/>
            </w:tcBorders>
            <w:hideMark/>
          </w:tcPr>
          <w:p w14:paraId="3C479595" w14:textId="77777777" w:rsidR="0042567B" w:rsidRPr="0042567B" w:rsidRDefault="0042567B" w:rsidP="0042567B">
            <w:pPr>
              <w:spacing w:line="240" w:lineRule="auto"/>
              <w:ind w:firstLineChars="0" w:firstLine="0"/>
              <w:rPr>
                <w:rFonts w:eastAsia="楷体"/>
                <w:sz w:val="24"/>
                <w:szCs w:val="21"/>
              </w:rPr>
            </w:pPr>
            <w:r w:rsidRPr="0042567B">
              <w:rPr>
                <w:rFonts w:eastAsia="楷体" w:hint="eastAsia"/>
                <w:sz w:val="24"/>
                <w:szCs w:val="21"/>
              </w:rPr>
              <w:t>德国</w:t>
            </w:r>
          </w:p>
        </w:tc>
        <w:tc>
          <w:tcPr>
            <w:tcW w:w="840" w:type="pct"/>
            <w:tcBorders>
              <w:left w:val="nil"/>
              <w:right w:val="nil"/>
            </w:tcBorders>
            <w:hideMark/>
          </w:tcPr>
          <w:p w14:paraId="214248FA" w14:textId="77777777" w:rsidR="0042567B" w:rsidRPr="0042567B" w:rsidRDefault="0042567B" w:rsidP="0042567B">
            <w:pPr>
              <w:spacing w:line="240" w:lineRule="auto"/>
              <w:ind w:firstLineChars="0" w:firstLine="0"/>
              <w:cnfStyle w:val="000000100000" w:firstRow="0" w:lastRow="0" w:firstColumn="0" w:lastColumn="0" w:oddVBand="0" w:evenVBand="0" w:oddHBand="1" w:evenHBand="0" w:firstRowFirstColumn="0" w:firstRowLastColumn="0" w:lastRowFirstColumn="0" w:lastRowLastColumn="0"/>
              <w:rPr>
                <w:rFonts w:eastAsia="楷体"/>
                <w:sz w:val="24"/>
                <w:szCs w:val="21"/>
              </w:rPr>
            </w:pPr>
            <w:r w:rsidRPr="0042567B">
              <w:rPr>
                <w:rFonts w:eastAsia="楷体"/>
                <w:sz w:val="24"/>
                <w:szCs w:val="21"/>
              </w:rPr>
              <w:t>1979</w:t>
            </w:r>
            <w:r w:rsidRPr="0042567B">
              <w:rPr>
                <w:rFonts w:eastAsia="楷体" w:hint="eastAsia"/>
                <w:sz w:val="24"/>
                <w:szCs w:val="21"/>
              </w:rPr>
              <w:t>年</w:t>
            </w:r>
          </w:p>
        </w:tc>
        <w:tc>
          <w:tcPr>
            <w:tcW w:w="874" w:type="pct"/>
            <w:tcBorders>
              <w:left w:val="nil"/>
              <w:right w:val="nil"/>
            </w:tcBorders>
            <w:hideMark/>
          </w:tcPr>
          <w:p w14:paraId="06F65C1E" w14:textId="77777777" w:rsidR="0042567B" w:rsidRPr="0042567B" w:rsidRDefault="0042567B" w:rsidP="0042567B">
            <w:pPr>
              <w:spacing w:line="240" w:lineRule="auto"/>
              <w:ind w:firstLineChars="0" w:firstLine="0"/>
              <w:cnfStyle w:val="000000100000" w:firstRow="0" w:lastRow="0" w:firstColumn="0" w:lastColumn="0" w:oddVBand="0" w:evenVBand="0" w:oddHBand="1" w:evenHBand="0" w:firstRowFirstColumn="0" w:firstRowLastColumn="0" w:lastRowFirstColumn="0" w:lastRowLastColumn="0"/>
              <w:rPr>
                <w:rFonts w:eastAsia="楷体"/>
                <w:sz w:val="24"/>
                <w:szCs w:val="21"/>
              </w:rPr>
            </w:pPr>
            <w:r w:rsidRPr="0042567B">
              <w:rPr>
                <w:rFonts w:eastAsia="楷体"/>
                <w:sz w:val="24"/>
                <w:szCs w:val="21"/>
              </w:rPr>
              <w:t xml:space="preserve">18.07 </w:t>
            </w:r>
          </w:p>
        </w:tc>
        <w:tc>
          <w:tcPr>
            <w:tcW w:w="756" w:type="pct"/>
            <w:tcBorders>
              <w:left w:val="nil"/>
              <w:right w:val="nil"/>
            </w:tcBorders>
            <w:hideMark/>
          </w:tcPr>
          <w:p w14:paraId="34388E57" w14:textId="77777777" w:rsidR="0042567B" w:rsidRPr="0042567B" w:rsidRDefault="0042567B" w:rsidP="0042567B">
            <w:pPr>
              <w:spacing w:line="240" w:lineRule="auto"/>
              <w:ind w:firstLineChars="0" w:firstLine="0"/>
              <w:cnfStyle w:val="000000100000" w:firstRow="0" w:lastRow="0" w:firstColumn="0" w:lastColumn="0" w:oddVBand="0" w:evenVBand="0" w:oddHBand="1" w:evenHBand="0" w:firstRowFirstColumn="0" w:firstRowLastColumn="0" w:lastRowFirstColumn="0" w:lastRowLastColumn="0"/>
              <w:rPr>
                <w:rFonts w:eastAsia="楷体"/>
                <w:sz w:val="24"/>
                <w:szCs w:val="21"/>
              </w:rPr>
            </w:pPr>
            <w:r w:rsidRPr="0042567B">
              <w:rPr>
                <w:rFonts w:eastAsia="楷体"/>
                <w:sz w:val="24"/>
                <w:szCs w:val="21"/>
              </w:rPr>
              <w:t xml:space="preserve">1.62 </w:t>
            </w:r>
          </w:p>
        </w:tc>
        <w:tc>
          <w:tcPr>
            <w:tcW w:w="1175" w:type="pct"/>
            <w:tcBorders>
              <w:left w:val="nil"/>
              <w:right w:val="nil"/>
            </w:tcBorders>
            <w:hideMark/>
          </w:tcPr>
          <w:p w14:paraId="78B97638" w14:textId="77777777" w:rsidR="0042567B" w:rsidRPr="0042567B" w:rsidRDefault="0042567B" w:rsidP="0042567B">
            <w:pPr>
              <w:spacing w:line="240" w:lineRule="auto"/>
              <w:ind w:firstLineChars="0" w:firstLine="0"/>
              <w:cnfStyle w:val="000000100000" w:firstRow="0" w:lastRow="0" w:firstColumn="0" w:lastColumn="0" w:oddVBand="0" w:evenVBand="0" w:oddHBand="1" w:evenHBand="0" w:firstRowFirstColumn="0" w:firstRowLastColumn="0" w:lastRowFirstColumn="0" w:lastRowLastColumn="0"/>
              <w:rPr>
                <w:rFonts w:eastAsia="楷体"/>
                <w:sz w:val="24"/>
                <w:szCs w:val="21"/>
              </w:rPr>
            </w:pPr>
            <w:r w:rsidRPr="0042567B">
              <w:rPr>
                <w:rFonts w:eastAsia="楷体"/>
                <w:sz w:val="24"/>
                <w:szCs w:val="21"/>
              </w:rPr>
              <w:t>11.48%</w:t>
            </w:r>
          </w:p>
        </w:tc>
        <w:tc>
          <w:tcPr>
            <w:tcW w:w="883" w:type="pct"/>
            <w:tcBorders>
              <w:left w:val="nil"/>
              <w:right w:val="nil"/>
            </w:tcBorders>
            <w:hideMark/>
          </w:tcPr>
          <w:p w14:paraId="7DF941A5" w14:textId="77777777" w:rsidR="0042567B" w:rsidRPr="0042567B" w:rsidRDefault="0042567B" w:rsidP="0042567B">
            <w:pPr>
              <w:spacing w:line="240" w:lineRule="auto"/>
              <w:ind w:firstLineChars="0" w:firstLine="0"/>
              <w:cnfStyle w:val="000000100000" w:firstRow="0" w:lastRow="0" w:firstColumn="0" w:lastColumn="0" w:oddVBand="0" w:evenVBand="0" w:oddHBand="1" w:evenHBand="0" w:firstRowFirstColumn="0" w:firstRowLastColumn="0" w:lastRowFirstColumn="0" w:lastRowLastColumn="0"/>
              <w:rPr>
                <w:rFonts w:eastAsia="楷体"/>
                <w:sz w:val="24"/>
                <w:szCs w:val="21"/>
              </w:rPr>
            </w:pPr>
            <w:r w:rsidRPr="0042567B">
              <w:rPr>
                <w:rFonts w:eastAsia="楷体"/>
                <w:sz w:val="24"/>
                <w:szCs w:val="21"/>
              </w:rPr>
              <w:t xml:space="preserve">2.08 </w:t>
            </w:r>
          </w:p>
        </w:tc>
      </w:tr>
      <w:tr w:rsidR="0042567B" w:rsidRPr="0042567B" w14:paraId="3DADF495" w14:textId="77777777" w:rsidTr="0042567B">
        <w:trPr>
          <w:trHeight w:val="369"/>
        </w:trPr>
        <w:tc>
          <w:tcPr>
            <w:cnfStyle w:val="001000000000" w:firstRow="0" w:lastRow="0" w:firstColumn="1" w:lastColumn="0" w:oddVBand="0" w:evenVBand="0" w:oddHBand="0" w:evenHBand="0" w:firstRowFirstColumn="0" w:firstRowLastColumn="0" w:lastRowFirstColumn="0" w:lastRowLastColumn="0"/>
            <w:tcW w:w="472" w:type="pct"/>
            <w:tcBorders>
              <w:top w:val="nil"/>
              <w:left w:val="nil"/>
              <w:bottom w:val="single" w:sz="4" w:space="0" w:color="7F7F7F"/>
              <w:right w:val="nil"/>
            </w:tcBorders>
            <w:hideMark/>
          </w:tcPr>
          <w:p w14:paraId="7BD5120D" w14:textId="77777777" w:rsidR="0042567B" w:rsidRPr="0042567B" w:rsidRDefault="0042567B" w:rsidP="0042567B">
            <w:pPr>
              <w:spacing w:line="240" w:lineRule="auto"/>
              <w:ind w:firstLineChars="0" w:firstLine="0"/>
              <w:rPr>
                <w:rFonts w:eastAsia="楷体"/>
                <w:sz w:val="24"/>
                <w:szCs w:val="21"/>
              </w:rPr>
            </w:pPr>
            <w:r w:rsidRPr="0042567B">
              <w:rPr>
                <w:rFonts w:eastAsia="楷体" w:hint="eastAsia"/>
                <w:sz w:val="24"/>
                <w:szCs w:val="21"/>
              </w:rPr>
              <w:lastRenderedPageBreak/>
              <w:t>中国</w:t>
            </w:r>
          </w:p>
        </w:tc>
        <w:tc>
          <w:tcPr>
            <w:tcW w:w="840" w:type="pct"/>
            <w:tcBorders>
              <w:top w:val="nil"/>
              <w:left w:val="nil"/>
              <w:bottom w:val="single" w:sz="4" w:space="0" w:color="7F7F7F"/>
              <w:right w:val="nil"/>
            </w:tcBorders>
            <w:hideMark/>
          </w:tcPr>
          <w:p w14:paraId="38226FAA" w14:textId="77777777" w:rsidR="0042567B" w:rsidRPr="0042567B" w:rsidRDefault="0042567B" w:rsidP="0042567B">
            <w:pPr>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sz w:val="24"/>
                <w:szCs w:val="21"/>
              </w:rPr>
              <w:t>2018</w:t>
            </w:r>
            <w:r w:rsidRPr="0042567B">
              <w:rPr>
                <w:rFonts w:eastAsia="楷体" w:hint="eastAsia"/>
                <w:sz w:val="24"/>
                <w:szCs w:val="21"/>
              </w:rPr>
              <w:t>年</w:t>
            </w:r>
          </w:p>
        </w:tc>
        <w:tc>
          <w:tcPr>
            <w:tcW w:w="874" w:type="pct"/>
            <w:tcBorders>
              <w:top w:val="nil"/>
              <w:left w:val="nil"/>
              <w:bottom w:val="single" w:sz="4" w:space="0" w:color="7F7F7F"/>
              <w:right w:val="nil"/>
            </w:tcBorders>
            <w:hideMark/>
          </w:tcPr>
          <w:p w14:paraId="1C2298D0" w14:textId="77777777" w:rsidR="0042567B" w:rsidRPr="0042567B" w:rsidRDefault="0042567B" w:rsidP="0042567B">
            <w:pPr>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sz w:val="24"/>
                <w:szCs w:val="21"/>
              </w:rPr>
              <w:t xml:space="preserve">7.52 </w:t>
            </w:r>
          </w:p>
        </w:tc>
        <w:tc>
          <w:tcPr>
            <w:tcW w:w="756" w:type="pct"/>
            <w:tcBorders>
              <w:top w:val="nil"/>
              <w:left w:val="nil"/>
              <w:bottom w:val="single" w:sz="4" w:space="0" w:color="7F7F7F"/>
              <w:right w:val="nil"/>
            </w:tcBorders>
            <w:hideMark/>
          </w:tcPr>
          <w:p w14:paraId="764D250C" w14:textId="77777777" w:rsidR="0042567B" w:rsidRPr="0042567B" w:rsidRDefault="0042567B" w:rsidP="0042567B">
            <w:pPr>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sz w:val="24"/>
                <w:szCs w:val="21"/>
              </w:rPr>
              <w:t xml:space="preserve">9.84 </w:t>
            </w:r>
          </w:p>
        </w:tc>
        <w:tc>
          <w:tcPr>
            <w:tcW w:w="1175" w:type="pct"/>
            <w:tcBorders>
              <w:top w:val="nil"/>
              <w:left w:val="nil"/>
              <w:bottom w:val="single" w:sz="4" w:space="0" w:color="7F7F7F"/>
              <w:right w:val="nil"/>
            </w:tcBorders>
            <w:hideMark/>
          </w:tcPr>
          <w:p w14:paraId="08933420" w14:textId="77777777" w:rsidR="0042567B" w:rsidRPr="0042567B" w:rsidRDefault="0042567B" w:rsidP="0042567B">
            <w:pPr>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sz w:val="24"/>
                <w:szCs w:val="21"/>
              </w:rPr>
              <w:t>9.40%</w:t>
            </w:r>
          </w:p>
        </w:tc>
        <w:tc>
          <w:tcPr>
            <w:tcW w:w="883" w:type="pct"/>
            <w:tcBorders>
              <w:top w:val="nil"/>
              <w:left w:val="nil"/>
              <w:bottom w:val="single" w:sz="4" w:space="0" w:color="7F7F7F"/>
              <w:right w:val="nil"/>
            </w:tcBorders>
            <w:hideMark/>
          </w:tcPr>
          <w:p w14:paraId="12435F5C" w14:textId="77777777" w:rsidR="0042567B" w:rsidRPr="0042567B" w:rsidRDefault="0042567B" w:rsidP="0042567B">
            <w:pPr>
              <w:spacing w:line="240" w:lineRule="auto"/>
              <w:ind w:firstLineChars="0" w:firstLine="0"/>
              <w:cnfStyle w:val="000000000000" w:firstRow="0" w:lastRow="0" w:firstColumn="0" w:lastColumn="0" w:oddVBand="0" w:evenVBand="0" w:oddHBand="0" w:evenHBand="0" w:firstRowFirstColumn="0" w:firstRowLastColumn="0" w:lastRowFirstColumn="0" w:lastRowLastColumn="0"/>
              <w:rPr>
                <w:rFonts w:eastAsia="楷体"/>
                <w:sz w:val="24"/>
                <w:szCs w:val="21"/>
              </w:rPr>
            </w:pPr>
            <w:r w:rsidRPr="0042567B">
              <w:rPr>
                <w:rFonts w:eastAsia="楷体"/>
                <w:sz w:val="24"/>
                <w:szCs w:val="21"/>
              </w:rPr>
              <w:t xml:space="preserve">0.86 </w:t>
            </w:r>
          </w:p>
        </w:tc>
      </w:tr>
    </w:tbl>
    <w:p w14:paraId="558CDFC1" w14:textId="77777777" w:rsidR="0042567B" w:rsidRPr="0042567B" w:rsidRDefault="0042567B" w:rsidP="0042567B">
      <w:pPr>
        <w:spacing w:line="240" w:lineRule="auto"/>
        <w:ind w:firstLineChars="0" w:firstLine="0"/>
      </w:pPr>
      <w:r w:rsidRPr="0042567B">
        <w:rPr>
          <w:rFonts w:hint="eastAsia"/>
        </w:rPr>
        <w:t>数据来源：世行同口径的碳排放数据</w:t>
      </w:r>
    </w:p>
    <w:p w14:paraId="1870D0F9" w14:textId="77777777" w:rsidR="0042567B" w:rsidRPr="0042567B" w:rsidRDefault="0042567B" w:rsidP="0042567B">
      <w:pPr>
        <w:spacing w:line="240" w:lineRule="auto"/>
        <w:ind w:firstLine="562"/>
        <w:rPr>
          <w:b/>
        </w:rPr>
      </w:pPr>
      <w:r w:rsidRPr="0042567B">
        <w:rPr>
          <w:rFonts w:hint="eastAsia"/>
          <w:b/>
        </w:rPr>
        <w:t>（</w:t>
      </w:r>
      <w:r w:rsidRPr="0042567B">
        <w:rPr>
          <w:b/>
        </w:rPr>
        <w:t>2</w:t>
      </w:r>
      <w:r w:rsidRPr="0042567B">
        <w:rPr>
          <w:rFonts w:hint="eastAsia"/>
          <w:b/>
        </w:rPr>
        <w:t>）美、英、日本等发达国家工业化后期货运增速均有所放缓甚至下降。</w:t>
      </w:r>
    </w:p>
    <w:p w14:paraId="3B0D9C7A" w14:textId="68159BB1" w:rsidR="0042567B" w:rsidRDefault="0042567B" w:rsidP="0042567B">
      <w:pPr>
        <w:spacing w:line="240" w:lineRule="auto"/>
        <w:ind w:firstLine="560"/>
        <w:jc w:val="left"/>
      </w:pPr>
      <w:r w:rsidRPr="0042567B">
        <w:rPr>
          <w:rFonts w:hint="eastAsia"/>
        </w:rPr>
        <w:t>货物运输需求增长速度和</w:t>
      </w:r>
      <w:r w:rsidRPr="0042567B">
        <w:t>GDP</w:t>
      </w:r>
      <w:r w:rsidRPr="0042567B">
        <w:rPr>
          <w:rFonts w:hint="eastAsia"/>
        </w:rPr>
        <w:t>增长速度具有紧密的相关性，在经济较高速度发展时期，货运速度也较高。到工业化后期，随着</w:t>
      </w:r>
      <w:r w:rsidRPr="0042567B">
        <w:t>GDP</w:t>
      </w:r>
      <w:r w:rsidRPr="0042567B">
        <w:rPr>
          <w:rFonts w:hint="eastAsia"/>
        </w:rPr>
        <w:t>由高速向中高速、中低速以至低速发展阶段演变，货运增速也同样呈阶梯性下降趋势。</w:t>
      </w:r>
      <w:r w:rsidRPr="0042567B">
        <w:t>20</w:t>
      </w:r>
      <w:r w:rsidRPr="0042567B">
        <w:rPr>
          <w:rFonts w:hint="eastAsia"/>
        </w:rPr>
        <w:t>世纪</w:t>
      </w:r>
      <w:r w:rsidRPr="0042567B">
        <w:t>80</w:t>
      </w:r>
      <w:r w:rsidRPr="0042567B">
        <w:rPr>
          <w:rFonts w:hint="eastAsia"/>
        </w:rPr>
        <w:t>年代，美国基本完成工业化后，货物周转量开始转向更低速的缓慢增长，</w:t>
      </w:r>
      <w:r w:rsidRPr="0042567B">
        <w:t>1980-2008</w:t>
      </w:r>
      <w:r w:rsidRPr="0042567B">
        <w:rPr>
          <w:rFonts w:hint="eastAsia"/>
        </w:rPr>
        <w:t>年，美国全社会货物周转量年均增速仅为</w:t>
      </w:r>
      <w:r w:rsidRPr="0042567B">
        <w:t>1.2%</w:t>
      </w:r>
      <w:r w:rsidRPr="0042567B">
        <w:rPr>
          <w:rFonts w:hint="eastAsia"/>
        </w:rPr>
        <w:t>。日本受两次石油危机冲击，经济大幅下滑，货物周转量增速也由两位数迅速下跌至</w:t>
      </w:r>
      <w:r w:rsidRPr="0042567B">
        <w:t>2%</w:t>
      </w:r>
      <w:r w:rsidRPr="0042567B">
        <w:rPr>
          <w:rFonts w:hint="eastAsia"/>
        </w:rPr>
        <w:t>左右，虽经过</w:t>
      </w:r>
      <w:r w:rsidRPr="0042567B">
        <w:t>80</w:t>
      </w:r>
      <w:r w:rsidRPr="0042567B">
        <w:rPr>
          <w:rFonts w:hint="eastAsia"/>
        </w:rPr>
        <w:t>年代后期的经济复苏带动货运增速回升至</w:t>
      </w:r>
      <w:r w:rsidRPr="0042567B">
        <w:t>5%</w:t>
      </w:r>
      <w:r w:rsidRPr="0042567B">
        <w:rPr>
          <w:rFonts w:hint="eastAsia"/>
        </w:rPr>
        <w:t>左右，但在</w:t>
      </w:r>
      <w:r w:rsidRPr="0042567B">
        <w:t>90</w:t>
      </w:r>
      <w:r w:rsidRPr="0042567B">
        <w:rPr>
          <w:rFonts w:hint="eastAsia"/>
        </w:rPr>
        <w:t>年代受经济大衰退影响，货运增速再次下滑到</w:t>
      </w:r>
      <w:r w:rsidRPr="0042567B">
        <w:t>1%</w:t>
      </w:r>
      <w:r w:rsidRPr="0042567B">
        <w:rPr>
          <w:rFonts w:hint="eastAsia"/>
        </w:rPr>
        <w:t>以下，进入</w:t>
      </w:r>
      <w:r w:rsidRPr="0042567B">
        <w:t>21</w:t>
      </w:r>
      <w:r w:rsidRPr="0042567B">
        <w:rPr>
          <w:rFonts w:hint="eastAsia"/>
        </w:rPr>
        <w:t>世纪以后日本增长率基本停滞，</w:t>
      </w:r>
      <w:r w:rsidRPr="0042567B">
        <w:t>2008</w:t>
      </w:r>
      <w:r w:rsidRPr="0042567B">
        <w:rPr>
          <w:rFonts w:hint="eastAsia"/>
        </w:rPr>
        <w:t>年金融危机导致其货运量跌至</w:t>
      </w:r>
      <w:r w:rsidRPr="0042567B">
        <w:t>20</w:t>
      </w:r>
      <w:r w:rsidRPr="0042567B">
        <w:rPr>
          <w:rFonts w:hint="eastAsia"/>
        </w:rPr>
        <w:t>世纪</w:t>
      </w:r>
      <w:r w:rsidRPr="0042567B">
        <w:t>80</w:t>
      </w:r>
      <w:r w:rsidRPr="0042567B">
        <w:rPr>
          <w:rFonts w:hint="eastAsia"/>
        </w:rPr>
        <w:t>年代末期水平。英国在</w:t>
      </w:r>
      <w:r w:rsidRPr="0042567B">
        <w:t>1970-1990</w:t>
      </w:r>
      <w:r w:rsidRPr="0042567B">
        <w:rPr>
          <w:rFonts w:hint="eastAsia"/>
        </w:rPr>
        <w:t>年全社会货物周转量年均增长</w:t>
      </w:r>
      <w:r w:rsidRPr="0042567B">
        <w:t>2.41%</w:t>
      </w:r>
      <w:r w:rsidRPr="0042567B">
        <w:rPr>
          <w:rFonts w:hint="eastAsia"/>
        </w:rPr>
        <w:t>，其间受偶然因素影响，仅个别年份出现了大幅增长或下跌，但总体上呈现长期低速增长。</w:t>
      </w:r>
      <w:r w:rsidRPr="0042567B">
        <w:t>2008</w:t>
      </w:r>
      <w:r w:rsidRPr="0042567B">
        <w:rPr>
          <w:rFonts w:hint="eastAsia"/>
        </w:rPr>
        <w:t>年受金融危机冲击，英国货运量出现明显下滑。总体来看，美国、日本、英国货物周转量在到达较高数值后进入低增速稳定期甚至下降期。</w:t>
      </w:r>
    </w:p>
    <w:p w14:paraId="2002C4B9" w14:textId="243D422D" w:rsidR="0042567B" w:rsidRPr="0042567B" w:rsidRDefault="0042567B" w:rsidP="0042567B">
      <w:pPr>
        <w:spacing w:line="240" w:lineRule="auto"/>
        <w:ind w:firstLineChars="0" w:firstLine="0"/>
        <w:jc w:val="center"/>
      </w:pPr>
      <w:r>
        <w:rPr>
          <w:noProof/>
        </w:rPr>
        <w:lastRenderedPageBreak/>
        <w:drawing>
          <wp:inline distT="0" distB="0" distL="0" distR="0" wp14:anchorId="5D206E85" wp14:editId="403CCAAB">
            <wp:extent cx="4572000" cy="2743200"/>
            <wp:effectExtent l="0" t="0" r="0" b="0"/>
            <wp:docPr id="6157" name="图表 6157"/>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1438BAC2" w14:textId="77777777" w:rsidR="0042567B" w:rsidRPr="0042567B" w:rsidRDefault="0042567B" w:rsidP="0042567B">
      <w:pPr>
        <w:spacing w:line="240" w:lineRule="auto"/>
        <w:ind w:firstLineChars="0" w:firstLine="0"/>
        <w:jc w:val="center"/>
        <w:rPr>
          <w:rFonts w:ascii="黑体" w:eastAsia="黑体" w:hAnsi="黑体"/>
          <w:szCs w:val="20"/>
        </w:rPr>
      </w:pPr>
      <w:r w:rsidRPr="0042567B">
        <w:rPr>
          <w:rFonts w:ascii="黑体" w:eastAsia="黑体" w:hAnsi="黑体" w:hint="eastAsia"/>
          <w:sz w:val="24"/>
          <w:szCs w:val="24"/>
        </w:rPr>
        <w:t>图3-</w:t>
      </w:r>
      <w:r w:rsidRPr="0042567B">
        <w:rPr>
          <w:rFonts w:ascii="黑体" w:eastAsia="黑体" w:hAnsi="黑体" w:hint="eastAsia"/>
          <w:sz w:val="24"/>
          <w:szCs w:val="24"/>
        </w:rPr>
        <w:fldChar w:fldCharType="begin"/>
      </w:r>
      <w:r w:rsidRPr="0042567B">
        <w:rPr>
          <w:rFonts w:ascii="黑体" w:eastAsia="黑体" w:hAnsi="黑体" w:hint="eastAsia"/>
          <w:sz w:val="24"/>
          <w:szCs w:val="24"/>
        </w:rPr>
        <w:instrText xml:space="preserve"> SEQ 图表 \* ARABIC </w:instrText>
      </w:r>
      <w:r w:rsidRPr="0042567B">
        <w:rPr>
          <w:rFonts w:ascii="黑体" w:eastAsia="黑体" w:hAnsi="黑体" w:hint="eastAsia"/>
          <w:sz w:val="24"/>
          <w:szCs w:val="24"/>
        </w:rPr>
        <w:fldChar w:fldCharType="separate"/>
      </w:r>
      <w:r w:rsidRPr="0042567B">
        <w:rPr>
          <w:rFonts w:ascii="黑体" w:eastAsia="黑体" w:hAnsi="黑体" w:hint="eastAsia"/>
          <w:noProof/>
          <w:sz w:val="24"/>
          <w:szCs w:val="24"/>
        </w:rPr>
        <w:t>1</w:t>
      </w:r>
      <w:r w:rsidRPr="0042567B">
        <w:rPr>
          <w:rFonts w:ascii="黑体" w:eastAsia="黑体" w:hAnsi="黑体" w:hint="eastAsia"/>
          <w:sz w:val="24"/>
          <w:szCs w:val="24"/>
        </w:rPr>
        <w:fldChar w:fldCharType="end"/>
      </w:r>
      <w:r w:rsidRPr="0042567B">
        <w:rPr>
          <w:rFonts w:ascii="黑体" w:eastAsia="黑体" w:hAnsi="黑体" w:hint="eastAsia"/>
          <w:szCs w:val="20"/>
        </w:rPr>
        <w:t xml:space="preserve"> </w:t>
      </w:r>
      <w:r w:rsidRPr="0042567B">
        <w:rPr>
          <w:rFonts w:ascii="黑体" w:eastAsia="黑体" w:hAnsi="黑体" w:hint="eastAsia"/>
          <w:sz w:val="24"/>
          <w:szCs w:val="24"/>
        </w:rPr>
        <w:t>典型发达国家货物周转量发展变化情况（单位：亿吨公里）</w:t>
      </w:r>
    </w:p>
    <w:p w14:paraId="5F614E0F" w14:textId="77777777" w:rsidR="0042567B" w:rsidRPr="0042567B" w:rsidRDefault="0042567B" w:rsidP="00EB2831">
      <w:pPr>
        <w:pStyle w:val="4"/>
      </w:pPr>
      <w:r w:rsidRPr="0042567B">
        <w:t xml:space="preserve">3.2.2 </w:t>
      </w:r>
      <w:r w:rsidRPr="0042567B">
        <w:rPr>
          <w:rFonts w:hint="eastAsia"/>
        </w:rPr>
        <w:t>典型国家交通运输能耗及碳排放现状</w:t>
      </w:r>
    </w:p>
    <w:p w14:paraId="32FC8E62" w14:textId="77777777" w:rsidR="0042567B" w:rsidRPr="0042567B" w:rsidRDefault="0042567B" w:rsidP="0042567B">
      <w:pPr>
        <w:spacing w:line="240" w:lineRule="auto"/>
        <w:ind w:firstLine="560"/>
      </w:pPr>
      <w:r w:rsidRPr="0042567B">
        <w:rPr>
          <w:rFonts w:hint="eastAsia"/>
        </w:rPr>
        <w:t>（</w:t>
      </w:r>
      <w:r w:rsidRPr="0042567B">
        <w:t>1</w:t>
      </w:r>
      <w:r w:rsidRPr="0042567B">
        <w:rPr>
          <w:rFonts w:hint="eastAsia"/>
        </w:rPr>
        <w:t>）美国</w:t>
      </w:r>
    </w:p>
    <w:p w14:paraId="1DEF25E3" w14:textId="77777777" w:rsidR="0042567B" w:rsidRPr="0042567B" w:rsidRDefault="0042567B" w:rsidP="0042567B">
      <w:pPr>
        <w:spacing w:line="240" w:lineRule="auto"/>
        <w:ind w:firstLine="562"/>
      </w:pPr>
      <w:r w:rsidRPr="0042567B">
        <w:rPr>
          <w:rFonts w:hint="eastAsia"/>
          <w:b/>
        </w:rPr>
        <w:t>交通运输是美国碳排放的首要来源，美国交通运输行业二氧化碳排放量在</w:t>
      </w:r>
      <w:r w:rsidRPr="0042567B">
        <w:rPr>
          <w:b/>
        </w:rPr>
        <w:t>2007</w:t>
      </w:r>
      <w:r w:rsidRPr="0042567B">
        <w:rPr>
          <w:rFonts w:hint="eastAsia"/>
          <w:b/>
        </w:rPr>
        <w:t>年达到峰值之后，在波动中呈现下降趋势。</w:t>
      </w:r>
      <w:r w:rsidRPr="0042567B">
        <w:t>2016</w:t>
      </w:r>
      <w:r w:rsidRPr="0042567B">
        <w:rPr>
          <w:rFonts w:hint="eastAsia"/>
        </w:rPr>
        <w:t>年，交通运输业首次超越电力行业，成为美国温室气体排放的最主要来源。</w:t>
      </w:r>
      <w:r w:rsidRPr="0042567B">
        <w:t>2020</w:t>
      </w:r>
      <w:r w:rsidRPr="0042567B">
        <w:rPr>
          <w:rFonts w:hint="eastAsia"/>
        </w:rPr>
        <w:t>年，由于疫情的影响，美国交通运输行业二氧化碳排放相比</w:t>
      </w:r>
      <w:r w:rsidRPr="0042567B">
        <w:t>2019</w:t>
      </w:r>
      <w:r w:rsidRPr="0042567B">
        <w:rPr>
          <w:rFonts w:hint="eastAsia"/>
        </w:rPr>
        <w:t>年下降了</w:t>
      </w:r>
      <w:r w:rsidRPr="0042567B">
        <w:t>15%</w:t>
      </w:r>
      <w:r w:rsidRPr="0042567B">
        <w:rPr>
          <w:rFonts w:hint="eastAsia"/>
        </w:rPr>
        <w:t>。</w:t>
      </w:r>
    </w:p>
    <w:p w14:paraId="7A8D3899" w14:textId="77777777" w:rsidR="0042567B" w:rsidRPr="0042567B" w:rsidRDefault="0042567B" w:rsidP="0042567B">
      <w:pPr>
        <w:spacing w:line="240" w:lineRule="auto"/>
        <w:ind w:firstLine="420"/>
      </w:pPr>
      <w:r w:rsidRPr="0042567B">
        <w:rPr>
          <w:rFonts w:ascii="DengXian" w:eastAsia="DengXian" w:hAnsi="DengXian"/>
          <w:noProof/>
          <w:sz w:val="21"/>
        </w:rPr>
        <w:drawing>
          <wp:inline distT="0" distB="0" distL="0" distR="0" wp14:anchorId="35E1A2C3" wp14:editId="2C2DDF7E">
            <wp:extent cx="4589145" cy="2760345"/>
            <wp:effectExtent l="0" t="0" r="1905" b="1905"/>
            <wp:docPr id="63"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16C13C32" w14:textId="77777777" w:rsidR="0042567B" w:rsidRPr="0042567B" w:rsidRDefault="0042567B" w:rsidP="0042567B">
      <w:pPr>
        <w:spacing w:line="240" w:lineRule="auto"/>
        <w:ind w:firstLineChars="0" w:firstLine="0"/>
        <w:jc w:val="center"/>
        <w:rPr>
          <w:rFonts w:ascii="黑体" w:eastAsia="黑体" w:hAnsi="黑体"/>
          <w:sz w:val="24"/>
          <w:szCs w:val="20"/>
        </w:rPr>
      </w:pPr>
      <w:r w:rsidRPr="0042567B">
        <w:rPr>
          <w:rFonts w:ascii="黑体" w:eastAsia="黑体" w:hAnsi="黑体" w:hint="eastAsia"/>
          <w:sz w:val="24"/>
          <w:szCs w:val="20"/>
        </w:rPr>
        <w:t>图3-</w:t>
      </w:r>
      <w:r w:rsidRPr="0042567B">
        <w:rPr>
          <w:rFonts w:ascii="黑体" w:eastAsia="黑体" w:hAnsi="黑体" w:hint="eastAsia"/>
          <w:sz w:val="24"/>
          <w:szCs w:val="20"/>
        </w:rPr>
        <w:fldChar w:fldCharType="begin"/>
      </w:r>
      <w:r w:rsidRPr="0042567B">
        <w:rPr>
          <w:rFonts w:ascii="黑体" w:eastAsia="黑体" w:hAnsi="黑体" w:hint="eastAsia"/>
          <w:sz w:val="24"/>
          <w:szCs w:val="20"/>
        </w:rPr>
        <w:instrText xml:space="preserve"> SEQ 图表 \* ARABIC </w:instrText>
      </w:r>
      <w:r w:rsidRPr="0042567B">
        <w:rPr>
          <w:rFonts w:ascii="黑体" w:eastAsia="黑体" w:hAnsi="黑体" w:hint="eastAsia"/>
          <w:sz w:val="24"/>
          <w:szCs w:val="20"/>
        </w:rPr>
        <w:fldChar w:fldCharType="separate"/>
      </w:r>
      <w:r w:rsidRPr="0042567B">
        <w:rPr>
          <w:rFonts w:ascii="黑体" w:eastAsia="黑体" w:hAnsi="黑体" w:hint="eastAsia"/>
          <w:noProof/>
          <w:sz w:val="24"/>
          <w:szCs w:val="20"/>
        </w:rPr>
        <w:t>2</w:t>
      </w:r>
      <w:r w:rsidRPr="0042567B">
        <w:rPr>
          <w:rFonts w:ascii="黑体" w:eastAsia="黑体" w:hAnsi="黑体" w:hint="eastAsia"/>
          <w:sz w:val="24"/>
          <w:szCs w:val="20"/>
        </w:rPr>
        <w:fldChar w:fldCharType="end"/>
      </w:r>
      <w:r w:rsidRPr="0042567B">
        <w:rPr>
          <w:rFonts w:ascii="黑体" w:eastAsia="黑体" w:hAnsi="黑体" w:hint="eastAsia"/>
          <w:sz w:val="24"/>
          <w:szCs w:val="20"/>
        </w:rPr>
        <w:t xml:space="preserve"> 美国交通运输行业二氧化碳排放量（单位：百万吨）</w:t>
      </w:r>
    </w:p>
    <w:p w14:paraId="0E2F1253" w14:textId="77777777" w:rsidR="0042567B" w:rsidRPr="0042567B" w:rsidRDefault="0042567B" w:rsidP="0042567B">
      <w:pPr>
        <w:spacing w:line="240" w:lineRule="auto"/>
        <w:ind w:firstLineChars="0" w:firstLine="0"/>
        <w:rPr>
          <w:rFonts w:ascii="DengXian" w:eastAsia="DengXian" w:hAnsi="DengXian"/>
          <w:sz w:val="21"/>
        </w:rPr>
      </w:pPr>
    </w:p>
    <w:p w14:paraId="3EDEAA8E" w14:textId="77777777" w:rsidR="0042567B" w:rsidRPr="0042567B" w:rsidRDefault="0042567B" w:rsidP="0042567B">
      <w:pPr>
        <w:spacing w:line="240" w:lineRule="auto"/>
        <w:ind w:firstLine="562"/>
      </w:pPr>
      <w:r w:rsidRPr="0042567B">
        <w:rPr>
          <w:rFonts w:hint="eastAsia"/>
          <w:b/>
        </w:rPr>
        <w:t>汽车是交通运输行业的的最大排放源。</w:t>
      </w:r>
      <w:r w:rsidRPr="0042567B">
        <w:t>2020</w:t>
      </w:r>
      <w:r w:rsidRPr="0042567B">
        <w:rPr>
          <w:rFonts w:hint="eastAsia"/>
        </w:rPr>
        <w:t>年，汽车和其他公路车辆的汽油消耗的碳排放占交通运输总碳排放的</w:t>
      </w:r>
      <w:r w:rsidRPr="0042567B">
        <w:t>58%</w:t>
      </w:r>
      <w:r w:rsidRPr="0042567B">
        <w:rPr>
          <w:rFonts w:hint="eastAsia"/>
        </w:rPr>
        <w:t>，柴油消耗排放占</w:t>
      </w:r>
      <w:r w:rsidRPr="0042567B">
        <w:t>26%</w:t>
      </w:r>
      <w:r w:rsidRPr="0042567B">
        <w:rPr>
          <w:rFonts w:hint="eastAsia"/>
        </w:rPr>
        <w:t>，航空用油排放占</w:t>
      </w:r>
      <w:r w:rsidRPr="0042567B">
        <w:t>10%</w:t>
      </w:r>
      <w:r w:rsidRPr="0042567B">
        <w:rPr>
          <w:rFonts w:hint="eastAsia"/>
        </w:rPr>
        <w:t>。</w:t>
      </w:r>
    </w:p>
    <w:p w14:paraId="7F41F075" w14:textId="77777777" w:rsidR="0042567B" w:rsidRPr="0042567B" w:rsidRDefault="0042567B" w:rsidP="0042567B">
      <w:pPr>
        <w:spacing w:line="240" w:lineRule="auto"/>
        <w:ind w:firstLine="560"/>
      </w:pPr>
      <w:r w:rsidRPr="0042567B">
        <w:rPr>
          <w:rFonts w:hint="eastAsia"/>
        </w:rPr>
        <w:t>从总体趋势看，从</w:t>
      </w:r>
      <w:r w:rsidRPr="0042567B">
        <w:t>1990</w:t>
      </w:r>
      <w:r w:rsidRPr="0042567B">
        <w:rPr>
          <w:rFonts w:hint="eastAsia"/>
        </w:rPr>
        <w:t>年至</w:t>
      </w:r>
      <w:r w:rsidRPr="0042567B">
        <w:t>2019</w:t>
      </w:r>
      <w:r w:rsidRPr="0042567B">
        <w:rPr>
          <w:rFonts w:hint="eastAsia"/>
        </w:rPr>
        <w:t>年，轻型机动车（乘用车和轻型卡车）的行驶里程增加了</w:t>
      </w:r>
      <w:r w:rsidRPr="0042567B">
        <w:t>47.5%</w:t>
      </w:r>
      <w:r w:rsidRPr="0042567B">
        <w:rPr>
          <w:rFonts w:hint="eastAsia"/>
        </w:rPr>
        <w:t>。使用高污染能源的大型低效汽车、驾驶补贴、公共交通体系的不完善、步行和自行车出行相对危险及依赖汽车的土地使用模式等因素是美国私家车比例过高的主要原因。美国一直以来就是汽车耗油高的国家，其生产的汽车一直是大排量为特点。</w:t>
      </w:r>
      <w:r w:rsidRPr="0042567B">
        <w:t>2000</w:t>
      </w:r>
      <w:r w:rsidRPr="0042567B">
        <w:rPr>
          <w:rFonts w:hint="eastAsia"/>
        </w:rPr>
        <w:t>年起，中小型车销量比皮卡等高油耗车增速更快，另外，随着电动车、插电式混合动力车和油电混合动力车销量均有所增长，多重因素推动美国私家车燃效增长，私家车单耗呈现逐年下降趋势；美国客运航空通过减重、停飞油耗过高的飞机、规定旅客为第二件行李缴费等措施减低油耗，实现航空业单耗逐年降低；从图中可以看出公交车单耗呈现</w:t>
      </w:r>
      <w:r w:rsidRPr="0042567B">
        <w:t>5</w:t>
      </w:r>
      <w:r w:rsidRPr="0042567B">
        <w:rPr>
          <w:rFonts w:hint="eastAsia"/>
        </w:rPr>
        <w:t>年的周期性波动，一般客车市场的销量周期为也为</w:t>
      </w:r>
      <w:r w:rsidRPr="0042567B">
        <w:t>5</w:t>
      </w:r>
      <w:r w:rsidRPr="0042567B">
        <w:rPr>
          <w:rFonts w:hint="eastAsia"/>
        </w:rPr>
        <w:t>年左右，美国公交车单耗周期性波动与换车周期基本吻合；美国发达的工业化程度和高度的私人汽车拥有量以及便捷的高速公路网，其居民出行更多地依靠高速公路，加上美国铁路设施的逐渐老化，加速了美国铁路运输单耗的逐年上升。</w:t>
      </w:r>
    </w:p>
    <w:p w14:paraId="1FB2C7C5" w14:textId="77777777" w:rsidR="0042567B" w:rsidRPr="0042567B" w:rsidRDefault="0042567B" w:rsidP="0042567B">
      <w:pPr>
        <w:spacing w:line="240" w:lineRule="auto"/>
        <w:ind w:firstLine="560"/>
      </w:pPr>
      <w:r w:rsidRPr="0042567B">
        <w:rPr>
          <w:noProof/>
        </w:rPr>
        <w:lastRenderedPageBreak/>
        <w:drawing>
          <wp:inline distT="0" distB="0" distL="0" distR="0" wp14:anchorId="76E3B7A4" wp14:editId="19090ABD">
            <wp:extent cx="4572000" cy="2836545"/>
            <wp:effectExtent l="0" t="0" r="0" b="1905"/>
            <wp:docPr id="614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0" cy="2836545"/>
                    </a:xfrm>
                    <a:prstGeom prst="rect">
                      <a:avLst/>
                    </a:prstGeom>
                    <a:noFill/>
                    <a:ln>
                      <a:noFill/>
                    </a:ln>
                  </pic:spPr>
                </pic:pic>
              </a:graphicData>
            </a:graphic>
          </wp:inline>
        </w:drawing>
      </w:r>
    </w:p>
    <w:p w14:paraId="28A68F6F" w14:textId="77777777" w:rsidR="0042567B" w:rsidRPr="0042567B" w:rsidRDefault="0042567B" w:rsidP="0042567B">
      <w:pPr>
        <w:spacing w:line="240" w:lineRule="auto"/>
        <w:ind w:firstLine="480"/>
        <w:jc w:val="center"/>
      </w:pPr>
      <w:r w:rsidRPr="0042567B">
        <w:rPr>
          <w:rFonts w:ascii="黑体" w:eastAsia="黑体" w:hAnsi="黑体" w:hint="eastAsia"/>
          <w:sz w:val="24"/>
        </w:rPr>
        <w:t>图3-</w:t>
      </w:r>
      <w:r w:rsidRPr="0042567B">
        <w:rPr>
          <w:rFonts w:ascii="黑体" w:eastAsia="黑体" w:hAnsi="黑体" w:hint="eastAsia"/>
          <w:sz w:val="24"/>
        </w:rPr>
        <w:fldChar w:fldCharType="begin"/>
      </w:r>
      <w:r w:rsidRPr="0042567B">
        <w:rPr>
          <w:rFonts w:ascii="黑体" w:eastAsia="黑体" w:hAnsi="黑体" w:hint="eastAsia"/>
          <w:sz w:val="24"/>
        </w:rPr>
        <w:instrText xml:space="preserve"> SEQ 图表 \* ARABIC </w:instrText>
      </w:r>
      <w:r w:rsidRPr="0042567B">
        <w:rPr>
          <w:rFonts w:ascii="黑体" w:eastAsia="黑体" w:hAnsi="黑体" w:hint="eastAsia"/>
          <w:sz w:val="24"/>
        </w:rPr>
        <w:fldChar w:fldCharType="separate"/>
      </w:r>
      <w:r w:rsidRPr="0042567B">
        <w:rPr>
          <w:rFonts w:ascii="黑体" w:eastAsia="黑体" w:hAnsi="黑体" w:hint="eastAsia"/>
          <w:noProof/>
          <w:sz w:val="24"/>
        </w:rPr>
        <w:t>3</w:t>
      </w:r>
      <w:r w:rsidRPr="0042567B">
        <w:rPr>
          <w:rFonts w:ascii="黑体" w:eastAsia="黑体" w:hAnsi="黑体" w:hint="eastAsia"/>
          <w:sz w:val="24"/>
        </w:rPr>
        <w:fldChar w:fldCharType="end"/>
      </w:r>
      <w:r w:rsidRPr="0042567B">
        <w:rPr>
          <w:rFonts w:ascii="黑体" w:eastAsia="黑体" w:hAnsi="黑体" w:hint="eastAsia"/>
          <w:sz w:val="24"/>
        </w:rPr>
        <w:t xml:space="preserve"> </w:t>
      </w:r>
      <w:r w:rsidRPr="0042567B">
        <w:t xml:space="preserve"> </w:t>
      </w:r>
      <w:r w:rsidRPr="0042567B">
        <w:rPr>
          <w:rFonts w:hint="eastAsia"/>
        </w:rPr>
        <w:t>美国不同客运运输方式单耗变化</w:t>
      </w:r>
    </w:p>
    <w:p w14:paraId="18D95803" w14:textId="77777777" w:rsidR="0042567B" w:rsidRPr="0042567B" w:rsidRDefault="0042567B" w:rsidP="0042567B">
      <w:pPr>
        <w:spacing w:line="240" w:lineRule="auto"/>
        <w:ind w:firstLine="560"/>
      </w:pPr>
      <w:r w:rsidRPr="0042567B">
        <w:rPr>
          <w:rFonts w:hint="eastAsia"/>
        </w:rPr>
        <w:t>美国政府十分重视低碳车辆技术的开发和利用，早在上个世纪</w:t>
      </w:r>
      <w:r w:rsidRPr="0042567B">
        <w:t>90</w:t>
      </w:r>
      <w:r w:rsidRPr="0042567B">
        <w:rPr>
          <w:rFonts w:hint="eastAsia"/>
        </w:rPr>
        <w:t>年代推出</w:t>
      </w:r>
      <w:r w:rsidRPr="0042567B">
        <w:t>“PNGV</w:t>
      </w:r>
      <w:r w:rsidRPr="0042567B">
        <w:rPr>
          <w:rFonts w:hint="eastAsia"/>
        </w:rPr>
        <w:t>计划</w:t>
      </w:r>
      <w:r w:rsidRPr="0042567B">
        <w:t>”</w:t>
      </w:r>
      <w:r w:rsidRPr="0042567B">
        <w:rPr>
          <w:rFonts w:hint="eastAsia"/>
        </w:rPr>
        <w:t>，与三大汽车公司联合研发混合动力技术、燃料电池技术，推动汽车技术革命；</w:t>
      </w:r>
      <w:r w:rsidRPr="0042567B">
        <w:t>2002</w:t>
      </w:r>
      <w:r w:rsidRPr="0042567B">
        <w:rPr>
          <w:rFonts w:hint="eastAsia"/>
        </w:rPr>
        <w:t>年推出</w:t>
      </w:r>
      <w:r w:rsidRPr="0042567B">
        <w:t>“Freedom CAR</w:t>
      </w:r>
      <w:r w:rsidRPr="0042567B">
        <w:rPr>
          <w:rFonts w:hint="eastAsia"/>
        </w:rPr>
        <w:t>计划</w:t>
      </w:r>
      <w:r w:rsidRPr="0042567B">
        <w:t>”</w:t>
      </w:r>
      <w:r w:rsidRPr="0042567B">
        <w:rPr>
          <w:rFonts w:hint="eastAsia"/>
        </w:rPr>
        <w:t>，集中于燃料电池汽车的研究；</w:t>
      </w:r>
      <w:r w:rsidRPr="0042567B">
        <w:t>2015</w:t>
      </w:r>
      <w:r w:rsidRPr="0042567B">
        <w:rPr>
          <w:rFonts w:hint="eastAsia"/>
        </w:rPr>
        <w:t>年，奥巴马政府又推出一系列优惠政策大力促进插电式混合动力汽车的研发推广，大力研发和使用低能耗的新兴动力汽车，包括混合动力汽车、氢能源汽车、太阳能汽车以及电力汽车等。美国对插入式电动汽车和燃料电池汽车给予税收优惠、购置奖励，并加大科研投入等产业支持政策。加快环保型飞机技术的发展及可替代燃料的推广应用，将清洁技术应用到新生产的飞机上，新型飞机燃油比目前的亚音速飞机降低</w:t>
      </w:r>
      <w:r w:rsidRPr="0042567B">
        <w:t>33%</w:t>
      </w:r>
      <w:r w:rsidRPr="0042567B">
        <w:rPr>
          <w:rFonts w:hint="eastAsia"/>
        </w:rPr>
        <w:t>。随着技术的进步，美国各种货运方式的单耗也下降。</w:t>
      </w:r>
    </w:p>
    <w:p w14:paraId="651237E4" w14:textId="77777777" w:rsidR="0042567B" w:rsidRPr="0042567B" w:rsidRDefault="0042567B" w:rsidP="0042567B">
      <w:pPr>
        <w:spacing w:line="240" w:lineRule="auto"/>
        <w:ind w:firstLine="560"/>
      </w:pPr>
      <w:r w:rsidRPr="0042567B">
        <w:rPr>
          <w:noProof/>
        </w:rPr>
        <w:lastRenderedPageBreak/>
        <w:drawing>
          <wp:inline distT="0" distB="0" distL="0" distR="0" wp14:anchorId="0AEDA764" wp14:editId="5A3B59AE">
            <wp:extent cx="4589145" cy="2836545"/>
            <wp:effectExtent l="0" t="0" r="1905" b="1905"/>
            <wp:docPr id="614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89145" cy="2836545"/>
                    </a:xfrm>
                    <a:prstGeom prst="rect">
                      <a:avLst/>
                    </a:prstGeom>
                    <a:noFill/>
                    <a:ln>
                      <a:noFill/>
                    </a:ln>
                  </pic:spPr>
                </pic:pic>
              </a:graphicData>
            </a:graphic>
          </wp:inline>
        </w:drawing>
      </w:r>
    </w:p>
    <w:p w14:paraId="06F706A4" w14:textId="77777777" w:rsidR="0042567B" w:rsidRPr="0042567B" w:rsidRDefault="0042567B" w:rsidP="0042567B">
      <w:pPr>
        <w:spacing w:line="240" w:lineRule="auto"/>
        <w:ind w:firstLine="480"/>
        <w:jc w:val="center"/>
      </w:pPr>
      <w:r w:rsidRPr="0042567B">
        <w:rPr>
          <w:rFonts w:ascii="黑体" w:eastAsia="黑体" w:hAnsi="黑体" w:hint="eastAsia"/>
          <w:sz w:val="24"/>
        </w:rPr>
        <w:t>图3-</w:t>
      </w:r>
      <w:r w:rsidRPr="0042567B">
        <w:rPr>
          <w:rFonts w:ascii="黑体" w:eastAsia="黑体" w:hAnsi="黑体" w:hint="eastAsia"/>
          <w:sz w:val="24"/>
        </w:rPr>
        <w:fldChar w:fldCharType="begin"/>
      </w:r>
      <w:r w:rsidRPr="0042567B">
        <w:rPr>
          <w:rFonts w:ascii="黑体" w:eastAsia="黑体" w:hAnsi="黑体" w:hint="eastAsia"/>
          <w:sz w:val="24"/>
        </w:rPr>
        <w:instrText xml:space="preserve"> SEQ 图表 \* ARABIC </w:instrText>
      </w:r>
      <w:r w:rsidRPr="0042567B">
        <w:rPr>
          <w:rFonts w:ascii="黑体" w:eastAsia="黑体" w:hAnsi="黑体" w:hint="eastAsia"/>
          <w:sz w:val="24"/>
        </w:rPr>
        <w:fldChar w:fldCharType="separate"/>
      </w:r>
      <w:r w:rsidRPr="0042567B">
        <w:rPr>
          <w:rFonts w:ascii="黑体" w:eastAsia="黑体" w:hAnsi="黑体" w:hint="eastAsia"/>
          <w:noProof/>
          <w:sz w:val="24"/>
        </w:rPr>
        <w:t>4</w:t>
      </w:r>
      <w:r w:rsidRPr="0042567B">
        <w:rPr>
          <w:rFonts w:ascii="黑体" w:eastAsia="黑体" w:hAnsi="黑体" w:hint="eastAsia"/>
          <w:sz w:val="24"/>
        </w:rPr>
        <w:fldChar w:fldCharType="end"/>
      </w:r>
      <w:r w:rsidRPr="0042567B">
        <w:rPr>
          <w:rFonts w:ascii="黑体" w:eastAsia="黑体" w:hAnsi="黑体" w:hint="eastAsia"/>
          <w:sz w:val="24"/>
        </w:rPr>
        <w:t xml:space="preserve"> </w:t>
      </w:r>
      <w:r w:rsidRPr="0042567B">
        <w:t xml:space="preserve"> </w:t>
      </w:r>
      <w:r w:rsidRPr="0042567B">
        <w:rPr>
          <w:rFonts w:hint="eastAsia"/>
        </w:rPr>
        <w:t>美国不同货运运输方式单耗变化</w:t>
      </w:r>
    </w:p>
    <w:p w14:paraId="4DC668C4" w14:textId="77777777" w:rsidR="0042567B" w:rsidRPr="0042567B" w:rsidRDefault="0042567B" w:rsidP="0042567B">
      <w:pPr>
        <w:spacing w:line="240" w:lineRule="auto"/>
        <w:ind w:firstLine="560"/>
      </w:pPr>
      <w:r w:rsidRPr="0042567B">
        <w:rPr>
          <w:rFonts w:hint="eastAsia"/>
        </w:rPr>
        <w:t>（</w:t>
      </w:r>
      <w:r w:rsidRPr="0042567B">
        <w:t>2</w:t>
      </w:r>
      <w:r w:rsidRPr="0042567B">
        <w:rPr>
          <w:rFonts w:hint="eastAsia"/>
        </w:rPr>
        <w:t>）日本</w:t>
      </w:r>
    </w:p>
    <w:p w14:paraId="4FAE00F7" w14:textId="77777777" w:rsidR="0042567B" w:rsidRPr="0042567B" w:rsidRDefault="0042567B" w:rsidP="0042567B">
      <w:pPr>
        <w:spacing w:line="240" w:lineRule="auto"/>
        <w:ind w:firstLine="560"/>
      </w:pPr>
      <w:r w:rsidRPr="0042567B">
        <w:rPr>
          <w:rFonts w:hint="eastAsia"/>
        </w:rPr>
        <w:t>日本交通运输业碳排放量</w:t>
      </w:r>
      <w:r w:rsidRPr="0042567B">
        <w:t>1997</w:t>
      </w:r>
      <w:r w:rsidRPr="0042567B">
        <w:rPr>
          <w:rFonts w:hint="eastAsia"/>
        </w:rPr>
        <w:t>年已经达峰。日本交通运输碳排放量除了</w:t>
      </w:r>
      <w:r w:rsidRPr="0042567B">
        <w:t>1981</w:t>
      </w:r>
      <w:r w:rsidRPr="0042567B">
        <w:rPr>
          <w:rFonts w:hint="eastAsia"/>
        </w:rPr>
        <w:t>年和</w:t>
      </w:r>
      <w:r w:rsidRPr="0042567B">
        <w:t>1982</w:t>
      </w:r>
      <w:r w:rsidRPr="0042567B">
        <w:rPr>
          <w:rFonts w:hint="eastAsia"/>
        </w:rPr>
        <w:t>年出现了短暂的小幅下降之外，其余年份均保持增长态势，并在</w:t>
      </w:r>
      <w:r w:rsidRPr="0042567B">
        <w:t>1997</w:t>
      </w:r>
      <w:r w:rsidRPr="0042567B">
        <w:rPr>
          <w:rFonts w:hint="eastAsia"/>
        </w:rPr>
        <w:t>年达到近半世纪以来的最大值，约为</w:t>
      </w:r>
      <w:r w:rsidRPr="0042567B">
        <w:t>1960</w:t>
      </w:r>
      <w:r w:rsidRPr="0042567B">
        <w:rPr>
          <w:rFonts w:hint="eastAsia"/>
        </w:rPr>
        <w:t>年的</w:t>
      </w:r>
      <w:r w:rsidRPr="0042567B">
        <w:t>8</w:t>
      </w:r>
      <w:r w:rsidRPr="0042567B">
        <w:rPr>
          <w:rFonts w:hint="eastAsia"/>
        </w:rPr>
        <w:t>倍。</w:t>
      </w:r>
    </w:p>
    <w:p w14:paraId="6167F4CC" w14:textId="77777777" w:rsidR="0042567B" w:rsidRPr="0042567B" w:rsidRDefault="0042567B" w:rsidP="0042567B">
      <w:pPr>
        <w:spacing w:line="240" w:lineRule="auto"/>
        <w:ind w:firstLine="560"/>
      </w:pPr>
      <w:r w:rsidRPr="0042567B">
        <w:rPr>
          <w:rFonts w:hint="eastAsia"/>
        </w:rPr>
        <w:t>日本政府为支持节能环保汽车的生产、激励用户购买和使用节能低排汽车，出台了相应的税收减免政策，制定严格的排放标准，广泛应用智能交通系统（</w:t>
      </w:r>
      <w:r w:rsidRPr="0042567B">
        <w:t>ITS</w:t>
      </w:r>
      <w:r w:rsidRPr="0042567B">
        <w:rPr>
          <w:rFonts w:hint="eastAsia"/>
        </w:rPr>
        <w:t>）提高提高燃油效率，私家车单位能耗总体上呈现下降趋势；公交企业为提高服务水平，提高车辆配置和舒适度造成能耗增加，公交单耗上升。</w:t>
      </w:r>
    </w:p>
    <w:p w14:paraId="6C27139E" w14:textId="77777777" w:rsidR="0042567B" w:rsidRPr="0042567B" w:rsidRDefault="0042567B" w:rsidP="0042567B">
      <w:pPr>
        <w:spacing w:line="240" w:lineRule="auto"/>
        <w:ind w:firstLine="560"/>
      </w:pPr>
      <w:r w:rsidRPr="0042567B">
        <w:rPr>
          <w:noProof/>
        </w:rPr>
        <w:lastRenderedPageBreak/>
        <w:drawing>
          <wp:inline distT="0" distB="0" distL="0" distR="0" wp14:anchorId="31EC4473" wp14:editId="500ABA41">
            <wp:extent cx="4563745" cy="2819400"/>
            <wp:effectExtent l="0" t="0" r="8255" b="0"/>
            <wp:docPr id="6146" name="图表 4">
              <a:extLst xmlns:a="http://schemas.openxmlformats.org/drawingml/2006/main">
                <a:ext uri="{FF2B5EF4-FFF2-40B4-BE49-F238E27FC236}">
                  <a16:creationId xmlns:a16="http://schemas.microsoft.com/office/drawing/2014/main" id="{B894A4EB-671A-41D3-B37E-2981DD42BA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3228889D" w14:textId="77777777" w:rsidR="0042567B" w:rsidRPr="0042567B" w:rsidRDefault="0042567B" w:rsidP="0042567B">
      <w:pPr>
        <w:spacing w:line="240" w:lineRule="auto"/>
        <w:ind w:firstLine="480"/>
        <w:jc w:val="center"/>
      </w:pPr>
      <w:r w:rsidRPr="0042567B">
        <w:rPr>
          <w:rFonts w:ascii="黑体" w:eastAsia="黑体" w:hAnsi="黑体" w:hint="eastAsia"/>
          <w:sz w:val="24"/>
        </w:rPr>
        <w:t>图3-</w:t>
      </w:r>
      <w:r w:rsidRPr="0042567B">
        <w:rPr>
          <w:rFonts w:ascii="黑体" w:eastAsia="黑体" w:hAnsi="黑体" w:hint="eastAsia"/>
          <w:sz w:val="24"/>
        </w:rPr>
        <w:fldChar w:fldCharType="begin"/>
      </w:r>
      <w:r w:rsidRPr="0042567B">
        <w:rPr>
          <w:rFonts w:ascii="黑体" w:eastAsia="黑体" w:hAnsi="黑体" w:hint="eastAsia"/>
          <w:sz w:val="24"/>
        </w:rPr>
        <w:instrText xml:space="preserve"> SEQ 图表 \* ARABIC </w:instrText>
      </w:r>
      <w:r w:rsidRPr="0042567B">
        <w:rPr>
          <w:rFonts w:ascii="黑体" w:eastAsia="黑体" w:hAnsi="黑体" w:hint="eastAsia"/>
          <w:sz w:val="24"/>
        </w:rPr>
        <w:fldChar w:fldCharType="separate"/>
      </w:r>
      <w:r w:rsidRPr="0042567B">
        <w:rPr>
          <w:rFonts w:ascii="黑体" w:eastAsia="黑体" w:hAnsi="黑体" w:hint="eastAsia"/>
          <w:noProof/>
          <w:sz w:val="24"/>
        </w:rPr>
        <w:t>5</w:t>
      </w:r>
      <w:r w:rsidRPr="0042567B">
        <w:rPr>
          <w:rFonts w:ascii="黑体" w:eastAsia="黑体" w:hAnsi="黑体" w:hint="eastAsia"/>
          <w:sz w:val="24"/>
        </w:rPr>
        <w:fldChar w:fldCharType="end"/>
      </w:r>
      <w:r w:rsidRPr="0042567B">
        <w:rPr>
          <w:rFonts w:ascii="黑体" w:eastAsia="黑体" w:hAnsi="黑体" w:hint="eastAsia"/>
          <w:sz w:val="24"/>
        </w:rPr>
        <w:t xml:space="preserve"> </w:t>
      </w:r>
      <w:r w:rsidRPr="0042567B">
        <w:t xml:space="preserve"> </w:t>
      </w:r>
      <w:r w:rsidRPr="0042567B">
        <w:rPr>
          <w:rFonts w:hint="eastAsia"/>
        </w:rPr>
        <w:t>日本不同客运运输方式单耗变化</w:t>
      </w:r>
    </w:p>
    <w:p w14:paraId="580DBE62" w14:textId="77777777" w:rsidR="0042567B" w:rsidRPr="0042567B" w:rsidRDefault="0042567B" w:rsidP="0042567B">
      <w:pPr>
        <w:spacing w:line="240" w:lineRule="auto"/>
        <w:ind w:firstLine="560"/>
      </w:pPr>
      <w:r w:rsidRPr="0042567B">
        <w:rPr>
          <w:rFonts w:hint="eastAsia"/>
        </w:rPr>
        <w:t>在货运运输方面，日本民航、铁路、水路运输随着运输工具技术进步，单耗逐年下降，而公路运输随着工业结构的变化，单耗相较于</w:t>
      </w:r>
      <w:r w:rsidRPr="0042567B">
        <w:t>2000</w:t>
      </w:r>
      <w:r w:rsidRPr="0042567B">
        <w:rPr>
          <w:rFonts w:hint="eastAsia"/>
        </w:rPr>
        <w:t>年并没有显著变化。</w:t>
      </w:r>
    </w:p>
    <w:p w14:paraId="224D9D28" w14:textId="77777777" w:rsidR="0042567B" w:rsidRPr="0042567B" w:rsidRDefault="0042567B" w:rsidP="0042567B">
      <w:pPr>
        <w:spacing w:line="240" w:lineRule="auto"/>
        <w:ind w:firstLine="560"/>
      </w:pPr>
      <w:r w:rsidRPr="0042567B">
        <w:rPr>
          <w:noProof/>
        </w:rPr>
        <w:drawing>
          <wp:inline distT="0" distB="0" distL="0" distR="0" wp14:anchorId="46983E95" wp14:editId="59A5B457">
            <wp:extent cx="4521200" cy="2734945"/>
            <wp:effectExtent l="0" t="0" r="0" b="8255"/>
            <wp:docPr id="61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21200" cy="2734945"/>
                    </a:xfrm>
                    <a:prstGeom prst="rect">
                      <a:avLst/>
                    </a:prstGeom>
                    <a:noFill/>
                    <a:ln>
                      <a:noFill/>
                    </a:ln>
                  </pic:spPr>
                </pic:pic>
              </a:graphicData>
            </a:graphic>
          </wp:inline>
        </w:drawing>
      </w:r>
    </w:p>
    <w:p w14:paraId="1692BC0F" w14:textId="77777777" w:rsidR="0042567B" w:rsidRPr="0042567B" w:rsidRDefault="0042567B" w:rsidP="0042567B">
      <w:pPr>
        <w:spacing w:line="240" w:lineRule="auto"/>
        <w:ind w:firstLine="480"/>
        <w:jc w:val="center"/>
      </w:pPr>
      <w:r w:rsidRPr="0042567B">
        <w:rPr>
          <w:rFonts w:ascii="黑体" w:eastAsia="黑体" w:hAnsi="黑体" w:hint="eastAsia"/>
          <w:sz w:val="24"/>
        </w:rPr>
        <w:t>图3-</w:t>
      </w:r>
      <w:r w:rsidRPr="0042567B">
        <w:rPr>
          <w:rFonts w:ascii="黑体" w:eastAsia="黑体" w:hAnsi="黑体" w:hint="eastAsia"/>
          <w:sz w:val="24"/>
        </w:rPr>
        <w:fldChar w:fldCharType="begin"/>
      </w:r>
      <w:r w:rsidRPr="0042567B">
        <w:rPr>
          <w:rFonts w:ascii="黑体" w:eastAsia="黑体" w:hAnsi="黑体" w:hint="eastAsia"/>
          <w:sz w:val="24"/>
        </w:rPr>
        <w:instrText xml:space="preserve"> SEQ 图表 \* ARABIC </w:instrText>
      </w:r>
      <w:r w:rsidRPr="0042567B">
        <w:rPr>
          <w:rFonts w:ascii="黑体" w:eastAsia="黑体" w:hAnsi="黑体" w:hint="eastAsia"/>
          <w:sz w:val="24"/>
        </w:rPr>
        <w:fldChar w:fldCharType="separate"/>
      </w:r>
      <w:r w:rsidRPr="0042567B">
        <w:rPr>
          <w:rFonts w:ascii="黑体" w:eastAsia="黑体" w:hAnsi="黑体" w:hint="eastAsia"/>
          <w:noProof/>
          <w:sz w:val="24"/>
        </w:rPr>
        <w:t>6</w:t>
      </w:r>
      <w:r w:rsidRPr="0042567B">
        <w:rPr>
          <w:rFonts w:ascii="黑体" w:eastAsia="黑体" w:hAnsi="黑体" w:hint="eastAsia"/>
          <w:sz w:val="24"/>
        </w:rPr>
        <w:fldChar w:fldCharType="end"/>
      </w:r>
      <w:r w:rsidRPr="0042567B">
        <w:rPr>
          <w:rFonts w:ascii="黑体" w:eastAsia="黑体" w:hAnsi="黑体" w:hint="eastAsia"/>
          <w:sz w:val="24"/>
        </w:rPr>
        <w:t xml:space="preserve"> </w:t>
      </w:r>
      <w:r w:rsidRPr="0042567B">
        <w:t xml:space="preserve"> </w:t>
      </w:r>
      <w:r w:rsidRPr="0042567B">
        <w:rPr>
          <w:rFonts w:hint="eastAsia"/>
        </w:rPr>
        <w:t>日本不同货运运输方式单耗变化</w:t>
      </w:r>
    </w:p>
    <w:p w14:paraId="16454B97" w14:textId="77777777" w:rsidR="0042567B" w:rsidRPr="0042567B" w:rsidRDefault="0042567B" w:rsidP="0042567B">
      <w:pPr>
        <w:spacing w:line="240" w:lineRule="auto"/>
        <w:ind w:firstLine="560"/>
      </w:pPr>
      <w:r w:rsidRPr="0042567B">
        <w:rPr>
          <w:rFonts w:hint="eastAsia"/>
        </w:rPr>
        <w:t>（</w:t>
      </w:r>
      <w:r w:rsidRPr="0042567B">
        <w:t>3</w:t>
      </w:r>
      <w:r w:rsidRPr="0042567B">
        <w:rPr>
          <w:rFonts w:hint="eastAsia"/>
        </w:rPr>
        <w:t>）英国</w:t>
      </w:r>
    </w:p>
    <w:p w14:paraId="7B71A5E9" w14:textId="77777777" w:rsidR="0042567B" w:rsidRPr="0042567B" w:rsidRDefault="0042567B" w:rsidP="0042567B">
      <w:pPr>
        <w:spacing w:line="240" w:lineRule="auto"/>
        <w:ind w:firstLine="560"/>
      </w:pPr>
      <w:r w:rsidRPr="0042567B">
        <w:rPr>
          <w:rFonts w:hint="eastAsia"/>
        </w:rPr>
        <w:t>英国碳排放于</w:t>
      </w:r>
      <w:r w:rsidRPr="0042567B">
        <w:t>1979</w:t>
      </w:r>
      <w:r w:rsidRPr="0042567B">
        <w:rPr>
          <w:rFonts w:hint="eastAsia"/>
        </w:rPr>
        <w:t>年达到峰值后逐步下降，</w:t>
      </w:r>
      <w:r w:rsidRPr="0042567B">
        <w:t xml:space="preserve"> 2019</w:t>
      </w:r>
      <w:r w:rsidRPr="0042567B">
        <w:rPr>
          <w:rFonts w:hint="eastAsia"/>
        </w:rPr>
        <w:t>年交通领域（不含国际航空和国际海运）二氧化碳排放为</w:t>
      </w:r>
      <w:r w:rsidRPr="0042567B">
        <w:t>1.3</w:t>
      </w:r>
      <w:r w:rsidRPr="0042567B">
        <w:rPr>
          <w:rFonts w:hint="eastAsia"/>
        </w:rPr>
        <w:t>亿吨，占英国二氧</w:t>
      </w:r>
      <w:r w:rsidRPr="0042567B">
        <w:rPr>
          <w:rFonts w:hint="eastAsia"/>
        </w:rPr>
        <w:lastRenderedPageBreak/>
        <w:t>化碳消费终端排放量的</w:t>
      </w:r>
      <w:r w:rsidRPr="0042567B">
        <w:t>37%</w:t>
      </w:r>
      <w:r w:rsidRPr="0042567B">
        <w:rPr>
          <w:rFonts w:hint="eastAsia"/>
        </w:rPr>
        <w:t>，成为英国当前二氧化碳排放的最大来源。</w:t>
      </w:r>
    </w:p>
    <w:p w14:paraId="51F6D57A" w14:textId="77777777" w:rsidR="0042567B" w:rsidRPr="0042567B" w:rsidRDefault="0042567B" w:rsidP="0042567B">
      <w:pPr>
        <w:spacing w:line="240" w:lineRule="auto"/>
        <w:ind w:firstLine="420"/>
      </w:pPr>
      <w:r w:rsidRPr="0042567B">
        <w:rPr>
          <w:rFonts w:ascii="DengXian" w:eastAsia="DengXian" w:hAnsi="DengXian"/>
          <w:noProof/>
          <w:sz w:val="21"/>
        </w:rPr>
        <w:drawing>
          <wp:inline distT="0" distB="0" distL="0" distR="0" wp14:anchorId="4504621E" wp14:editId="5435040C">
            <wp:extent cx="4783455" cy="2760345"/>
            <wp:effectExtent l="0" t="0" r="17145" b="1905"/>
            <wp:docPr id="6149" name="图表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056890A6" w14:textId="77777777" w:rsidR="0042567B" w:rsidRPr="0042567B" w:rsidRDefault="0042567B" w:rsidP="0042567B">
      <w:pPr>
        <w:spacing w:line="240" w:lineRule="auto"/>
        <w:ind w:firstLine="480"/>
        <w:jc w:val="center"/>
      </w:pPr>
      <w:r w:rsidRPr="0042567B">
        <w:rPr>
          <w:rFonts w:ascii="黑体" w:eastAsia="黑体" w:hAnsi="黑体" w:hint="eastAsia"/>
          <w:sz w:val="24"/>
        </w:rPr>
        <w:t>图3-</w:t>
      </w:r>
      <w:r w:rsidRPr="0042567B">
        <w:rPr>
          <w:rFonts w:ascii="黑体" w:eastAsia="黑体" w:hAnsi="黑体" w:hint="eastAsia"/>
          <w:sz w:val="24"/>
        </w:rPr>
        <w:fldChar w:fldCharType="begin"/>
      </w:r>
      <w:r w:rsidRPr="0042567B">
        <w:rPr>
          <w:rFonts w:ascii="黑体" w:eastAsia="黑体" w:hAnsi="黑体" w:hint="eastAsia"/>
          <w:sz w:val="24"/>
        </w:rPr>
        <w:instrText xml:space="preserve"> SEQ 图表 \* ARABIC </w:instrText>
      </w:r>
      <w:r w:rsidRPr="0042567B">
        <w:rPr>
          <w:rFonts w:ascii="黑体" w:eastAsia="黑体" w:hAnsi="黑体" w:hint="eastAsia"/>
          <w:sz w:val="24"/>
        </w:rPr>
        <w:fldChar w:fldCharType="separate"/>
      </w:r>
      <w:r w:rsidRPr="0042567B">
        <w:rPr>
          <w:rFonts w:ascii="黑体" w:eastAsia="黑体" w:hAnsi="黑体" w:hint="eastAsia"/>
          <w:noProof/>
          <w:sz w:val="24"/>
        </w:rPr>
        <w:t>7</w:t>
      </w:r>
      <w:r w:rsidRPr="0042567B">
        <w:rPr>
          <w:rFonts w:ascii="黑体" w:eastAsia="黑体" w:hAnsi="黑体" w:hint="eastAsia"/>
          <w:sz w:val="24"/>
        </w:rPr>
        <w:fldChar w:fldCharType="end"/>
      </w:r>
      <w:r w:rsidRPr="0042567B">
        <w:rPr>
          <w:rFonts w:ascii="黑体" w:eastAsia="黑体" w:hAnsi="黑体" w:hint="eastAsia"/>
          <w:sz w:val="24"/>
        </w:rPr>
        <w:t xml:space="preserve"> 英国</w:t>
      </w:r>
      <w:bookmarkStart w:id="22" w:name="OLE_LINK13"/>
      <w:bookmarkStart w:id="23" w:name="OLE_LINK7"/>
      <w:r w:rsidRPr="0042567B">
        <w:rPr>
          <w:rFonts w:ascii="黑体" w:eastAsia="黑体" w:hAnsi="黑体" w:hint="eastAsia"/>
          <w:sz w:val="24"/>
        </w:rPr>
        <w:t>二氧化碳排放量 单位（百万吨）</w:t>
      </w:r>
      <w:bookmarkEnd w:id="22"/>
      <w:bookmarkEnd w:id="23"/>
    </w:p>
    <w:p w14:paraId="1781F64A" w14:textId="77777777" w:rsidR="0042567B" w:rsidRPr="0042567B" w:rsidRDefault="0042567B" w:rsidP="0042567B">
      <w:pPr>
        <w:spacing w:line="240" w:lineRule="auto"/>
        <w:ind w:firstLine="560"/>
      </w:pPr>
      <w:r w:rsidRPr="0042567B">
        <w:rPr>
          <w:rFonts w:hint="eastAsia"/>
        </w:rPr>
        <w:t>在</w:t>
      </w:r>
      <w:r w:rsidRPr="0042567B">
        <w:t>2019</w:t>
      </w:r>
      <w:r w:rsidRPr="0042567B">
        <w:rPr>
          <w:rFonts w:hint="eastAsia"/>
        </w:rPr>
        <w:t>年交通碳排放中，汽车和出租车排放占比最大，占</w:t>
      </w:r>
      <w:r w:rsidRPr="0042567B">
        <w:t>55.4%</w:t>
      </w:r>
      <w:r w:rsidRPr="0042567B">
        <w:rPr>
          <w:rFonts w:hint="eastAsia"/>
        </w:rPr>
        <w:t>，其次分别是重型货车和轻型车辆，分别占比为</w:t>
      </w:r>
      <w:r w:rsidRPr="0042567B">
        <w:t>15.9%</w:t>
      </w:r>
      <w:r w:rsidRPr="0042567B">
        <w:rPr>
          <w:rFonts w:hint="eastAsia"/>
        </w:rPr>
        <w:t>和</w:t>
      </w:r>
      <w:r w:rsidRPr="0042567B">
        <w:t>15.7%</w:t>
      </w:r>
      <w:r w:rsidRPr="0042567B">
        <w:rPr>
          <w:rFonts w:hint="eastAsia"/>
        </w:rPr>
        <w:t>。过去</w:t>
      </w:r>
      <w:r w:rsidRPr="0042567B">
        <w:t>30</w:t>
      </w:r>
      <w:r w:rsidRPr="0042567B">
        <w:rPr>
          <w:rFonts w:hint="eastAsia"/>
        </w:rPr>
        <w:t>年来，尽管其他部门的排放量有所下降，交通运输碳排放量基本持平。尽管发动机效率提升，但是行程数在不断增加，同时柴电动和混合动力汽车的增长带来的减排被柴油和汽油</w:t>
      </w:r>
      <w:r w:rsidRPr="0042567B">
        <w:t>SUV</w:t>
      </w:r>
      <w:r w:rsidRPr="0042567B">
        <w:rPr>
          <w:rFonts w:hint="eastAsia"/>
        </w:rPr>
        <w:t>车辆的增长所抵消。</w:t>
      </w:r>
    </w:p>
    <w:p w14:paraId="6FD24162" w14:textId="77777777" w:rsidR="0042567B" w:rsidRPr="0042567B" w:rsidRDefault="0042567B" w:rsidP="0042567B">
      <w:pPr>
        <w:spacing w:line="240" w:lineRule="auto"/>
        <w:ind w:left="560" w:firstLineChars="0" w:firstLine="0"/>
        <w:rPr>
          <w:rFonts w:eastAsia="DengXian"/>
          <w:sz w:val="21"/>
        </w:rPr>
      </w:pPr>
      <w:r w:rsidRPr="0042567B">
        <w:rPr>
          <w:rFonts w:eastAsia="DengXian"/>
          <w:noProof/>
          <w:sz w:val="21"/>
        </w:rPr>
        <w:lastRenderedPageBreak/>
        <w:drawing>
          <wp:inline distT="0" distB="0" distL="0" distR="0" wp14:anchorId="10E91076" wp14:editId="58293903">
            <wp:extent cx="4622800" cy="3767455"/>
            <wp:effectExtent l="0" t="0" r="6350" b="4445"/>
            <wp:docPr id="6150" name="图表 13">
              <a:extLst xmlns:a="http://schemas.openxmlformats.org/drawingml/2006/main">
                <a:ext uri="{FF2B5EF4-FFF2-40B4-BE49-F238E27FC236}">
                  <a16:creationId xmlns:a16="http://schemas.microsoft.com/office/drawing/2014/main" id="{F0E4AD6F-3CBC-4455-8123-43D124A88B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702337E5" w14:textId="77777777" w:rsidR="0042567B" w:rsidRPr="0042567B" w:rsidRDefault="0042567B" w:rsidP="0042567B">
      <w:pPr>
        <w:spacing w:line="240" w:lineRule="auto"/>
        <w:ind w:firstLine="480"/>
        <w:jc w:val="center"/>
        <w:rPr>
          <w:sz w:val="24"/>
          <w:szCs w:val="24"/>
        </w:rPr>
      </w:pPr>
      <w:r w:rsidRPr="0042567B">
        <w:rPr>
          <w:rFonts w:ascii="黑体" w:eastAsia="黑体" w:hAnsi="黑体" w:hint="eastAsia"/>
          <w:sz w:val="24"/>
          <w:szCs w:val="24"/>
        </w:rPr>
        <w:t>图3-</w:t>
      </w:r>
      <w:r w:rsidRPr="0042567B">
        <w:rPr>
          <w:rFonts w:ascii="黑体" w:eastAsia="黑体" w:hAnsi="黑体" w:hint="eastAsia"/>
          <w:sz w:val="24"/>
          <w:szCs w:val="24"/>
        </w:rPr>
        <w:fldChar w:fldCharType="begin"/>
      </w:r>
      <w:r w:rsidRPr="0042567B">
        <w:rPr>
          <w:rFonts w:ascii="黑体" w:eastAsia="黑体" w:hAnsi="黑体" w:hint="eastAsia"/>
          <w:sz w:val="24"/>
          <w:szCs w:val="24"/>
        </w:rPr>
        <w:instrText xml:space="preserve"> SEQ 图表 \* ARABIC </w:instrText>
      </w:r>
      <w:r w:rsidRPr="0042567B">
        <w:rPr>
          <w:rFonts w:ascii="黑体" w:eastAsia="黑体" w:hAnsi="黑体" w:hint="eastAsia"/>
          <w:sz w:val="24"/>
          <w:szCs w:val="24"/>
        </w:rPr>
        <w:fldChar w:fldCharType="separate"/>
      </w:r>
      <w:r w:rsidRPr="0042567B">
        <w:rPr>
          <w:rFonts w:ascii="黑体" w:eastAsia="黑体" w:hAnsi="黑体" w:hint="eastAsia"/>
          <w:noProof/>
          <w:sz w:val="24"/>
          <w:szCs w:val="24"/>
        </w:rPr>
        <w:t>8</w:t>
      </w:r>
      <w:r w:rsidRPr="0042567B">
        <w:rPr>
          <w:rFonts w:ascii="黑体" w:eastAsia="黑体" w:hAnsi="黑体" w:hint="eastAsia"/>
          <w:sz w:val="24"/>
          <w:szCs w:val="24"/>
        </w:rPr>
        <w:fldChar w:fldCharType="end"/>
      </w:r>
      <w:r w:rsidRPr="0042567B">
        <w:rPr>
          <w:sz w:val="24"/>
          <w:szCs w:val="24"/>
        </w:rPr>
        <w:t xml:space="preserve"> </w:t>
      </w:r>
      <w:r w:rsidRPr="0042567B">
        <w:rPr>
          <w:rFonts w:eastAsia="黑体"/>
          <w:sz w:val="24"/>
          <w:szCs w:val="24"/>
        </w:rPr>
        <w:t>2019</w:t>
      </w:r>
      <w:r w:rsidRPr="0042567B">
        <w:rPr>
          <w:rFonts w:eastAsia="黑体" w:hint="eastAsia"/>
          <w:sz w:val="24"/>
          <w:szCs w:val="24"/>
        </w:rPr>
        <w:t>年英国温室气体排放量</w:t>
      </w:r>
      <w:r w:rsidRPr="0042567B">
        <w:rPr>
          <w:rFonts w:eastAsia="黑体"/>
          <w:sz w:val="24"/>
          <w:szCs w:val="24"/>
        </w:rPr>
        <w:t xml:space="preserve"> </w:t>
      </w:r>
      <w:r w:rsidRPr="0042567B">
        <w:rPr>
          <w:rFonts w:eastAsia="黑体" w:hint="eastAsia"/>
          <w:sz w:val="24"/>
          <w:szCs w:val="24"/>
        </w:rPr>
        <w:t>单位（百万吨）</w:t>
      </w:r>
    </w:p>
    <w:p w14:paraId="12245098" w14:textId="77777777" w:rsidR="0042567B" w:rsidRPr="0042567B" w:rsidRDefault="0042567B" w:rsidP="0042567B">
      <w:pPr>
        <w:spacing w:line="240" w:lineRule="auto"/>
        <w:ind w:firstLine="560"/>
      </w:pPr>
      <w:r w:rsidRPr="0042567B">
        <w:rPr>
          <w:rFonts w:hint="eastAsia"/>
        </w:rPr>
        <w:t>英国作为世界铁路运输业的发源地，以客运为主，客货共线运输。在英国铁路发展的历史最好时期</w:t>
      </w:r>
      <w:r w:rsidRPr="0042567B">
        <w:t>,</w:t>
      </w:r>
      <w:r w:rsidRPr="0042567B">
        <w:rPr>
          <w:rFonts w:hint="eastAsia"/>
        </w:rPr>
        <w:t>货运市场份额曾达到</w:t>
      </w:r>
      <w:r w:rsidRPr="0042567B">
        <w:t>52%,</w:t>
      </w:r>
      <w:r w:rsidRPr="0042567B">
        <w:rPr>
          <w:rFonts w:hint="eastAsia"/>
        </w:rPr>
        <w:t>客运市场份额曾达到</w:t>
      </w:r>
      <w:r w:rsidRPr="0042567B">
        <w:t>30%</w:t>
      </w:r>
      <w:r w:rsidRPr="0042567B">
        <w:rPr>
          <w:rFonts w:hint="eastAsia"/>
        </w:rPr>
        <w:t>。但从</w:t>
      </w:r>
      <w:r w:rsidRPr="0042567B">
        <w:t>20</w:t>
      </w:r>
      <w:r w:rsidRPr="0042567B">
        <w:rPr>
          <w:rFonts w:hint="eastAsia"/>
        </w:rPr>
        <w:t>世纪</w:t>
      </w:r>
      <w:r w:rsidRPr="0042567B">
        <w:t>50</w:t>
      </w:r>
      <w:r w:rsidRPr="0042567B">
        <w:rPr>
          <w:rFonts w:hint="eastAsia"/>
        </w:rPr>
        <w:t>年代开始，随着公路、航空运输的兴起，铁路运输受到严重挑战，逐渐走向衰落。之后，通过实行网运分离、民营化等一系列改革措施，英国铁路重新确立了在交通运输业中的位置，客货运量逐年增长。作为铁路发展的先行者，英国向来都重视铁路运输节能降耗工作。由图可见</w:t>
      </w:r>
      <w:r w:rsidRPr="0042567B">
        <w:t>,</w:t>
      </w:r>
      <w:r w:rsidRPr="0042567B">
        <w:rPr>
          <w:rFonts w:hint="eastAsia"/>
        </w:rPr>
        <w:t>从</w:t>
      </w:r>
      <w:r w:rsidRPr="0042567B">
        <w:t>2001</w:t>
      </w:r>
      <w:r w:rsidRPr="0042567B">
        <w:rPr>
          <w:rFonts w:hint="eastAsia"/>
        </w:rPr>
        <w:t>年到</w:t>
      </w:r>
      <w:r w:rsidRPr="0042567B">
        <w:t>2018</w:t>
      </w:r>
      <w:r w:rsidRPr="0042567B">
        <w:rPr>
          <w:rFonts w:hint="eastAsia"/>
        </w:rPr>
        <w:t>年</w:t>
      </w:r>
      <w:r w:rsidRPr="0042567B">
        <w:t>,</w:t>
      </w:r>
      <w:r w:rsidRPr="0042567B">
        <w:rPr>
          <w:rFonts w:hint="eastAsia"/>
        </w:rPr>
        <w:t>英国的铁路运输能源消耗强度呈现下降态势，在</w:t>
      </w:r>
      <w:r w:rsidRPr="0042567B">
        <w:t>2009</w:t>
      </w:r>
      <w:r w:rsidRPr="0042567B">
        <w:rPr>
          <w:rFonts w:hint="eastAsia"/>
        </w:rPr>
        <w:t>年</w:t>
      </w:r>
      <w:r w:rsidRPr="0042567B">
        <w:t>,</w:t>
      </w:r>
      <w:r w:rsidRPr="0042567B">
        <w:rPr>
          <w:rFonts w:hint="eastAsia"/>
        </w:rPr>
        <w:t>虽然能源消耗强度出现了小量的增长</w:t>
      </w:r>
      <w:r w:rsidRPr="0042567B">
        <w:t>,</w:t>
      </w:r>
      <w:r w:rsidRPr="0042567B">
        <w:rPr>
          <w:rFonts w:hint="eastAsia"/>
        </w:rPr>
        <w:t>但总体看</w:t>
      </w:r>
      <w:r w:rsidRPr="0042567B">
        <w:t>,</w:t>
      </w:r>
      <w:r w:rsidRPr="0042567B">
        <w:rPr>
          <w:rFonts w:hint="eastAsia"/>
        </w:rPr>
        <w:t>英国铁路运输能源消耗强度在近些年一直在下降。</w:t>
      </w:r>
      <w:r w:rsidRPr="0042567B">
        <w:t xml:space="preserve"> </w:t>
      </w:r>
    </w:p>
    <w:p w14:paraId="16348933" w14:textId="77777777" w:rsidR="0042567B" w:rsidRPr="0042567B" w:rsidRDefault="0042567B" w:rsidP="0042567B">
      <w:pPr>
        <w:spacing w:line="240" w:lineRule="auto"/>
        <w:ind w:firstLine="560"/>
        <w:jc w:val="center"/>
      </w:pPr>
      <w:r w:rsidRPr="0042567B">
        <w:rPr>
          <w:noProof/>
        </w:rPr>
        <w:lastRenderedPageBreak/>
        <w:drawing>
          <wp:inline distT="0" distB="0" distL="0" distR="0" wp14:anchorId="407D0022" wp14:editId="167ADC3D">
            <wp:extent cx="4004945" cy="2472055"/>
            <wp:effectExtent l="0" t="0" r="0" b="4445"/>
            <wp:docPr id="6151" name="图表 7">
              <a:extLst xmlns:a="http://schemas.openxmlformats.org/drawingml/2006/main">
                <a:ext uri="{FF2B5EF4-FFF2-40B4-BE49-F238E27FC236}">
                  <a16:creationId xmlns:a16="http://schemas.microsoft.com/office/drawing/2014/main" id="{71F9A949-9DE0-45B0-869D-FF1F6DBEE1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788022EB" w14:textId="77777777" w:rsidR="0042567B" w:rsidRPr="0042567B" w:rsidRDefault="0042567B" w:rsidP="0042567B">
      <w:pPr>
        <w:spacing w:line="240" w:lineRule="auto"/>
        <w:ind w:firstLine="480"/>
        <w:jc w:val="center"/>
        <w:rPr>
          <w:rFonts w:ascii="黑体" w:eastAsia="黑体" w:hAnsi="黑体"/>
          <w:sz w:val="24"/>
        </w:rPr>
      </w:pPr>
      <w:r w:rsidRPr="0042567B">
        <w:rPr>
          <w:rFonts w:ascii="黑体" w:eastAsia="黑体" w:hAnsi="黑体" w:hint="eastAsia"/>
          <w:sz w:val="24"/>
        </w:rPr>
        <w:t>图3-</w:t>
      </w:r>
      <w:r w:rsidRPr="0042567B">
        <w:rPr>
          <w:rFonts w:ascii="黑体" w:eastAsia="黑体" w:hAnsi="黑体" w:hint="eastAsia"/>
          <w:sz w:val="24"/>
        </w:rPr>
        <w:fldChar w:fldCharType="begin"/>
      </w:r>
      <w:r w:rsidRPr="0042567B">
        <w:rPr>
          <w:rFonts w:ascii="黑体" w:eastAsia="黑体" w:hAnsi="黑体" w:hint="eastAsia"/>
          <w:sz w:val="24"/>
        </w:rPr>
        <w:instrText xml:space="preserve"> SEQ 图表 \* ARABIC </w:instrText>
      </w:r>
      <w:r w:rsidRPr="0042567B">
        <w:rPr>
          <w:rFonts w:ascii="黑体" w:eastAsia="黑体" w:hAnsi="黑体" w:hint="eastAsia"/>
          <w:sz w:val="24"/>
        </w:rPr>
        <w:fldChar w:fldCharType="separate"/>
      </w:r>
      <w:r w:rsidRPr="0042567B">
        <w:rPr>
          <w:rFonts w:ascii="黑体" w:eastAsia="黑体" w:hAnsi="黑体" w:hint="eastAsia"/>
          <w:sz w:val="24"/>
        </w:rPr>
        <w:t>9</w:t>
      </w:r>
      <w:r w:rsidRPr="0042567B">
        <w:rPr>
          <w:rFonts w:ascii="黑体" w:eastAsia="黑体" w:hAnsi="黑体" w:hint="eastAsia"/>
          <w:sz w:val="24"/>
        </w:rPr>
        <w:fldChar w:fldCharType="end"/>
      </w:r>
      <w:r w:rsidRPr="0042567B">
        <w:rPr>
          <w:rFonts w:ascii="黑体" w:eastAsia="黑体" w:hAnsi="黑体" w:hint="eastAsia"/>
          <w:sz w:val="24"/>
        </w:rPr>
        <w:t xml:space="preserve"> 英国铁路运输能耗图</w:t>
      </w:r>
    </w:p>
    <w:p w14:paraId="66C896D1" w14:textId="77777777" w:rsidR="0042567B" w:rsidRPr="0042567B" w:rsidRDefault="0042567B" w:rsidP="0042567B">
      <w:pPr>
        <w:spacing w:line="240" w:lineRule="auto"/>
        <w:ind w:firstLine="560"/>
      </w:pPr>
      <w:r w:rsidRPr="0042567B">
        <w:rPr>
          <w:rFonts w:hint="eastAsia"/>
        </w:rPr>
        <w:t>随着全社会对运输时效性、个性化、舒适度等要求的提高，豪华舒适大巴、冷链物流等高耗能公路运输逐年增加，公路单耗存在上升趋势。</w:t>
      </w:r>
    </w:p>
    <w:p w14:paraId="384EBD19" w14:textId="77777777" w:rsidR="0042567B" w:rsidRPr="0042567B" w:rsidRDefault="0042567B" w:rsidP="0042567B">
      <w:pPr>
        <w:spacing w:line="240" w:lineRule="auto"/>
        <w:ind w:firstLine="560"/>
        <w:jc w:val="center"/>
      </w:pPr>
      <w:r w:rsidRPr="0042567B">
        <w:rPr>
          <w:noProof/>
        </w:rPr>
        <w:drawing>
          <wp:inline distT="0" distB="0" distL="0" distR="0" wp14:anchorId="025FD95F" wp14:editId="3222B062">
            <wp:extent cx="4191000" cy="2514600"/>
            <wp:effectExtent l="0" t="0" r="0" b="0"/>
            <wp:docPr id="6152" name="图表 8">
              <a:extLst xmlns:a="http://schemas.openxmlformats.org/drawingml/2006/main">
                <a:ext uri="{FF2B5EF4-FFF2-40B4-BE49-F238E27FC236}">
                  <a16:creationId xmlns:a16="http://schemas.microsoft.com/office/drawing/2014/main" id="{996DFE8C-0A82-4EE8-8C81-6E5A8EE0AB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3FB93482" w14:textId="77777777" w:rsidR="0042567B" w:rsidRPr="0042567B" w:rsidRDefault="0042567B" w:rsidP="0042567B">
      <w:pPr>
        <w:spacing w:line="240" w:lineRule="auto"/>
        <w:ind w:firstLine="480"/>
        <w:jc w:val="center"/>
        <w:rPr>
          <w:rFonts w:ascii="黑体" w:eastAsia="黑体" w:hAnsi="黑体"/>
          <w:sz w:val="24"/>
        </w:rPr>
      </w:pPr>
      <w:r w:rsidRPr="0042567B">
        <w:rPr>
          <w:rFonts w:ascii="黑体" w:eastAsia="黑体" w:hAnsi="黑体" w:hint="eastAsia"/>
          <w:sz w:val="24"/>
        </w:rPr>
        <w:t>图3-</w:t>
      </w:r>
      <w:r w:rsidRPr="0042567B">
        <w:rPr>
          <w:rFonts w:ascii="黑体" w:eastAsia="黑体" w:hAnsi="黑体" w:hint="eastAsia"/>
          <w:sz w:val="24"/>
        </w:rPr>
        <w:fldChar w:fldCharType="begin"/>
      </w:r>
      <w:r w:rsidRPr="0042567B">
        <w:rPr>
          <w:rFonts w:ascii="黑体" w:eastAsia="黑体" w:hAnsi="黑体" w:hint="eastAsia"/>
          <w:sz w:val="24"/>
        </w:rPr>
        <w:instrText xml:space="preserve"> SEQ 图表 \* ARABIC </w:instrText>
      </w:r>
      <w:r w:rsidRPr="0042567B">
        <w:rPr>
          <w:rFonts w:ascii="黑体" w:eastAsia="黑体" w:hAnsi="黑体" w:hint="eastAsia"/>
          <w:sz w:val="24"/>
        </w:rPr>
        <w:fldChar w:fldCharType="separate"/>
      </w:r>
      <w:r w:rsidRPr="0042567B">
        <w:rPr>
          <w:rFonts w:ascii="黑体" w:eastAsia="黑体" w:hAnsi="黑体" w:hint="eastAsia"/>
          <w:sz w:val="24"/>
        </w:rPr>
        <w:t>10</w:t>
      </w:r>
      <w:r w:rsidRPr="0042567B">
        <w:rPr>
          <w:rFonts w:ascii="黑体" w:eastAsia="黑体" w:hAnsi="黑体" w:hint="eastAsia"/>
          <w:sz w:val="24"/>
        </w:rPr>
        <w:fldChar w:fldCharType="end"/>
      </w:r>
      <w:r w:rsidRPr="0042567B">
        <w:rPr>
          <w:rFonts w:ascii="黑体" w:eastAsia="黑体" w:hAnsi="黑体" w:hint="eastAsia"/>
          <w:sz w:val="24"/>
        </w:rPr>
        <w:t xml:space="preserve"> 英国公路运输能耗图</w:t>
      </w:r>
    </w:p>
    <w:p w14:paraId="3F20438E" w14:textId="77777777" w:rsidR="0042567B" w:rsidRPr="0042567B" w:rsidRDefault="0042567B" w:rsidP="0042567B">
      <w:pPr>
        <w:spacing w:line="240" w:lineRule="auto"/>
        <w:ind w:firstLine="560"/>
      </w:pPr>
      <w:r w:rsidRPr="0042567B">
        <w:rPr>
          <w:rFonts w:hint="eastAsia"/>
        </w:rPr>
        <w:t>根据英国运输部的数据，</w:t>
      </w:r>
      <w:r w:rsidRPr="0042567B">
        <w:t>2019</w:t>
      </w:r>
      <w:r w:rsidRPr="0042567B">
        <w:rPr>
          <w:rFonts w:hint="eastAsia"/>
        </w:rPr>
        <w:t>年英国港口的吞吐量相比</w:t>
      </w:r>
      <w:r w:rsidRPr="0042567B">
        <w:t>2018</w:t>
      </w:r>
      <w:r w:rsidRPr="0042567B">
        <w:rPr>
          <w:rFonts w:hint="eastAsia"/>
        </w:rPr>
        <w:t>年小幅增长了</w:t>
      </w:r>
      <w:r w:rsidRPr="0042567B">
        <w:t>1%</w:t>
      </w:r>
      <w:r w:rsidRPr="0042567B">
        <w:rPr>
          <w:rFonts w:hint="eastAsia"/>
        </w:rPr>
        <w:t>，总吞吐量达到</w:t>
      </w:r>
      <w:r w:rsidRPr="0042567B">
        <w:t>4.861</w:t>
      </w:r>
      <w:r w:rsidRPr="0042567B">
        <w:rPr>
          <w:rFonts w:hint="eastAsia"/>
        </w:rPr>
        <w:t>亿吨、转运量为</w:t>
      </w:r>
      <w:r w:rsidRPr="0042567B">
        <w:t>2330</w:t>
      </w:r>
      <w:r w:rsidRPr="0042567B">
        <w:rPr>
          <w:rFonts w:hint="eastAsia"/>
        </w:rPr>
        <w:t>万箱，总计减少</w:t>
      </w:r>
      <w:r w:rsidRPr="0042567B">
        <w:t>3%</w:t>
      </w:r>
      <w:r w:rsidRPr="0042567B">
        <w:rPr>
          <w:rFonts w:hint="eastAsia"/>
        </w:rPr>
        <w:t>，英国水运需求逐步下降。加上水运船舶技术进步较小，随着需求下降船舶更新缓慢，单耗出现逐年上升。</w:t>
      </w:r>
    </w:p>
    <w:p w14:paraId="53CC80BE" w14:textId="77777777" w:rsidR="0042567B" w:rsidRPr="0042567B" w:rsidRDefault="0042567B" w:rsidP="0042567B">
      <w:pPr>
        <w:spacing w:line="240" w:lineRule="auto"/>
        <w:ind w:firstLine="560"/>
        <w:jc w:val="center"/>
      </w:pPr>
      <w:r w:rsidRPr="0042567B">
        <w:rPr>
          <w:noProof/>
        </w:rPr>
        <w:lastRenderedPageBreak/>
        <w:drawing>
          <wp:inline distT="0" distB="0" distL="0" distR="0" wp14:anchorId="77D57325" wp14:editId="52AF5797">
            <wp:extent cx="3810000" cy="2455545"/>
            <wp:effectExtent l="0" t="0" r="0" b="1905"/>
            <wp:docPr id="6153" name="图表 9">
              <a:extLst xmlns:a="http://schemas.openxmlformats.org/drawingml/2006/main">
                <a:ext uri="{FF2B5EF4-FFF2-40B4-BE49-F238E27FC236}">
                  <a16:creationId xmlns:a16="http://schemas.microsoft.com/office/drawing/2014/main" id="{751D50D5-B65D-4E8F-866B-C3114E1D9D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6773D0EA" w14:textId="77777777" w:rsidR="0042567B" w:rsidRPr="0042567B" w:rsidRDefault="0042567B" w:rsidP="0042567B">
      <w:pPr>
        <w:spacing w:line="240" w:lineRule="auto"/>
        <w:ind w:firstLine="480"/>
        <w:jc w:val="center"/>
        <w:rPr>
          <w:rFonts w:ascii="黑体" w:eastAsia="黑体" w:hAnsi="黑体"/>
          <w:sz w:val="24"/>
        </w:rPr>
      </w:pPr>
      <w:r w:rsidRPr="0042567B">
        <w:rPr>
          <w:rFonts w:ascii="黑体" w:eastAsia="黑体" w:hAnsi="黑体" w:hint="eastAsia"/>
          <w:sz w:val="24"/>
        </w:rPr>
        <w:t>图3-</w:t>
      </w:r>
      <w:r w:rsidRPr="0042567B">
        <w:rPr>
          <w:rFonts w:ascii="黑体" w:eastAsia="黑体" w:hAnsi="黑体" w:hint="eastAsia"/>
          <w:sz w:val="24"/>
        </w:rPr>
        <w:fldChar w:fldCharType="begin"/>
      </w:r>
      <w:r w:rsidRPr="0042567B">
        <w:rPr>
          <w:rFonts w:ascii="黑体" w:eastAsia="黑体" w:hAnsi="黑体" w:hint="eastAsia"/>
          <w:sz w:val="24"/>
        </w:rPr>
        <w:instrText xml:space="preserve"> SEQ 图表 \* ARABIC </w:instrText>
      </w:r>
      <w:r w:rsidRPr="0042567B">
        <w:rPr>
          <w:rFonts w:ascii="黑体" w:eastAsia="黑体" w:hAnsi="黑体" w:hint="eastAsia"/>
          <w:sz w:val="24"/>
        </w:rPr>
        <w:fldChar w:fldCharType="separate"/>
      </w:r>
      <w:r w:rsidRPr="0042567B">
        <w:rPr>
          <w:rFonts w:ascii="黑体" w:eastAsia="黑体" w:hAnsi="黑体" w:hint="eastAsia"/>
          <w:sz w:val="24"/>
        </w:rPr>
        <w:t>11</w:t>
      </w:r>
      <w:r w:rsidRPr="0042567B">
        <w:rPr>
          <w:rFonts w:ascii="黑体" w:eastAsia="黑体" w:hAnsi="黑体" w:hint="eastAsia"/>
          <w:sz w:val="24"/>
        </w:rPr>
        <w:fldChar w:fldCharType="end"/>
      </w:r>
      <w:r w:rsidRPr="0042567B">
        <w:rPr>
          <w:rFonts w:ascii="黑体" w:eastAsia="黑体" w:hAnsi="黑体" w:hint="eastAsia"/>
          <w:sz w:val="24"/>
        </w:rPr>
        <w:t xml:space="preserve"> 英国水路运输能耗图</w:t>
      </w:r>
    </w:p>
    <w:p w14:paraId="61227D51" w14:textId="77777777" w:rsidR="0042567B" w:rsidRPr="0042567B" w:rsidRDefault="0042567B" w:rsidP="0042567B">
      <w:pPr>
        <w:spacing w:line="240" w:lineRule="auto"/>
        <w:ind w:firstLine="560"/>
      </w:pPr>
      <w:r w:rsidRPr="0042567B">
        <w:rPr>
          <w:rFonts w:hint="eastAsia"/>
        </w:rPr>
        <w:t>从图中可以看出，英国的航空需求逐年上升，但是随着飞机发动机的更新，航空业的发展，英国民航单耗整体呈现下降趋势。</w:t>
      </w:r>
    </w:p>
    <w:p w14:paraId="032E843D" w14:textId="77777777" w:rsidR="0042567B" w:rsidRPr="0042567B" w:rsidRDefault="0042567B" w:rsidP="0042567B">
      <w:pPr>
        <w:spacing w:line="240" w:lineRule="auto"/>
        <w:ind w:firstLine="560"/>
        <w:jc w:val="center"/>
      </w:pPr>
      <w:r w:rsidRPr="0042567B">
        <w:rPr>
          <w:noProof/>
        </w:rPr>
        <w:drawing>
          <wp:inline distT="0" distB="0" distL="0" distR="0" wp14:anchorId="2BC00D27" wp14:editId="01C56E15">
            <wp:extent cx="4572000" cy="2573655"/>
            <wp:effectExtent l="0" t="0" r="0" b="0"/>
            <wp:docPr id="6154" name="图表 10">
              <a:extLst xmlns:a="http://schemas.openxmlformats.org/drawingml/2006/main">
                <a:ext uri="{FF2B5EF4-FFF2-40B4-BE49-F238E27FC236}">
                  <a16:creationId xmlns:a16="http://schemas.microsoft.com/office/drawing/2014/main" id="{985332C7-5BE4-446E-A4A9-64C25BC31B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2A93DCA5" w14:textId="77777777" w:rsidR="0042567B" w:rsidRPr="0042567B" w:rsidRDefault="0042567B" w:rsidP="0042567B">
      <w:pPr>
        <w:spacing w:line="240" w:lineRule="auto"/>
        <w:ind w:firstLine="480"/>
        <w:jc w:val="center"/>
      </w:pPr>
      <w:r w:rsidRPr="0042567B">
        <w:rPr>
          <w:rFonts w:ascii="黑体" w:eastAsia="黑体" w:hAnsi="黑体" w:hint="eastAsia"/>
          <w:sz w:val="24"/>
        </w:rPr>
        <w:t>图3-</w:t>
      </w:r>
      <w:r w:rsidRPr="0042567B">
        <w:rPr>
          <w:rFonts w:ascii="黑体" w:eastAsia="黑体" w:hAnsi="黑体" w:hint="eastAsia"/>
          <w:sz w:val="24"/>
        </w:rPr>
        <w:fldChar w:fldCharType="begin"/>
      </w:r>
      <w:r w:rsidRPr="0042567B">
        <w:rPr>
          <w:rFonts w:ascii="黑体" w:eastAsia="黑体" w:hAnsi="黑体" w:hint="eastAsia"/>
          <w:sz w:val="24"/>
        </w:rPr>
        <w:instrText xml:space="preserve"> SEQ 图表 \* ARABIC </w:instrText>
      </w:r>
      <w:r w:rsidRPr="0042567B">
        <w:rPr>
          <w:rFonts w:ascii="黑体" w:eastAsia="黑体" w:hAnsi="黑体" w:hint="eastAsia"/>
          <w:sz w:val="24"/>
        </w:rPr>
        <w:fldChar w:fldCharType="separate"/>
      </w:r>
      <w:r w:rsidRPr="0042567B">
        <w:rPr>
          <w:rFonts w:ascii="黑体" w:eastAsia="黑体" w:hAnsi="黑体" w:hint="eastAsia"/>
          <w:noProof/>
          <w:sz w:val="24"/>
        </w:rPr>
        <w:t>12</w:t>
      </w:r>
      <w:r w:rsidRPr="0042567B">
        <w:rPr>
          <w:rFonts w:ascii="黑体" w:eastAsia="黑体" w:hAnsi="黑体" w:hint="eastAsia"/>
          <w:sz w:val="24"/>
        </w:rPr>
        <w:fldChar w:fldCharType="end"/>
      </w:r>
      <w:r w:rsidRPr="0042567B">
        <w:t xml:space="preserve"> </w:t>
      </w:r>
      <w:r w:rsidRPr="0042567B">
        <w:rPr>
          <w:rFonts w:ascii="黑体" w:eastAsia="黑体" w:hAnsi="黑体" w:hint="eastAsia"/>
          <w:sz w:val="24"/>
        </w:rPr>
        <w:t>英国航空运输能耗图</w:t>
      </w:r>
    </w:p>
    <w:p w14:paraId="05848089" w14:textId="77777777" w:rsidR="0042567B" w:rsidRPr="0042567B" w:rsidRDefault="0042567B" w:rsidP="0042567B">
      <w:pPr>
        <w:spacing w:line="240" w:lineRule="auto"/>
        <w:ind w:firstLine="562"/>
        <w:rPr>
          <w:b/>
        </w:rPr>
      </w:pPr>
      <w:r w:rsidRPr="0042567B">
        <w:rPr>
          <w:rFonts w:hint="eastAsia"/>
          <w:b/>
        </w:rPr>
        <w:t>（</w:t>
      </w:r>
      <w:r w:rsidRPr="0042567B">
        <w:rPr>
          <w:b/>
        </w:rPr>
        <w:t>4</w:t>
      </w:r>
      <w:r w:rsidRPr="0042567B">
        <w:rPr>
          <w:rFonts w:hint="eastAsia"/>
          <w:b/>
        </w:rPr>
        <w:t>）欧盟</w:t>
      </w:r>
    </w:p>
    <w:p w14:paraId="4743C30A" w14:textId="77777777" w:rsidR="0042567B" w:rsidRPr="0042567B" w:rsidRDefault="0042567B" w:rsidP="0042567B">
      <w:pPr>
        <w:spacing w:line="240" w:lineRule="auto"/>
        <w:ind w:firstLine="562"/>
      </w:pPr>
      <w:r w:rsidRPr="0042567B">
        <w:rPr>
          <w:rFonts w:hint="eastAsia"/>
          <w:b/>
        </w:rPr>
        <w:t>欧洲的交通运输部门是其碳重要的排放源。</w:t>
      </w:r>
      <w:r w:rsidRPr="0042567B">
        <w:rPr>
          <w:rFonts w:hint="eastAsia"/>
        </w:rPr>
        <w:t>从</w:t>
      </w:r>
      <w:r w:rsidRPr="0042567B">
        <w:t>2013</w:t>
      </w:r>
      <w:r w:rsidRPr="0042567B">
        <w:rPr>
          <w:rFonts w:hint="eastAsia"/>
        </w:rPr>
        <w:t>年到</w:t>
      </w:r>
      <w:r w:rsidRPr="0042567B">
        <w:t>2019</w:t>
      </w:r>
      <w:r w:rsidRPr="0042567B">
        <w:rPr>
          <w:rFonts w:hint="eastAsia"/>
        </w:rPr>
        <w:t>年，欧盟交通运输业的碳排放排放量持续增加，在总排放中的占比在近年来也逐步提升。</w:t>
      </w:r>
      <w:r w:rsidRPr="0042567B">
        <w:t>2019</w:t>
      </w:r>
      <w:r w:rsidRPr="0042567B">
        <w:rPr>
          <w:rFonts w:hint="eastAsia"/>
        </w:rPr>
        <w:t>年占欧洲碳排放总量的比例已达到</w:t>
      </w:r>
      <w:r w:rsidRPr="0042567B">
        <w:t>24%</w:t>
      </w:r>
      <w:r w:rsidRPr="0042567B">
        <w:rPr>
          <w:rFonts w:hint="eastAsia"/>
        </w:rPr>
        <w:t>。</w:t>
      </w:r>
      <w:r w:rsidRPr="0042567B">
        <w:t>2018</w:t>
      </w:r>
      <w:r w:rsidRPr="0042567B">
        <w:rPr>
          <w:rFonts w:hint="eastAsia"/>
        </w:rPr>
        <w:t>年至</w:t>
      </w:r>
      <w:r w:rsidRPr="0042567B">
        <w:t>2019</w:t>
      </w:r>
      <w:r w:rsidRPr="0042567B">
        <w:rPr>
          <w:rFonts w:hint="eastAsia"/>
        </w:rPr>
        <w:t>年，欧盟交通排放量增加了</w:t>
      </w:r>
      <w:r w:rsidRPr="0042567B">
        <w:t>0.8%</w:t>
      </w:r>
      <w:r w:rsidRPr="0042567B">
        <w:rPr>
          <w:rFonts w:hint="eastAsia"/>
        </w:rPr>
        <w:t>。根据初步估计，由于新冠疫情，期间交通活动急剧减少，</w:t>
      </w:r>
      <w:r w:rsidRPr="0042567B">
        <w:t>2020</w:t>
      </w:r>
      <w:r w:rsidRPr="0042567B">
        <w:rPr>
          <w:rFonts w:hint="eastAsia"/>
        </w:rPr>
        <w:t>年温室气体排放量下降了</w:t>
      </w:r>
      <w:r w:rsidRPr="0042567B">
        <w:lastRenderedPageBreak/>
        <w:t>12.7%</w:t>
      </w:r>
      <w:r w:rsidRPr="0042567B">
        <w:rPr>
          <w:rFonts w:hint="eastAsia"/>
        </w:rPr>
        <w:t>。</w:t>
      </w:r>
      <w:r w:rsidRPr="0042567B">
        <w:t>2016</w:t>
      </w:r>
      <w:r w:rsidRPr="0042567B">
        <w:rPr>
          <w:rFonts w:hint="eastAsia"/>
        </w:rPr>
        <w:t>年，不同交通部门温室气体排放占比分别为，公路运输</w:t>
      </w:r>
      <w:r w:rsidRPr="0042567B">
        <w:t>71.7%</w:t>
      </w:r>
      <w:r w:rsidRPr="0042567B">
        <w:rPr>
          <w:rFonts w:hint="eastAsia"/>
        </w:rPr>
        <w:t>，民航</w:t>
      </w:r>
      <w:r w:rsidRPr="0042567B">
        <w:t>13.9%</w:t>
      </w:r>
      <w:r w:rsidRPr="0042567B">
        <w:rPr>
          <w:rFonts w:hint="eastAsia"/>
        </w:rPr>
        <w:t>，水运</w:t>
      </w:r>
      <w:r w:rsidRPr="0042567B">
        <w:t>13.4%</w:t>
      </w:r>
      <w:r w:rsidRPr="0042567B">
        <w:rPr>
          <w:rFonts w:hint="eastAsia"/>
        </w:rPr>
        <w:t>，铁路</w:t>
      </w:r>
      <w:r w:rsidRPr="0042567B">
        <w:t>0.5%</w:t>
      </w:r>
      <w:r w:rsidRPr="0042567B">
        <w:rPr>
          <w:rFonts w:hint="eastAsia"/>
        </w:rPr>
        <w:t>，其它</w:t>
      </w:r>
      <w:r w:rsidRPr="0042567B">
        <w:t>0.5%</w:t>
      </w:r>
      <w:r w:rsidRPr="0042567B">
        <w:rPr>
          <w:rFonts w:hint="eastAsia"/>
        </w:rPr>
        <w:t>。</w:t>
      </w:r>
      <w:r w:rsidRPr="0042567B">
        <w:t>2017</w:t>
      </w:r>
      <w:r w:rsidRPr="0042567B">
        <w:rPr>
          <w:rFonts w:hint="eastAsia"/>
        </w:rPr>
        <w:t>年，公路运输碳排放占比继续增长到</w:t>
      </w:r>
      <w:r w:rsidRPr="0042567B">
        <w:t>72%</w:t>
      </w:r>
      <w:r w:rsidRPr="0042567B">
        <w:rPr>
          <w:rFonts w:hint="eastAsia"/>
        </w:rPr>
        <w:t>，其中汽车和轻型商用货车分别占运输部门排放量的</w:t>
      </w:r>
      <w:r w:rsidRPr="0042567B">
        <w:t>44%</w:t>
      </w:r>
      <w:r w:rsidRPr="0042567B">
        <w:rPr>
          <w:rFonts w:hint="eastAsia"/>
        </w:rPr>
        <w:t>和</w:t>
      </w:r>
      <w:r w:rsidRPr="0042567B">
        <w:t>9%</w:t>
      </w:r>
      <w:r w:rsidRPr="0042567B">
        <w:rPr>
          <w:rFonts w:hint="eastAsia"/>
        </w:rPr>
        <w:t>。</w:t>
      </w:r>
    </w:p>
    <w:p w14:paraId="0D9E241D" w14:textId="77777777" w:rsidR="0042567B" w:rsidRPr="0042567B" w:rsidRDefault="0042567B" w:rsidP="0042567B">
      <w:pPr>
        <w:spacing w:line="240" w:lineRule="auto"/>
        <w:ind w:firstLine="420"/>
      </w:pPr>
      <w:r w:rsidRPr="0042567B">
        <w:rPr>
          <w:rFonts w:ascii="DengXian" w:eastAsia="DengXian" w:hAnsi="DengXian"/>
          <w:noProof/>
          <w:sz w:val="21"/>
        </w:rPr>
        <w:drawing>
          <wp:inline distT="0" distB="0" distL="0" distR="0" wp14:anchorId="0E1CD819" wp14:editId="039B00F8">
            <wp:extent cx="4589145" cy="2760345"/>
            <wp:effectExtent l="0" t="0" r="1905" b="1905"/>
            <wp:docPr id="6155" name="图表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06DC18F9" w14:textId="77777777" w:rsidR="0042567B" w:rsidRPr="0042567B" w:rsidRDefault="0042567B" w:rsidP="0042567B">
      <w:pPr>
        <w:spacing w:line="240" w:lineRule="auto"/>
        <w:ind w:firstLine="480"/>
        <w:jc w:val="center"/>
      </w:pPr>
      <w:r w:rsidRPr="0042567B">
        <w:rPr>
          <w:rFonts w:ascii="黑体" w:eastAsia="黑体" w:hAnsi="黑体" w:hint="eastAsia"/>
          <w:sz w:val="24"/>
        </w:rPr>
        <w:t>图3-</w:t>
      </w:r>
      <w:r w:rsidRPr="0042567B">
        <w:rPr>
          <w:rFonts w:ascii="黑体" w:eastAsia="黑体" w:hAnsi="黑体" w:hint="eastAsia"/>
          <w:sz w:val="24"/>
        </w:rPr>
        <w:fldChar w:fldCharType="begin"/>
      </w:r>
      <w:r w:rsidRPr="0042567B">
        <w:rPr>
          <w:rFonts w:ascii="黑体" w:eastAsia="黑体" w:hAnsi="黑体" w:hint="eastAsia"/>
          <w:sz w:val="24"/>
        </w:rPr>
        <w:instrText xml:space="preserve"> SEQ 图表 \* ARABIC </w:instrText>
      </w:r>
      <w:r w:rsidRPr="0042567B">
        <w:rPr>
          <w:rFonts w:ascii="黑体" w:eastAsia="黑体" w:hAnsi="黑体" w:hint="eastAsia"/>
          <w:sz w:val="24"/>
        </w:rPr>
        <w:fldChar w:fldCharType="separate"/>
      </w:r>
      <w:r w:rsidRPr="0042567B">
        <w:rPr>
          <w:rFonts w:ascii="黑体" w:eastAsia="黑体" w:hAnsi="黑体" w:hint="eastAsia"/>
          <w:noProof/>
          <w:sz w:val="24"/>
        </w:rPr>
        <w:t>13</w:t>
      </w:r>
      <w:r w:rsidRPr="0042567B">
        <w:rPr>
          <w:rFonts w:ascii="黑体" w:eastAsia="黑体" w:hAnsi="黑体" w:hint="eastAsia"/>
          <w:sz w:val="24"/>
        </w:rPr>
        <w:fldChar w:fldCharType="end"/>
      </w:r>
      <w:r w:rsidRPr="0042567B">
        <w:t xml:space="preserve"> </w:t>
      </w:r>
      <w:r w:rsidRPr="0042567B">
        <w:rPr>
          <w:rFonts w:ascii="黑体" w:eastAsia="黑体" w:hAnsi="黑体" w:hint="eastAsia"/>
          <w:sz w:val="24"/>
        </w:rPr>
        <w:t>欧盟二氧化碳排放量 单位（百万吨）</w:t>
      </w:r>
    </w:p>
    <w:p w14:paraId="44B6B0EB" w14:textId="77777777" w:rsidR="0042567B" w:rsidRPr="0042567B" w:rsidRDefault="0042567B" w:rsidP="0042567B">
      <w:pPr>
        <w:spacing w:line="240" w:lineRule="auto"/>
        <w:ind w:firstLine="562"/>
      </w:pPr>
      <w:r w:rsidRPr="0042567B">
        <w:rPr>
          <w:rFonts w:hint="eastAsia"/>
          <w:b/>
        </w:rPr>
        <w:t>由于新能源汽车的推广，欧盟</w:t>
      </w:r>
      <w:r w:rsidRPr="0042567B">
        <w:rPr>
          <w:b/>
        </w:rPr>
        <w:t>2020</w:t>
      </w:r>
      <w:r w:rsidRPr="0042567B">
        <w:rPr>
          <w:rFonts w:hint="eastAsia"/>
          <w:b/>
        </w:rPr>
        <w:t>年新注册的汽车碳排放量降幅较大。</w:t>
      </w:r>
      <w:r w:rsidRPr="0042567B">
        <w:rPr>
          <w:rFonts w:hint="eastAsia"/>
        </w:rPr>
        <w:t>据</w:t>
      </w:r>
      <w:r w:rsidRPr="0042567B">
        <w:t>EEA</w:t>
      </w:r>
      <w:r w:rsidRPr="0042567B">
        <w:rPr>
          <w:rFonts w:hint="eastAsia"/>
        </w:rPr>
        <w:t>（即欧洲环境署）统计数据，</w:t>
      </w:r>
      <w:r w:rsidRPr="0042567B">
        <w:t>2020</w:t>
      </w:r>
      <w:r w:rsidRPr="0042567B">
        <w:rPr>
          <w:rFonts w:hint="eastAsia"/>
        </w:rPr>
        <w:t>年，在欧盟（</w:t>
      </w:r>
      <w:r w:rsidRPr="0042567B">
        <w:t>EU</w:t>
      </w:r>
      <w:r w:rsidRPr="0042567B">
        <w:rPr>
          <w:rFonts w:hint="eastAsia"/>
        </w:rPr>
        <w:t>）、冰岛、挪威和英国登记的新乘用车平均排放量为</w:t>
      </w:r>
      <w:r w:rsidRPr="0042567B">
        <w:t>107.8gCO</w:t>
      </w:r>
      <w:r w:rsidRPr="0042567B">
        <w:rPr>
          <w:vertAlign w:val="subscript"/>
        </w:rPr>
        <w:t>2</w:t>
      </w:r>
      <w:r w:rsidRPr="0042567B">
        <w:t>/km</w:t>
      </w:r>
      <w:r w:rsidRPr="0042567B">
        <w:rPr>
          <w:rFonts w:hint="eastAsia"/>
        </w:rPr>
        <w:t>，与</w:t>
      </w:r>
      <w:r w:rsidRPr="0042567B">
        <w:t>2019</w:t>
      </w:r>
      <w:r w:rsidRPr="0042567B">
        <w:rPr>
          <w:rFonts w:hint="eastAsia"/>
        </w:rPr>
        <w:t>年（</w:t>
      </w:r>
      <w:r w:rsidRPr="0042567B">
        <w:t>122.3  g CO</w:t>
      </w:r>
      <w:r w:rsidRPr="0042567B">
        <w:rPr>
          <w:vertAlign w:val="subscript"/>
        </w:rPr>
        <w:t>2</w:t>
      </w:r>
      <w:r w:rsidRPr="0042567B">
        <w:t>/km</w:t>
      </w:r>
      <w:r w:rsidRPr="0042567B">
        <w:rPr>
          <w:rFonts w:hint="eastAsia"/>
        </w:rPr>
        <w:t>）相比减少了</w:t>
      </w:r>
      <w:r w:rsidRPr="0042567B">
        <w:t>12%</w:t>
      </w:r>
      <w:r w:rsidRPr="0042567B">
        <w:rPr>
          <w:rFonts w:hint="eastAsia"/>
        </w:rPr>
        <w:t>（此前，由于车辆重量增加和燃油车减排效果停滞，</w:t>
      </w:r>
      <w:r w:rsidRPr="0042567B">
        <w:t>2015</w:t>
      </w:r>
      <w:r w:rsidRPr="0042567B">
        <w:rPr>
          <w:rFonts w:hint="eastAsia"/>
        </w:rPr>
        <w:t>年</w:t>
      </w:r>
      <w:r w:rsidRPr="0042567B">
        <w:t>-2019</w:t>
      </w:r>
      <w:r w:rsidRPr="0042567B">
        <w:rPr>
          <w:rFonts w:hint="eastAsia"/>
        </w:rPr>
        <w:t>年的乘用车碳排放量没有显著变化，甚至在</w:t>
      </w:r>
      <w:r w:rsidRPr="0042567B">
        <w:t>2018-2019</w:t>
      </w:r>
      <w:r w:rsidRPr="0042567B">
        <w:rPr>
          <w:rFonts w:hint="eastAsia"/>
        </w:rPr>
        <w:t>年不降反升）。这一进步和欧盟电动汽车注册量在不断增加有关。欧盟电动汽车注册份额从</w:t>
      </w:r>
      <w:r w:rsidRPr="0042567B">
        <w:t>2019</w:t>
      </w:r>
      <w:r w:rsidRPr="0042567B">
        <w:rPr>
          <w:rFonts w:hint="eastAsia"/>
        </w:rPr>
        <w:t>年的</w:t>
      </w:r>
      <w:r w:rsidRPr="0042567B">
        <w:t>3.5%</w:t>
      </w:r>
      <w:r w:rsidRPr="0042567B">
        <w:rPr>
          <w:rFonts w:hint="eastAsia"/>
        </w:rPr>
        <w:t>增至</w:t>
      </w:r>
      <w:r w:rsidRPr="0042567B">
        <w:t>2020</w:t>
      </w:r>
      <w:r w:rsidRPr="0042567B">
        <w:rPr>
          <w:rFonts w:hint="eastAsia"/>
        </w:rPr>
        <w:t>年的</w:t>
      </w:r>
      <w:r w:rsidRPr="0042567B">
        <w:t>11%</w:t>
      </w:r>
      <w:r w:rsidRPr="0042567B">
        <w:rPr>
          <w:rFonts w:hint="eastAsia"/>
        </w:rPr>
        <w:t>以上（包括</w:t>
      </w:r>
      <w:r w:rsidRPr="0042567B">
        <w:t>6%</w:t>
      </w:r>
      <w:r w:rsidRPr="0042567B">
        <w:rPr>
          <w:rFonts w:hint="eastAsia"/>
        </w:rPr>
        <w:t>的全电动汽车和</w:t>
      </w:r>
      <w:r w:rsidRPr="0042567B">
        <w:t>5%</w:t>
      </w:r>
      <w:r w:rsidRPr="0042567B">
        <w:rPr>
          <w:rFonts w:hint="eastAsia"/>
        </w:rPr>
        <w:t>的插电式混合动力汽车），增长了两倍。</w:t>
      </w:r>
      <w:r w:rsidRPr="0042567B">
        <w:t>2020</w:t>
      </w:r>
      <w:r w:rsidRPr="0042567B">
        <w:rPr>
          <w:rFonts w:hint="eastAsia"/>
        </w:rPr>
        <w:t>年，在欧盟登记的</w:t>
      </w:r>
      <w:r w:rsidRPr="0042567B">
        <w:t>140</w:t>
      </w:r>
      <w:r w:rsidRPr="0042567B">
        <w:rPr>
          <w:rFonts w:hint="eastAsia"/>
        </w:rPr>
        <w:t>万辆新货车的平均二氧化碳排放量为</w:t>
      </w:r>
      <w:r w:rsidRPr="0042567B">
        <w:t>157.7 g CO</w:t>
      </w:r>
      <w:r w:rsidRPr="0042567B">
        <w:rPr>
          <w:vertAlign w:val="subscript"/>
        </w:rPr>
        <w:t>2</w:t>
      </w:r>
      <w:r w:rsidRPr="0042567B">
        <w:t>/km</w:t>
      </w:r>
      <w:r w:rsidRPr="0042567B">
        <w:rPr>
          <w:rFonts w:hint="eastAsia"/>
        </w:rPr>
        <w:t>，与</w:t>
      </w:r>
      <w:r w:rsidRPr="0042567B">
        <w:t>2019</w:t>
      </w:r>
      <w:r w:rsidRPr="0042567B">
        <w:rPr>
          <w:rFonts w:hint="eastAsia"/>
        </w:rPr>
        <w:t>年相比略有改善（与</w:t>
      </w:r>
      <w:r w:rsidRPr="0042567B">
        <w:t>2019</w:t>
      </w:r>
      <w:r w:rsidRPr="0042567B">
        <w:rPr>
          <w:rFonts w:hint="eastAsia"/>
        </w:rPr>
        <w:t>年相比降低了</w:t>
      </w:r>
      <w:r w:rsidRPr="0042567B">
        <w:t>1.5%</w:t>
      </w:r>
      <w:r w:rsidRPr="0042567B">
        <w:rPr>
          <w:rFonts w:hint="eastAsia"/>
        </w:rPr>
        <w:t>）。货车电气化方面进展有限，市场份额从</w:t>
      </w:r>
      <w:r w:rsidRPr="0042567B">
        <w:lastRenderedPageBreak/>
        <w:t>2019</w:t>
      </w:r>
      <w:r w:rsidRPr="0042567B">
        <w:rPr>
          <w:rFonts w:hint="eastAsia"/>
        </w:rPr>
        <w:t>年的</w:t>
      </w:r>
      <w:r w:rsidRPr="0042567B">
        <w:t>1.4%</w:t>
      </w:r>
      <w:r w:rsidRPr="0042567B">
        <w:rPr>
          <w:rFonts w:hint="eastAsia"/>
        </w:rPr>
        <w:t>增至</w:t>
      </w:r>
      <w:r w:rsidRPr="0042567B">
        <w:t>2020</w:t>
      </w:r>
      <w:r w:rsidRPr="0042567B">
        <w:rPr>
          <w:rFonts w:hint="eastAsia"/>
        </w:rPr>
        <w:t>年的</w:t>
      </w:r>
      <w:r w:rsidRPr="0042567B">
        <w:t>2.3%</w:t>
      </w:r>
      <w:r w:rsidRPr="0042567B">
        <w:rPr>
          <w:rFonts w:hint="eastAsia"/>
        </w:rPr>
        <w:t>左右（包括</w:t>
      </w:r>
      <w:r w:rsidRPr="0042567B">
        <w:t>2.2%</w:t>
      </w:r>
      <w:r w:rsidRPr="0042567B">
        <w:rPr>
          <w:rFonts w:hint="eastAsia"/>
        </w:rPr>
        <w:t>的全电动汽车和</w:t>
      </w:r>
      <w:r w:rsidRPr="0042567B">
        <w:t>0.1%</w:t>
      </w:r>
      <w:r w:rsidRPr="0042567B">
        <w:rPr>
          <w:rFonts w:hint="eastAsia"/>
        </w:rPr>
        <w:t>的插电式混合动力汽车）。乘用车和面包车</w:t>
      </w:r>
      <w:r w:rsidRPr="0042567B">
        <w:t>(“</w:t>
      </w:r>
      <w:r w:rsidRPr="0042567B">
        <w:rPr>
          <w:rFonts w:hint="eastAsia"/>
        </w:rPr>
        <w:t>轻型商用车</w:t>
      </w:r>
      <w:r w:rsidRPr="0042567B">
        <w:t>”)</w:t>
      </w:r>
      <w:r w:rsidRPr="0042567B">
        <w:rPr>
          <w:rFonts w:hint="eastAsia"/>
        </w:rPr>
        <w:t>分别占欧盟二氧化碳总排放量的</w:t>
      </w:r>
      <w:r w:rsidRPr="0042567B">
        <w:t>12%</w:t>
      </w:r>
      <w:r w:rsidRPr="0042567B">
        <w:rPr>
          <w:rFonts w:hint="eastAsia"/>
        </w:rPr>
        <w:t>和</w:t>
      </w:r>
      <w:r w:rsidRPr="0042567B">
        <w:t>2.5%</w:t>
      </w:r>
      <w:r w:rsidRPr="0042567B">
        <w:rPr>
          <w:rFonts w:hint="eastAsia"/>
        </w:rPr>
        <w:t>左右，而二氧化碳是主要的温室气体。</w:t>
      </w:r>
    </w:p>
    <w:p w14:paraId="2FAE0482" w14:textId="77777777" w:rsidR="0042567B" w:rsidRPr="0042567B" w:rsidRDefault="0042567B" w:rsidP="0042567B">
      <w:pPr>
        <w:ind w:firstLine="562"/>
      </w:pPr>
      <w:r w:rsidRPr="0042567B">
        <w:rPr>
          <w:rFonts w:hint="eastAsia"/>
          <w:b/>
        </w:rPr>
        <w:t>欧盟运输结构变化到一定阶段后保持基本稳定。</w:t>
      </w:r>
      <w:r w:rsidRPr="0042567B">
        <w:rPr>
          <w:rFonts w:hint="eastAsia"/>
        </w:rPr>
        <w:t>欧盟从</w:t>
      </w:r>
      <w:r w:rsidRPr="0042567B">
        <w:t>2009</w:t>
      </w:r>
      <w:r w:rsidRPr="0042567B">
        <w:rPr>
          <w:rFonts w:hint="eastAsia"/>
        </w:rPr>
        <w:t>年到</w:t>
      </w:r>
      <w:r w:rsidRPr="0042567B">
        <w:t>2018</w:t>
      </w:r>
      <w:r w:rsidRPr="0042567B">
        <w:rPr>
          <w:rFonts w:hint="eastAsia"/>
        </w:rPr>
        <w:t>年，在内陆货运方式中，公路和内陆水道的比例有所下降，铁路货运比例则有轻微的上升。到</w:t>
      </w:r>
      <w:r w:rsidRPr="0042567B">
        <w:t>2018</w:t>
      </w:r>
      <w:r w:rsidRPr="0042567B">
        <w:rPr>
          <w:rFonts w:hint="eastAsia"/>
        </w:rPr>
        <w:t>年，欧盟内陆货运中公路运输占比达到</w:t>
      </w:r>
      <w:r w:rsidRPr="0042567B">
        <w:t>76.5%</w:t>
      </w:r>
      <w:r w:rsidRPr="0042567B">
        <w:rPr>
          <w:rFonts w:hint="eastAsia"/>
        </w:rPr>
        <w:t>；其次为铁路运输，占比为</w:t>
      </w:r>
      <w:r w:rsidRPr="0042567B">
        <w:t>18.0%</w:t>
      </w:r>
      <w:r w:rsidRPr="0042567B">
        <w:rPr>
          <w:rFonts w:hint="eastAsia"/>
        </w:rPr>
        <w:t>；</w:t>
      </w:r>
      <w:r w:rsidRPr="0042567B">
        <w:t>5.5%</w:t>
      </w:r>
      <w:r w:rsidRPr="0042567B">
        <w:rPr>
          <w:rFonts w:hint="eastAsia"/>
        </w:rPr>
        <w:t>是由内陆水运承担。</w:t>
      </w:r>
    </w:p>
    <w:p w14:paraId="41EFC099" w14:textId="77777777" w:rsidR="0042567B" w:rsidRPr="0042567B" w:rsidRDefault="0042567B" w:rsidP="0042567B">
      <w:pPr>
        <w:ind w:firstLine="560"/>
      </w:pPr>
      <w:r w:rsidRPr="0042567B">
        <w:rPr>
          <w:noProof/>
        </w:rPr>
        <w:drawing>
          <wp:inline distT="0" distB="0" distL="0" distR="0" wp14:anchorId="6C80D1F4" wp14:editId="25036FC2">
            <wp:extent cx="4572000" cy="2743200"/>
            <wp:effectExtent l="0" t="0" r="0" b="0"/>
            <wp:docPr id="615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25BC9177" w14:textId="77777777" w:rsidR="0042567B" w:rsidRPr="0042567B" w:rsidRDefault="0042567B" w:rsidP="0042567B">
      <w:pPr>
        <w:spacing w:line="240" w:lineRule="auto"/>
        <w:ind w:firstLine="480"/>
        <w:jc w:val="center"/>
      </w:pPr>
      <w:r w:rsidRPr="0042567B">
        <w:rPr>
          <w:rFonts w:ascii="黑体" w:eastAsia="黑体" w:hAnsi="黑体" w:hint="eastAsia"/>
          <w:sz w:val="24"/>
        </w:rPr>
        <w:t>图3-</w:t>
      </w:r>
      <w:r w:rsidRPr="0042567B">
        <w:rPr>
          <w:rFonts w:ascii="黑体" w:eastAsia="黑体" w:hAnsi="黑体" w:hint="eastAsia"/>
          <w:sz w:val="24"/>
        </w:rPr>
        <w:fldChar w:fldCharType="begin"/>
      </w:r>
      <w:r w:rsidRPr="0042567B">
        <w:rPr>
          <w:rFonts w:ascii="黑体" w:eastAsia="黑体" w:hAnsi="黑体" w:hint="eastAsia"/>
          <w:sz w:val="24"/>
        </w:rPr>
        <w:instrText xml:space="preserve"> SEQ 图表 \* ARABIC </w:instrText>
      </w:r>
      <w:r w:rsidRPr="0042567B">
        <w:rPr>
          <w:rFonts w:ascii="黑体" w:eastAsia="黑体" w:hAnsi="黑体" w:hint="eastAsia"/>
          <w:sz w:val="24"/>
        </w:rPr>
        <w:fldChar w:fldCharType="separate"/>
      </w:r>
      <w:r w:rsidRPr="0042567B">
        <w:rPr>
          <w:rFonts w:ascii="黑体" w:eastAsia="黑体" w:hAnsi="黑体" w:hint="eastAsia"/>
          <w:noProof/>
          <w:sz w:val="24"/>
        </w:rPr>
        <w:t>14</w:t>
      </w:r>
      <w:r w:rsidRPr="0042567B">
        <w:rPr>
          <w:rFonts w:ascii="黑体" w:eastAsia="黑体" w:hAnsi="黑体" w:hint="eastAsia"/>
          <w:sz w:val="24"/>
        </w:rPr>
        <w:fldChar w:fldCharType="end"/>
      </w:r>
      <w:r w:rsidRPr="0042567B">
        <w:rPr>
          <w:rFonts w:eastAsia="黑体"/>
          <w:sz w:val="24"/>
          <w:szCs w:val="24"/>
        </w:rPr>
        <w:t xml:space="preserve">  </w:t>
      </w:r>
      <w:r w:rsidRPr="0042567B">
        <w:rPr>
          <w:rFonts w:eastAsia="黑体" w:hint="eastAsia"/>
          <w:sz w:val="24"/>
          <w:szCs w:val="24"/>
        </w:rPr>
        <w:t>欧盟内陆各货运方式所占比例</w:t>
      </w:r>
    </w:p>
    <w:p w14:paraId="4E253A93" w14:textId="77777777" w:rsidR="0042567B" w:rsidRPr="0042567B" w:rsidRDefault="0042567B" w:rsidP="0042567B">
      <w:pPr>
        <w:keepNext/>
        <w:keepLines/>
        <w:spacing w:line="240" w:lineRule="auto"/>
        <w:ind w:firstLineChars="0" w:firstLine="0"/>
        <w:outlineLvl w:val="2"/>
        <w:rPr>
          <w:rFonts w:eastAsia="黑体"/>
          <w:bCs/>
          <w:sz w:val="30"/>
          <w:szCs w:val="32"/>
        </w:rPr>
      </w:pPr>
      <w:bookmarkStart w:id="24" w:name="_Toc93782313"/>
      <w:r w:rsidRPr="0042567B">
        <w:rPr>
          <w:rFonts w:eastAsia="黑体"/>
          <w:bCs/>
          <w:sz w:val="30"/>
          <w:szCs w:val="32"/>
        </w:rPr>
        <w:t xml:space="preserve">3.3 </w:t>
      </w:r>
      <w:r w:rsidRPr="0042567B">
        <w:rPr>
          <w:rFonts w:eastAsia="黑体" w:hint="eastAsia"/>
          <w:bCs/>
          <w:sz w:val="30"/>
          <w:szCs w:val="32"/>
        </w:rPr>
        <w:t>典型国家近零碳转型发展的政策路径</w:t>
      </w:r>
      <w:bookmarkEnd w:id="24"/>
    </w:p>
    <w:p w14:paraId="05450A06" w14:textId="77777777" w:rsidR="0042567B" w:rsidRPr="0042567B" w:rsidRDefault="0042567B" w:rsidP="00EB2831">
      <w:pPr>
        <w:pStyle w:val="4"/>
      </w:pPr>
      <w:r w:rsidRPr="0042567B">
        <w:t>3.3.1</w:t>
      </w:r>
      <w:r w:rsidRPr="0042567B">
        <w:rPr>
          <w:rFonts w:hint="eastAsia"/>
        </w:rPr>
        <w:t>美国</w:t>
      </w:r>
    </w:p>
    <w:p w14:paraId="449E3BE1" w14:textId="77777777" w:rsidR="0042567B" w:rsidRPr="0042567B" w:rsidRDefault="0042567B" w:rsidP="0042567B">
      <w:pPr>
        <w:spacing w:line="240" w:lineRule="auto"/>
        <w:ind w:firstLine="562"/>
      </w:pPr>
      <w:r w:rsidRPr="0042567B">
        <w:rPr>
          <w:rFonts w:hint="eastAsia"/>
          <w:b/>
        </w:rPr>
        <w:t>美国交通长期战略的核心就是扩大新的交通技术应用，包括在轻型、中型和重型汽车中迅速推广零排放车辆。</w:t>
      </w:r>
      <w:r w:rsidRPr="0042567B">
        <w:rPr>
          <w:rFonts w:hint="eastAsia"/>
        </w:rPr>
        <w:t>为此，美国设定目标，将继续增加交通领域的电力和低碳燃料替代，到</w:t>
      </w:r>
      <w:r w:rsidRPr="0042567B">
        <w:t>2030</w:t>
      </w:r>
      <w:r w:rsidRPr="0042567B">
        <w:rPr>
          <w:rFonts w:hint="eastAsia"/>
        </w:rPr>
        <w:t>年售出的所有新轻型汽车中，有一半是零排放汽车，并在</w:t>
      </w:r>
      <w:r w:rsidRPr="0042567B">
        <w:t>2050</w:t>
      </w:r>
      <w:r w:rsidRPr="0042567B">
        <w:rPr>
          <w:rFonts w:hint="eastAsia"/>
        </w:rPr>
        <w:t>年实现美国交通部</w:t>
      </w:r>
      <w:r w:rsidRPr="0042567B">
        <w:rPr>
          <w:rFonts w:hint="eastAsia"/>
        </w:rPr>
        <w:lastRenderedPageBreak/>
        <w:t>门全面的电气化和燃料替代。</w:t>
      </w:r>
      <w:r w:rsidRPr="0042567B">
        <w:t>2021</w:t>
      </w:r>
      <w:r w:rsidRPr="0042567B">
        <w:rPr>
          <w:rFonts w:hint="eastAsia"/>
        </w:rPr>
        <w:t>年，美国公布的</w:t>
      </w:r>
      <w:r w:rsidRPr="0042567B">
        <w:t>2.25</w:t>
      </w:r>
      <w:r w:rsidRPr="0042567B">
        <w:rPr>
          <w:rFonts w:hint="eastAsia"/>
        </w:rPr>
        <w:t>万亿美元基建计划中，提出建设全国电动汽车充电网络，到</w:t>
      </w:r>
      <w:r w:rsidRPr="0042567B">
        <w:t>2030</w:t>
      </w:r>
      <w:r w:rsidRPr="0042567B">
        <w:rPr>
          <w:rFonts w:hint="eastAsia"/>
        </w:rPr>
        <w:t>年在全美建设至少</w:t>
      </w:r>
      <w:r w:rsidRPr="0042567B">
        <w:t>50</w:t>
      </w:r>
      <w:r w:rsidRPr="0042567B">
        <w:rPr>
          <w:rFonts w:hint="eastAsia"/>
        </w:rPr>
        <w:t>万座充电站。另外，计划还包括对电动汽车行业投资</w:t>
      </w:r>
      <w:r w:rsidRPr="0042567B">
        <w:t>1740</w:t>
      </w:r>
      <w:r w:rsidRPr="0042567B">
        <w:rPr>
          <w:rFonts w:hint="eastAsia"/>
        </w:rPr>
        <w:t>亿美元，并将国内中小学</w:t>
      </w:r>
      <w:r w:rsidRPr="0042567B">
        <w:t>20%</w:t>
      </w:r>
      <w:r w:rsidRPr="0042567B">
        <w:rPr>
          <w:rFonts w:hint="eastAsia"/>
        </w:rPr>
        <w:t>的校车由燃油车改为电动车。此外，拜登政府还提出将重启电动汽车税收抵免机制，刺激中产阶级的电动汽车生产和消费，并计划出台一套比奥巴马时期企业平均燃料经济性（</w:t>
      </w:r>
      <w:r w:rsidRPr="0042567B">
        <w:t>CAFE</w:t>
      </w:r>
      <w:r w:rsidRPr="0042567B">
        <w:rPr>
          <w:rFonts w:hint="eastAsia"/>
        </w:rPr>
        <w:t>）标准更加严格的标准，从生产端引导汽车制造商的电动化转型。</w:t>
      </w:r>
    </w:p>
    <w:p w14:paraId="056C0D52" w14:textId="77777777" w:rsidR="0042567B" w:rsidRPr="0042567B" w:rsidRDefault="0042567B" w:rsidP="0042567B">
      <w:pPr>
        <w:spacing w:line="240" w:lineRule="auto"/>
        <w:ind w:firstLine="562"/>
      </w:pPr>
      <w:r w:rsidRPr="0042567B">
        <w:rPr>
          <w:rFonts w:hint="eastAsia"/>
          <w:b/>
        </w:rPr>
        <w:t>针对现有机动车碳排放量高的情况，美国提高了汽车燃料排放标准。</w:t>
      </w:r>
      <w:r w:rsidRPr="0042567B">
        <w:rPr>
          <w:rFonts w:hint="eastAsia"/>
        </w:rPr>
        <w:t>针对轻型车，在排放标准方面，</w:t>
      </w:r>
      <w:r w:rsidRPr="0042567B">
        <w:t>2011</w:t>
      </w:r>
      <w:r w:rsidRPr="0042567B">
        <w:rPr>
          <w:rFonts w:hint="eastAsia"/>
        </w:rPr>
        <w:t>年，美国环保局和国家公路交通安全管理局（</w:t>
      </w:r>
      <w:r w:rsidRPr="0042567B">
        <w:t>NHTSA</w:t>
      </w:r>
      <w:r w:rsidRPr="0042567B">
        <w:rPr>
          <w:rFonts w:hint="eastAsia"/>
        </w:rPr>
        <w:t>）共同制定了轻型车辆温室气体排放和燃油经济性标准。</w:t>
      </w:r>
      <w:r w:rsidRPr="0042567B">
        <w:t>2020</w:t>
      </w:r>
      <w:r w:rsidRPr="0042567B">
        <w:rPr>
          <w:rFonts w:hint="eastAsia"/>
        </w:rPr>
        <w:t>年</w:t>
      </w:r>
      <w:r w:rsidRPr="0042567B">
        <w:t>4</w:t>
      </w:r>
      <w:r w:rsidRPr="0042567B">
        <w:rPr>
          <w:rFonts w:hint="eastAsia"/>
        </w:rPr>
        <w:t>月，美国环保局和国家公路交通安全管理局修改了相关标准，并制定了《安全和可负担的燃油效率车辆规则》，设定了严格而可行的标准，并规定从</w:t>
      </w:r>
      <w:r w:rsidRPr="0042567B">
        <w:t>2021</w:t>
      </w:r>
      <w:r w:rsidRPr="0042567B">
        <w:rPr>
          <w:rFonts w:hint="eastAsia"/>
        </w:rPr>
        <w:t>年到</w:t>
      </w:r>
      <w:r w:rsidRPr="0042567B">
        <w:t>2026</w:t>
      </w:r>
      <w:r w:rsidRPr="0042567B">
        <w:rPr>
          <w:rFonts w:hint="eastAsia"/>
        </w:rPr>
        <w:t>年，二氧化碳排放标准每年提高</w:t>
      </w:r>
      <w:r w:rsidRPr="0042567B">
        <w:t>1.5%</w:t>
      </w:r>
      <w:r w:rsidRPr="0042567B">
        <w:rPr>
          <w:rFonts w:hint="eastAsia"/>
        </w:rPr>
        <w:t>。</w:t>
      </w:r>
      <w:r w:rsidRPr="0042567B">
        <w:t>2021</w:t>
      </w:r>
      <w:r w:rsidRPr="0042567B">
        <w:rPr>
          <w:rFonts w:hint="eastAsia"/>
        </w:rPr>
        <w:t>年底，美国环境保护局提出将燃料排放标准收紧至每加仑汽油平均行驶约</w:t>
      </w:r>
      <w:r w:rsidRPr="0042567B">
        <w:t>40</w:t>
      </w:r>
      <w:r w:rsidRPr="0042567B">
        <w:rPr>
          <w:rFonts w:hint="eastAsia"/>
        </w:rPr>
        <w:t>英里（</w:t>
      </w:r>
      <w:r w:rsidRPr="0042567B">
        <w:t>64.37</w:t>
      </w:r>
      <w:r w:rsidRPr="0042567B">
        <w:rPr>
          <w:rFonts w:hint="eastAsia"/>
        </w:rPr>
        <w:t>公里），该标准将于</w:t>
      </w:r>
      <w:r w:rsidRPr="0042567B">
        <w:t>2023</w:t>
      </w:r>
      <w:r w:rsidRPr="0042567B">
        <w:rPr>
          <w:rFonts w:hint="eastAsia"/>
        </w:rPr>
        <w:t>年生效，并持续到</w:t>
      </w:r>
      <w:r w:rsidRPr="0042567B">
        <w:t>2026</w:t>
      </w:r>
      <w:r w:rsidRPr="0042567B">
        <w:rPr>
          <w:rFonts w:hint="eastAsia"/>
        </w:rPr>
        <w:t>年，这是美国有史以来提出的最严格的燃油经济性标准。</w:t>
      </w:r>
    </w:p>
    <w:p w14:paraId="1D47A974" w14:textId="77777777" w:rsidR="0042567B" w:rsidRPr="0042567B" w:rsidRDefault="0042567B" w:rsidP="0042567B">
      <w:pPr>
        <w:spacing w:line="240" w:lineRule="auto"/>
        <w:ind w:firstLine="562"/>
        <w:rPr>
          <w:rFonts w:eastAsia="仿宋_GB2312"/>
          <w:szCs w:val="28"/>
        </w:rPr>
      </w:pPr>
      <w:r w:rsidRPr="005950C4">
        <w:rPr>
          <w:rFonts w:hint="eastAsia"/>
          <w:b/>
        </w:rPr>
        <w:t>航空方面，美国正在设定</w:t>
      </w:r>
      <w:r w:rsidRPr="005950C4">
        <w:rPr>
          <w:b/>
        </w:rPr>
        <w:t>2050</w:t>
      </w:r>
      <w:r w:rsidRPr="005950C4">
        <w:rPr>
          <w:rFonts w:hint="eastAsia"/>
          <w:b/>
        </w:rPr>
        <w:t>年净零航空排放目标。</w:t>
      </w:r>
      <w:r w:rsidRPr="005950C4">
        <w:rPr>
          <w:bCs/>
        </w:rPr>
        <w:t>2021</w:t>
      </w:r>
      <w:r w:rsidRPr="005950C4">
        <w:rPr>
          <w:rFonts w:hint="eastAsia"/>
          <w:bCs/>
        </w:rPr>
        <w:t>年，</w:t>
      </w:r>
      <w:r w:rsidRPr="0042567B">
        <w:rPr>
          <w:rFonts w:eastAsia="仿宋_GB2312" w:hint="eastAsia"/>
          <w:szCs w:val="28"/>
        </w:rPr>
        <w:t>美国十大客运和货运航空公司的美国航空协会承诺与美国政府合作，促进航空技术、可持续航空燃料（</w:t>
      </w:r>
      <w:r w:rsidRPr="0042567B">
        <w:rPr>
          <w:rFonts w:eastAsia="仿宋_GB2312"/>
          <w:szCs w:val="28"/>
        </w:rPr>
        <w:t>SAF</w:t>
      </w:r>
      <w:r w:rsidRPr="0042567B">
        <w:rPr>
          <w:rFonts w:eastAsia="仿宋_GB2312" w:hint="eastAsia"/>
          <w:szCs w:val="28"/>
        </w:rPr>
        <w:t>）、运营和基础设施的发展。另外，美国政府已经承诺到</w:t>
      </w:r>
      <w:r w:rsidRPr="0042567B">
        <w:rPr>
          <w:rFonts w:eastAsia="仿宋_GB2312"/>
          <w:szCs w:val="28"/>
        </w:rPr>
        <w:t>2030</w:t>
      </w:r>
      <w:r w:rsidRPr="0042567B">
        <w:rPr>
          <w:rFonts w:eastAsia="仿宋_GB2312" w:hint="eastAsia"/>
          <w:szCs w:val="28"/>
        </w:rPr>
        <w:t>年将航空排放量降低</w:t>
      </w:r>
      <w:r w:rsidRPr="0042567B">
        <w:rPr>
          <w:rFonts w:eastAsia="仿宋_GB2312"/>
          <w:szCs w:val="28"/>
        </w:rPr>
        <w:t>20%</w:t>
      </w:r>
      <w:r w:rsidRPr="0042567B">
        <w:rPr>
          <w:rFonts w:eastAsia="仿宋_GB2312" w:hint="eastAsia"/>
          <w:szCs w:val="28"/>
        </w:rPr>
        <w:t>，且目前正</w:t>
      </w:r>
      <w:r w:rsidRPr="0042567B">
        <w:rPr>
          <w:rFonts w:eastAsia="仿宋_GB2312" w:hint="eastAsia"/>
          <w:szCs w:val="28"/>
        </w:rPr>
        <w:lastRenderedPageBreak/>
        <w:t>在设立到</w:t>
      </w:r>
      <w:r w:rsidRPr="0042567B">
        <w:rPr>
          <w:rFonts w:eastAsia="仿宋_GB2312"/>
          <w:szCs w:val="28"/>
        </w:rPr>
        <w:t>2050</w:t>
      </w:r>
      <w:r w:rsidRPr="0042567B">
        <w:rPr>
          <w:rFonts w:eastAsia="仿宋_GB2312" w:hint="eastAsia"/>
          <w:szCs w:val="28"/>
        </w:rPr>
        <w:t>年实现航空业净零碳排放的目标。</w:t>
      </w:r>
    </w:p>
    <w:p w14:paraId="613C967D" w14:textId="77777777" w:rsidR="0042567B" w:rsidRPr="0042567B" w:rsidRDefault="0042567B" w:rsidP="00EB2831">
      <w:pPr>
        <w:pStyle w:val="4"/>
      </w:pPr>
      <w:r w:rsidRPr="0042567B">
        <w:t>3.3.2</w:t>
      </w:r>
      <w:r w:rsidRPr="0042567B">
        <w:rPr>
          <w:rFonts w:hint="eastAsia"/>
        </w:rPr>
        <w:t>英国</w:t>
      </w:r>
    </w:p>
    <w:p w14:paraId="6C6620F5" w14:textId="77777777" w:rsidR="0042567B" w:rsidRPr="0042567B" w:rsidRDefault="0042567B" w:rsidP="0042567B">
      <w:pPr>
        <w:spacing w:line="240" w:lineRule="auto"/>
        <w:ind w:firstLine="560"/>
      </w:pPr>
      <w:r w:rsidRPr="0042567B">
        <w:t>2021</w:t>
      </w:r>
      <w:r w:rsidRPr="0042567B">
        <w:rPr>
          <w:rFonts w:hint="eastAsia"/>
        </w:rPr>
        <w:t>年</w:t>
      </w:r>
      <w:r w:rsidRPr="0042567B">
        <w:t>7</w:t>
      </w:r>
      <w:r w:rsidRPr="0042567B">
        <w:rPr>
          <w:rFonts w:hint="eastAsia"/>
        </w:rPr>
        <w:t>月</w:t>
      </w:r>
      <w:r w:rsidRPr="0042567B">
        <w:t>14</w:t>
      </w:r>
      <w:r w:rsidRPr="0042567B">
        <w:rPr>
          <w:rFonts w:hint="eastAsia"/>
        </w:rPr>
        <w:t>日，英国交通部发布了《交通脱碳：更好、更绿色的英国》（</w:t>
      </w:r>
      <w:proofErr w:type="spellStart"/>
      <w:r w:rsidRPr="0042567B">
        <w:t>Decarbonising</w:t>
      </w:r>
      <w:proofErr w:type="spellEnd"/>
      <w:r w:rsidRPr="0042567B">
        <w:t xml:space="preserve"> Transport</w:t>
      </w:r>
      <w:r w:rsidRPr="0042567B">
        <w:rPr>
          <w:rFonts w:hint="eastAsia"/>
        </w:rPr>
        <w:t>，</w:t>
      </w:r>
      <w:r w:rsidRPr="0042567B">
        <w:t>A Better, Greener Britain</w:t>
      </w:r>
      <w:r w:rsidRPr="0042567B">
        <w:rPr>
          <w:rFonts w:hint="eastAsia"/>
        </w:rPr>
        <w:t>），明确了</w:t>
      </w:r>
      <w:r w:rsidRPr="0042567B">
        <w:t>2050</w:t>
      </w:r>
      <w:r w:rsidRPr="0042567B">
        <w:rPr>
          <w:rFonts w:hint="eastAsia"/>
        </w:rPr>
        <w:t>年实现英国交通领域碳中和的愿景、行动和时间表，这也是全球首个专门针对交通领域的碳中和路线图。</w:t>
      </w:r>
      <w:r w:rsidRPr="0042567B">
        <w:rPr>
          <w:rFonts w:hint="eastAsia"/>
          <w:b/>
        </w:rPr>
        <w:t>英国交通部门减碳政策比较全面，包括推动公共交通、推动汽车和货车脱碳，加强绿色交通技术的应用等多项战略。</w:t>
      </w:r>
    </w:p>
    <w:p w14:paraId="250B5842" w14:textId="718EC5FD" w:rsidR="0042567B" w:rsidRPr="0042567B" w:rsidRDefault="0042567B" w:rsidP="0042567B">
      <w:pPr>
        <w:spacing w:line="240" w:lineRule="auto"/>
        <w:ind w:firstLine="562"/>
        <w:rPr>
          <w:rFonts w:eastAsia="仿宋_GB2312"/>
          <w:szCs w:val="28"/>
        </w:rPr>
      </w:pPr>
      <w:r w:rsidRPr="005950C4">
        <w:rPr>
          <w:rFonts w:hint="eastAsia"/>
          <w:b/>
        </w:rPr>
        <w:t>英国正加速向零排放车辆过渡。</w:t>
      </w:r>
      <w:r w:rsidRPr="0042567B">
        <w:rPr>
          <w:rFonts w:eastAsia="仿宋_GB2312" w:hint="eastAsia"/>
          <w:szCs w:val="28"/>
        </w:rPr>
        <w:t>到</w:t>
      </w:r>
      <w:r w:rsidRPr="0042567B">
        <w:rPr>
          <w:rFonts w:eastAsia="仿宋_GB2312"/>
          <w:szCs w:val="28"/>
        </w:rPr>
        <w:t>2030</w:t>
      </w:r>
      <w:r w:rsidRPr="0042567B">
        <w:rPr>
          <w:rFonts w:eastAsia="仿宋_GB2312" w:hint="eastAsia"/>
          <w:szCs w:val="28"/>
        </w:rPr>
        <w:t>年，英国政府将投入约</w:t>
      </w:r>
      <w:r w:rsidRPr="0042567B">
        <w:rPr>
          <w:rFonts w:eastAsia="仿宋_GB2312"/>
          <w:szCs w:val="28"/>
        </w:rPr>
        <w:t>23.82</w:t>
      </w:r>
      <w:r w:rsidRPr="0042567B">
        <w:rPr>
          <w:rFonts w:eastAsia="仿宋_GB2312" w:hint="eastAsia"/>
          <w:szCs w:val="28"/>
        </w:rPr>
        <w:t>亿英镑，并吸引约</w:t>
      </w:r>
      <w:r w:rsidRPr="0042567B">
        <w:rPr>
          <w:rFonts w:eastAsia="仿宋_GB2312"/>
          <w:szCs w:val="28"/>
        </w:rPr>
        <w:t>30</w:t>
      </w:r>
      <w:r w:rsidRPr="0042567B">
        <w:rPr>
          <w:rFonts w:eastAsia="仿宋_GB2312" w:hint="eastAsia"/>
          <w:szCs w:val="28"/>
        </w:rPr>
        <w:t>亿英镑的私营部门投资，通过为购买电动汽车的消费者提供补贴、安装电动汽车充电桩、研发和批量生产电动汽车电池，加速英国向零排放车辆过渡。英国宣布，</w:t>
      </w:r>
      <w:r w:rsidR="005950C4" w:rsidRPr="005950C4">
        <w:rPr>
          <w:rFonts w:eastAsia="仿宋_GB2312" w:hint="eastAsia"/>
          <w:szCs w:val="28"/>
        </w:rPr>
        <w:t>从</w:t>
      </w:r>
      <w:r w:rsidR="005950C4" w:rsidRPr="005950C4">
        <w:rPr>
          <w:rFonts w:eastAsia="仿宋_GB2312" w:hint="eastAsia"/>
          <w:szCs w:val="28"/>
        </w:rPr>
        <w:t>2030</w:t>
      </w:r>
      <w:r w:rsidR="005950C4" w:rsidRPr="005950C4">
        <w:rPr>
          <w:rFonts w:eastAsia="仿宋_GB2312" w:hint="eastAsia"/>
          <w:szCs w:val="28"/>
        </w:rPr>
        <w:t>年起禁止销售新的汽柴油轿车和小型货车，从</w:t>
      </w:r>
      <w:r w:rsidR="005950C4" w:rsidRPr="005950C4">
        <w:rPr>
          <w:rFonts w:eastAsia="仿宋_GB2312" w:hint="eastAsia"/>
          <w:szCs w:val="28"/>
        </w:rPr>
        <w:t>2035</w:t>
      </w:r>
      <w:r w:rsidR="005950C4" w:rsidRPr="005950C4">
        <w:rPr>
          <w:rFonts w:eastAsia="仿宋_GB2312" w:hint="eastAsia"/>
          <w:szCs w:val="28"/>
        </w:rPr>
        <w:t>年起禁止销售新的混合动力汽车</w:t>
      </w:r>
      <w:r w:rsidR="005950C4">
        <w:rPr>
          <w:rFonts w:eastAsia="仿宋_GB2312" w:hint="eastAsia"/>
          <w:szCs w:val="28"/>
        </w:rPr>
        <w:t>、</w:t>
      </w:r>
      <w:r w:rsidRPr="0042567B">
        <w:rPr>
          <w:rFonts w:eastAsia="仿宋_GB2312" w:hint="eastAsia"/>
          <w:szCs w:val="28"/>
        </w:rPr>
        <w:t>禁售小型柴油卡车，从</w:t>
      </w:r>
      <w:r w:rsidRPr="0042567B">
        <w:rPr>
          <w:rFonts w:eastAsia="仿宋_GB2312"/>
          <w:szCs w:val="28"/>
        </w:rPr>
        <w:t>2040</w:t>
      </w:r>
      <w:r w:rsidRPr="0042567B">
        <w:rPr>
          <w:rFonts w:eastAsia="仿宋_GB2312" w:hint="eastAsia"/>
          <w:szCs w:val="28"/>
        </w:rPr>
        <w:t>年禁售重量超过</w:t>
      </w:r>
      <w:r w:rsidRPr="0042567B">
        <w:rPr>
          <w:rFonts w:eastAsia="仿宋_GB2312"/>
          <w:szCs w:val="28"/>
        </w:rPr>
        <w:t>26</w:t>
      </w:r>
      <w:r w:rsidRPr="0042567B">
        <w:rPr>
          <w:rFonts w:eastAsia="仿宋_GB2312" w:hint="eastAsia"/>
          <w:szCs w:val="28"/>
        </w:rPr>
        <w:t>公吨的大型卡车。</w:t>
      </w:r>
    </w:p>
    <w:p w14:paraId="3F459C31" w14:textId="77777777" w:rsidR="0042567B" w:rsidRPr="0042567B" w:rsidRDefault="0042567B" w:rsidP="0042567B">
      <w:pPr>
        <w:spacing w:line="240" w:lineRule="auto"/>
        <w:ind w:firstLine="562"/>
        <w:rPr>
          <w:rFonts w:eastAsia="仿宋_GB2312"/>
          <w:szCs w:val="28"/>
        </w:rPr>
      </w:pPr>
      <w:r w:rsidRPr="005950C4">
        <w:rPr>
          <w:rFonts w:hint="eastAsia"/>
          <w:b/>
        </w:rPr>
        <w:t>推广绿色公共交通。</w:t>
      </w:r>
      <w:r w:rsidRPr="0042567B">
        <w:rPr>
          <w:rFonts w:eastAsia="仿宋_GB2312"/>
          <w:bCs/>
          <w:szCs w:val="28"/>
        </w:rPr>
        <w:t>2021</w:t>
      </w:r>
      <w:r w:rsidRPr="0042567B">
        <w:rPr>
          <w:rFonts w:eastAsia="仿宋_GB2312" w:hint="eastAsia"/>
          <w:bCs/>
          <w:szCs w:val="28"/>
        </w:rPr>
        <w:t>年，</w:t>
      </w:r>
      <w:r w:rsidRPr="0042567B">
        <w:rPr>
          <w:rFonts w:eastAsia="仿宋_GB2312" w:hint="eastAsia"/>
          <w:bCs/>
          <w:color w:val="333333"/>
          <w:szCs w:val="28"/>
        </w:rPr>
        <w:t>英国首个国家公共汽车战略《恢复公交》发布，核心目标是使总体乘客量恢复到新冠疫情爆发前的水平，然后超越新冠疫情爆发前的水平，使公共汽车成为更实用、更吸引人的汽车替代品</w:t>
      </w:r>
      <w:r w:rsidRPr="0042567B">
        <w:rPr>
          <w:rFonts w:eastAsia="仿宋_GB2312" w:hint="eastAsia"/>
          <w:b/>
          <w:bCs/>
          <w:color w:val="333333"/>
          <w:szCs w:val="28"/>
        </w:rPr>
        <w:t>。</w:t>
      </w:r>
      <w:r w:rsidRPr="0042567B">
        <w:rPr>
          <w:rFonts w:eastAsia="仿宋_GB2312" w:hint="eastAsia"/>
          <w:szCs w:val="28"/>
        </w:rPr>
        <w:t>由英国首相宣布的用于公共汽车和自行车的</w:t>
      </w:r>
      <w:r w:rsidRPr="0042567B">
        <w:rPr>
          <w:rFonts w:eastAsia="仿宋_GB2312"/>
          <w:szCs w:val="28"/>
        </w:rPr>
        <w:t>50</w:t>
      </w:r>
      <w:r w:rsidRPr="0042567B">
        <w:rPr>
          <w:rFonts w:eastAsia="仿宋_GB2312" w:hint="eastAsia"/>
          <w:szCs w:val="28"/>
        </w:rPr>
        <w:t>亿美元新资金提供资金，包括更频繁和更便宜的</w:t>
      </w:r>
      <w:r w:rsidRPr="0042567B">
        <w:rPr>
          <w:rFonts w:eastAsia="仿宋_GB2312"/>
          <w:szCs w:val="28"/>
        </w:rPr>
        <w:t>“</w:t>
      </w:r>
      <w:r w:rsidRPr="0042567B">
        <w:rPr>
          <w:rFonts w:eastAsia="仿宋_GB2312" w:hint="eastAsia"/>
          <w:szCs w:val="28"/>
        </w:rPr>
        <w:t>超级公共汽车</w:t>
      </w:r>
      <w:r w:rsidRPr="0042567B">
        <w:rPr>
          <w:rFonts w:eastAsia="仿宋_GB2312"/>
          <w:szCs w:val="28"/>
        </w:rPr>
        <w:t>”</w:t>
      </w:r>
      <w:r w:rsidRPr="0042567B">
        <w:rPr>
          <w:rFonts w:eastAsia="仿宋_GB2312" w:hint="eastAsia"/>
          <w:szCs w:val="28"/>
        </w:rPr>
        <w:t>网络，以及运营商和模式之间的综合票务。到</w:t>
      </w:r>
      <w:r w:rsidRPr="0042567B">
        <w:rPr>
          <w:rFonts w:eastAsia="仿宋_GB2312"/>
          <w:szCs w:val="28"/>
        </w:rPr>
        <w:t>2030</w:t>
      </w:r>
      <w:r w:rsidRPr="0042567B">
        <w:rPr>
          <w:rFonts w:eastAsia="仿宋_GB2312" w:hint="eastAsia"/>
          <w:szCs w:val="28"/>
        </w:rPr>
        <w:t>年，</w:t>
      </w:r>
      <w:bookmarkStart w:id="25" w:name="OLE_LINK6"/>
      <w:bookmarkStart w:id="26" w:name="OLE_LINK5"/>
      <w:r w:rsidRPr="0042567B">
        <w:rPr>
          <w:rFonts w:eastAsia="仿宋_GB2312" w:hint="eastAsia"/>
          <w:szCs w:val="28"/>
        </w:rPr>
        <w:t>英国将新增</w:t>
      </w:r>
      <w:r w:rsidRPr="0042567B">
        <w:rPr>
          <w:rFonts w:eastAsia="仿宋_GB2312"/>
          <w:szCs w:val="28"/>
        </w:rPr>
        <w:t>4000</w:t>
      </w:r>
      <w:r w:rsidRPr="0042567B">
        <w:rPr>
          <w:rFonts w:eastAsia="仿宋_GB2312" w:hint="eastAsia"/>
          <w:szCs w:val="28"/>
        </w:rPr>
        <w:t>辆零排放公交车</w:t>
      </w:r>
      <w:bookmarkEnd w:id="25"/>
      <w:bookmarkEnd w:id="26"/>
      <w:r w:rsidRPr="0042567B">
        <w:rPr>
          <w:rFonts w:eastAsia="仿宋_GB2312" w:hint="eastAsia"/>
          <w:szCs w:val="28"/>
        </w:rPr>
        <w:t>。</w:t>
      </w:r>
    </w:p>
    <w:p w14:paraId="6C85D0D3" w14:textId="77777777" w:rsidR="0042567B" w:rsidRPr="0042567B" w:rsidRDefault="0042567B" w:rsidP="0042567B">
      <w:pPr>
        <w:spacing w:line="240" w:lineRule="auto"/>
        <w:ind w:firstLine="562"/>
        <w:rPr>
          <w:rFonts w:eastAsia="仿宋_GB2312"/>
          <w:szCs w:val="28"/>
        </w:rPr>
      </w:pPr>
      <w:r w:rsidRPr="005950C4">
        <w:rPr>
          <w:rFonts w:hint="eastAsia"/>
          <w:b/>
        </w:rPr>
        <w:lastRenderedPageBreak/>
        <w:t>推广骑行和步行。</w:t>
      </w:r>
      <w:r w:rsidRPr="0042567B">
        <w:rPr>
          <w:rFonts w:eastAsia="仿宋_GB2312" w:hint="eastAsia"/>
          <w:bCs/>
          <w:szCs w:val="28"/>
        </w:rPr>
        <w:t>英国将在五年内投资</w:t>
      </w:r>
      <w:r w:rsidRPr="0042567B">
        <w:rPr>
          <w:rFonts w:eastAsia="仿宋_GB2312"/>
          <w:bCs/>
          <w:szCs w:val="28"/>
        </w:rPr>
        <w:t>20</w:t>
      </w:r>
      <w:r w:rsidRPr="0042567B">
        <w:rPr>
          <w:rFonts w:eastAsia="仿宋_GB2312" w:hint="eastAsia"/>
          <w:bCs/>
          <w:szCs w:val="28"/>
        </w:rPr>
        <w:t>亿英镑，实现关于骑自行车和步行的愿景，目标是到</w:t>
      </w:r>
      <w:r w:rsidRPr="0042567B">
        <w:rPr>
          <w:rFonts w:eastAsia="仿宋_GB2312"/>
          <w:bCs/>
          <w:szCs w:val="28"/>
        </w:rPr>
        <w:t>2030</w:t>
      </w:r>
      <w:r w:rsidRPr="0042567B">
        <w:rPr>
          <w:rFonts w:eastAsia="仿宋_GB2312" w:hint="eastAsia"/>
          <w:bCs/>
          <w:szCs w:val="28"/>
        </w:rPr>
        <w:t>年，城镇中一半的行程将骑自行车或步行。</w:t>
      </w:r>
      <w:r w:rsidRPr="0042567B">
        <w:rPr>
          <w:rFonts w:eastAsia="仿宋_GB2312" w:hint="eastAsia"/>
          <w:bCs/>
          <w:color w:val="333333"/>
          <w:szCs w:val="28"/>
        </w:rPr>
        <w:t>英国在小学推广步行。</w:t>
      </w:r>
      <w:r w:rsidRPr="0042567B">
        <w:rPr>
          <w:rFonts w:eastAsia="仿宋_GB2312"/>
          <w:bCs/>
          <w:color w:val="333333"/>
          <w:szCs w:val="28"/>
        </w:rPr>
        <w:t>2016</w:t>
      </w:r>
      <w:r w:rsidRPr="0042567B">
        <w:rPr>
          <w:rFonts w:eastAsia="仿宋_GB2312" w:hint="eastAsia"/>
          <w:bCs/>
          <w:color w:val="333333"/>
          <w:szCs w:val="28"/>
        </w:rPr>
        <w:t>年至</w:t>
      </w:r>
      <w:r w:rsidRPr="0042567B">
        <w:rPr>
          <w:rFonts w:eastAsia="仿宋_GB2312"/>
          <w:bCs/>
          <w:color w:val="333333"/>
          <w:szCs w:val="28"/>
        </w:rPr>
        <w:t>2021</w:t>
      </w:r>
      <w:r w:rsidRPr="0042567B">
        <w:rPr>
          <w:rFonts w:eastAsia="仿宋_GB2312" w:hint="eastAsia"/>
          <w:bCs/>
          <w:color w:val="333333"/>
          <w:szCs w:val="28"/>
        </w:rPr>
        <w:t>年间，政府已投资</w:t>
      </w:r>
      <w:r w:rsidRPr="0042567B">
        <w:rPr>
          <w:rFonts w:eastAsia="仿宋_GB2312"/>
          <w:bCs/>
          <w:color w:val="333333"/>
          <w:szCs w:val="28"/>
        </w:rPr>
        <w:t>460</w:t>
      </w:r>
      <w:r w:rsidRPr="0042567B">
        <w:rPr>
          <w:rFonts w:eastAsia="仿宋_GB2312" w:hint="eastAsia"/>
          <w:bCs/>
          <w:color w:val="333333"/>
          <w:szCs w:val="28"/>
        </w:rPr>
        <w:t>万英镑，鼓励和帮助更多儿童步行上学。</w:t>
      </w:r>
    </w:p>
    <w:p w14:paraId="64A9245D" w14:textId="77777777" w:rsidR="0042567B" w:rsidRPr="0042567B" w:rsidRDefault="0042567B" w:rsidP="0042567B">
      <w:pPr>
        <w:spacing w:line="240" w:lineRule="auto"/>
        <w:ind w:firstLine="562"/>
        <w:rPr>
          <w:rFonts w:eastAsia="仿宋_GB2312"/>
          <w:szCs w:val="28"/>
        </w:rPr>
      </w:pPr>
      <w:r w:rsidRPr="005950C4">
        <w:rPr>
          <w:rFonts w:hint="eastAsia"/>
          <w:b/>
        </w:rPr>
        <w:t>推动铁路电气化。</w:t>
      </w:r>
      <w:r w:rsidRPr="0042567B">
        <w:rPr>
          <w:rFonts w:eastAsia="仿宋_GB2312" w:hint="eastAsia"/>
          <w:szCs w:val="28"/>
        </w:rPr>
        <w:t>斥资</w:t>
      </w:r>
      <w:r w:rsidRPr="0042567B">
        <w:rPr>
          <w:rFonts w:eastAsia="仿宋_GB2312"/>
          <w:szCs w:val="28"/>
        </w:rPr>
        <w:t>5</w:t>
      </w:r>
      <w:r w:rsidRPr="0042567B">
        <w:rPr>
          <w:rFonts w:eastAsia="仿宋_GB2312" w:hint="eastAsia"/>
          <w:szCs w:val="28"/>
        </w:rPr>
        <w:t>亿英镑重新开放</w:t>
      </w:r>
      <w:r w:rsidRPr="0042567B">
        <w:rPr>
          <w:rFonts w:eastAsia="仿宋_GB2312"/>
          <w:szCs w:val="28"/>
        </w:rPr>
        <w:t>1963-1965</w:t>
      </w:r>
      <w:r w:rsidRPr="0042567B">
        <w:rPr>
          <w:rFonts w:eastAsia="仿宋_GB2312" w:hint="eastAsia"/>
          <w:szCs w:val="28"/>
        </w:rPr>
        <w:t>年英国铁路网缩减和铁路结构重组。期间关闭的铁路线路和车站；到</w:t>
      </w:r>
      <w:r w:rsidRPr="0042567B">
        <w:rPr>
          <w:rFonts w:eastAsia="仿宋_GB2312"/>
          <w:szCs w:val="28"/>
        </w:rPr>
        <w:t>2025</w:t>
      </w:r>
      <w:r w:rsidRPr="0042567B">
        <w:rPr>
          <w:rFonts w:eastAsia="仿宋_GB2312" w:hint="eastAsia"/>
          <w:szCs w:val="28"/>
        </w:rPr>
        <w:t>年，将提供超过</w:t>
      </w:r>
      <w:r w:rsidRPr="0042567B">
        <w:rPr>
          <w:rFonts w:eastAsia="仿宋_GB2312"/>
          <w:szCs w:val="28"/>
        </w:rPr>
        <w:t>1000</w:t>
      </w:r>
      <w:r w:rsidRPr="0042567B">
        <w:rPr>
          <w:rFonts w:eastAsia="仿宋_GB2312" w:hint="eastAsia"/>
          <w:szCs w:val="28"/>
        </w:rPr>
        <w:t>英里的安全骑行和步行网络。英国政府已承诺彻底改革该国正在失效的铁路网络，</w:t>
      </w:r>
      <w:r w:rsidRPr="0042567B">
        <w:rPr>
          <w:rFonts w:eastAsia="仿宋_GB2312"/>
          <w:bCs/>
          <w:color w:val="333333"/>
          <w:szCs w:val="28"/>
        </w:rPr>
        <w:t>2021</w:t>
      </w:r>
      <w:r w:rsidRPr="0042567B">
        <w:rPr>
          <w:rFonts w:eastAsia="仿宋_GB2312" w:hint="eastAsia"/>
          <w:bCs/>
          <w:color w:val="333333"/>
          <w:szCs w:val="28"/>
        </w:rPr>
        <w:t>，</w:t>
      </w:r>
      <w:bookmarkStart w:id="27" w:name="OLE_LINK9"/>
      <w:bookmarkStart w:id="28" w:name="OLE_LINK8"/>
      <w:r w:rsidRPr="0042567B">
        <w:rPr>
          <w:rFonts w:eastAsia="仿宋_GB2312" w:hint="eastAsia"/>
          <w:bCs/>
          <w:color w:val="333333"/>
          <w:szCs w:val="28"/>
        </w:rPr>
        <w:t>英国正式发布铁路改革改制的计划书，《</w:t>
      </w:r>
      <w:proofErr w:type="spellStart"/>
      <w:r w:rsidRPr="0042567B">
        <w:rPr>
          <w:rFonts w:eastAsia="仿宋_GB2312"/>
          <w:bCs/>
          <w:color w:val="333333"/>
          <w:szCs w:val="28"/>
        </w:rPr>
        <w:t>WIlliams</w:t>
      </w:r>
      <w:proofErr w:type="spellEnd"/>
      <w:r w:rsidRPr="0042567B">
        <w:rPr>
          <w:rFonts w:eastAsia="仿宋_GB2312"/>
          <w:bCs/>
          <w:color w:val="333333"/>
          <w:szCs w:val="28"/>
        </w:rPr>
        <w:t xml:space="preserve"> </w:t>
      </w:r>
      <w:proofErr w:type="spellStart"/>
      <w:r w:rsidRPr="0042567B">
        <w:rPr>
          <w:rFonts w:eastAsia="仿宋_GB2312"/>
          <w:bCs/>
          <w:color w:val="333333"/>
          <w:szCs w:val="28"/>
        </w:rPr>
        <w:t>Shapps</w:t>
      </w:r>
      <w:proofErr w:type="spellEnd"/>
      <w:r w:rsidRPr="0042567B">
        <w:rPr>
          <w:rFonts w:eastAsia="仿宋_GB2312" w:hint="eastAsia"/>
          <w:bCs/>
          <w:color w:val="333333"/>
          <w:szCs w:val="28"/>
        </w:rPr>
        <w:t>铁路计划》</w:t>
      </w:r>
      <w:bookmarkEnd w:id="27"/>
      <w:bookmarkEnd w:id="28"/>
      <w:r w:rsidRPr="0042567B">
        <w:rPr>
          <w:rFonts w:eastAsia="仿宋_GB2312" w:hint="eastAsia"/>
          <w:bCs/>
          <w:color w:val="333333"/>
          <w:szCs w:val="28"/>
        </w:rPr>
        <w:t>，鼓励人们选择更清洁、更环保的出行方式。根据计划，将成立一个新的组织</w:t>
      </w:r>
      <w:r w:rsidRPr="0042567B">
        <w:rPr>
          <w:rFonts w:eastAsia="微软雅黑" w:hint="eastAsia"/>
          <w:bCs/>
          <w:color w:val="333333"/>
          <w:szCs w:val="28"/>
        </w:rPr>
        <w:t>–</w:t>
      </w:r>
      <w:r w:rsidRPr="0042567B">
        <w:rPr>
          <w:rFonts w:eastAsia="仿宋_GB2312" w:hint="eastAsia"/>
          <w:bCs/>
          <w:color w:val="333333"/>
          <w:szCs w:val="28"/>
        </w:rPr>
        <w:t>大英铁路公司，负责规划和运营铁路网络，将英国铁路运营商铁路网</w:t>
      </w:r>
      <w:r w:rsidRPr="0042567B">
        <w:rPr>
          <w:rFonts w:eastAsia="仿宋_GB2312"/>
          <w:bCs/>
          <w:color w:val="333333"/>
          <w:szCs w:val="28"/>
        </w:rPr>
        <w:t xml:space="preserve"> (Network Rail) </w:t>
      </w:r>
      <w:r w:rsidRPr="0042567B">
        <w:rPr>
          <w:rFonts w:eastAsia="仿宋_GB2312" w:hint="eastAsia"/>
          <w:bCs/>
          <w:color w:val="333333"/>
          <w:szCs w:val="28"/>
        </w:rPr>
        <w:t>的服务和客运服务纳入其中。</w:t>
      </w:r>
      <w:bookmarkStart w:id="29" w:name="OLE_LINK11"/>
      <w:bookmarkStart w:id="30" w:name="OLE_LINK10"/>
      <w:r w:rsidRPr="0042567B">
        <w:rPr>
          <w:rFonts w:eastAsia="仿宋_GB2312" w:hint="eastAsia"/>
          <w:color w:val="333333"/>
          <w:szCs w:val="28"/>
        </w:rPr>
        <w:t>到</w:t>
      </w:r>
      <w:r w:rsidRPr="0042567B">
        <w:rPr>
          <w:rFonts w:eastAsia="仿宋_GB2312"/>
          <w:color w:val="333333"/>
          <w:szCs w:val="28"/>
        </w:rPr>
        <w:t>2040</w:t>
      </w:r>
      <w:r w:rsidRPr="0042567B">
        <w:rPr>
          <w:rFonts w:eastAsia="仿宋_GB2312" w:hint="eastAsia"/>
          <w:color w:val="333333"/>
          <w:szCs w:val="28"/>
        </w:rPr>
        <w:t>年，全面取消铁路网中的纯柴油列车，包括客运和货运。</w:t>
      </w:r>
      <w:bookmarkEnd w:id="29"/>
      <w:bookmarkEnd w:id="30"/>
      <w:r w:rsidRPr="0042567B">
        <w:rPr>
          <w:rFonts w:eastAsia="仿宋_GB2312" w:hint="eastAsia"/>
          <w:color w:val="333333"/>
          <w:szCs w:val="28"/>
        </w:rPr>
        <w:t>到</w:t>
      </w:r>
      <w:r w:rsidRPr="0042567B">
        <w:rPr>
          <w:rFonts w:eastAsia="仿宋_GB2312"/>
          <w:color w:val="333333"/>
          <w:szCs w:val="28"/>
        </w:rPr>
        <w:t>2050</w:t>
      </w:r>
      <w:r w:rsidRPr="0042567B">
        <w:rPr>
          <w:rFonts w:eastAsia="仿宋_GB2312" w:hint="eastAsia"/>
          <w:color w:val="333333"/>
          <w:szCs w:val="28"/>
        </w:rPr>
        <w:t>年，将建成一个净零碳铁路网，铁路沿线将持续减少碳排放。</w:t>
      </w:r>
    </w:p>
    <w:p w14:paraId="47E4EB69" w14:textId="77777777" w:rsidR="0042567B" w:rsidRPr="0042567B" w:rsidRDefault="0042567B" w:rsidP="0042567B">
      <w:pPr>
        <w:spacing w:line="240" w:lineRule="auto"/>
        <w:ind w:firstLine="562"/>
        <w:jc w:val="left"/>
        <w:rPr>
          <w:rFonts w:eastAsia="仿宋_GB2312"/>
          <w:szCs w:val="28"/>
        </w:rPr>
      </w:pPr>
      <w:r w:rsidRPr="005950C4">
        <w:rPr>
          <w:rFonts w:hint="eastAsia"/>
          <w:b/>
        </w:rPr>
        <w:t>货运系统货运脱碳零。</w:t>
      </w:r>
      <w:r w:rsidRPr="0042567B">
        <w:rPr>
          <w:rFonts w:eastAsia="仿宋_GB2312" w:hint="eastAsia"/>
          <w:szCs w:val="28"/>
        </w:rPr>
        <w:t>英国政府转变碳运输货物和服务模式，包括更多地使用铁路和国内海运</w:t>
      </w:r>
      <w:r w:rsidRPr="0042567B">
        <w:rPr>
          <w:rFonts w:eastAsia="仿宋_GB2312" w:hint="eastAsia"/>
          <w:bCs/>
          <w:szCs w:val="28"/>
        </w:rPr>
        <w:t>。英国将在整个行业扩大和推广新技术，包括氢气，拥抱创新，利用新的工业机会，并充分利用现有的零排放技术和燃料，到</w:t>
      </w:r>
      <w:r w:rsidRPr="0042567B">
        <w:rPr>
          <w:rFonts w:eastAsia="仿宋_GB2312"/>
          <w:szCs w:val="28"/>
        </w:rPr>
        <w:t>2050</w:t>
      </w:r>
      <w:r w:rsidRPr="0042567B">
        <w:rPr>
          <w:rFonts w:eastAsia="仿宋_GB2312" w:hint="eastAsia"/>
          <w:szCs w:val="28"/>
        </w:rPr>
        <w:t>年之前实现零净排放。</w:t>
      </w:r>
    </w:p>
    <w:p w14:paraId="3427FD00" w14:textId="77777777" w:rsidR="0042567B" w:rsidRPr="0042567B" w:rsidRDefault="0042567B" w:rsidP="0042567B">
      <w:pPr>
        <w:spacing w:line="240" w:lineRule="auto"/>
        <w:ind w:firstLineChars="0" w:firstLine="419"/>
        <w:rPr>
          <w:rFonts w:eastAsia="仿宋_GB2312"/>
          <w:szCs w:val="28"/>
        </w:rPr>
      </w:pPr>
      <w:r w:rsidRPr="005950C4">
        <w:rPr>
          <w:rFonts w:hint="eastAsia"/>
          <w:b/>
        </w:rPr>
        <w:t>“净零航空”和绿色航海。</w:t>
      </w:r>
      <w:r w:rsidRPr="0042567B">
        <w:rPr>
          <w:rFonts w:eastAsia="仿宋_GB2312" w:hint="eastAsia"/>
          <w:szCs w:val="28"/>
        </w:rPr>
        <w:t>目标是到</w:t>
      </w:r>
      <w:r w:rsidRPr="0042567B">
        <w:rPr>
          <w:rFonts w:eastAsia="仿宋_GB2312"/>
          <w:szCs w:val="28"/>
        </w:rPr>
        <w:t>2030</w:t>
      </w:r>
      <w:r w:rsidRPr="0042567B">
        <w:rPr>
          <w:rFonts w:eastAsia="仿宋_GB2312" w:hint="eastAsia"/>
          <w:szCs w:val="28"/>
        </w:rPr>
        <w:t>年，英国政府将投入约</w:t>
      </w:r>
      <w:r w:rsidRPr="0042567B">
        <w:rPr>
          <w:rFonts w:eastAsia="仿宋_GB2312"/>
          <w:szCs w:val="28"/>
        </w:rPr>
        <w:t>5000</w:t>
      </w:r>
      <w:r w:rsidRPr="0042567B">
        <w:rPr>
          <w:rFonts w:eastAsia="仿宋_GB2312" w:hint="eastAsia"/>
          <w:szCs w:val="28"/>
        </w:rPr>
        <w:t>万英镑，研发净零排放飞机、可持续航空燃料（</w:t>
      </w:r>
      <w:r w:rsidRPr="0042567B">
        <w:rPr>
          <w:rFonts w:eastAsia="仿宋_GB2312"/>
          <w:szCs w:val="28"/>
        </w:rPr>
        <w:t>SAF</w:t>
      </w:r>
      <w:r w:rsidRPr="0042567B">
        <w:rPr>
          <w:rFonts w:eastAsia="仿宋_GB2312" w:hint="eastAsia"/>
          <w:szCs w:val="28"/>
        </w:rPr>
        <w:t>）和清洁海洋技术，帮助航空业和航海业变得更加绿色清洁。使英国能够生产可持续航空燃料，支持航空业的发展；巩固英国航空航天的全球领导者</w:t>
      </w:r>
      <w:r w:rsidRPr="0042567B">
        <w:rPr>
          <w:rFonts w:eastAsia="仿宋_GB2312" w:hint="eastAsia"/>
          <w:szCs w:val="28"/>
        </w:rPr>
        <w:lastRenderedPageBreak/>
        <w:t>的地位；使英国处于净零排放飞机革命的最前沿。</w:t>
      </w:r>
    </w:p>
    <w:p w14:paraId="7D21CB61" w14:textId="77777777" w:rsidR="0042567B" w:rsidRPr="0042567B" w:rsidRDefault="0042567B" w:rsidP="00EB2831">
      <w:pPr>
        <w:pStyle w:val="4"/>
      </w:pPr>
      <w:r w:rsidRPr="0042567B">
        <w:t>3.3.3</w:t>
      </w:r>
      <w:r w:rsidRPr="0042567B">
        <w:rPr>
          <w:rFonts w:hint="eastAsia"/>
        </w:rPr>
        <w:t>欧盟</w:t>
      </w:r>
    </w:p>
    <w:p w14:paraId="1484350A" w14:textId="77777777" w:rsidR="0042567B" w:rsidRPr="0042567B" w:rsidRDefault="0042567B" w:rsidP="0042567B">
      <w:pPr>
        <w:spacing w:line="240" w:lineRule="auto"/>
        <w:ind w:firstLine="560"/>
      </w:pPr>
      <w:r w:rsidRPr="0042567B">
        <w:rPr>
          <w:rFonts w:hint="eastAsia"/>
        </w:rPr>
        <w:t>欧盟</w:t>
      </w:r>
      <w:bookmarkStart w:id="31" w:name="OLE_LINK15"/>
      <w:bookmarkStart w:id="32" w:name="OLE_LINK14"/>
      <w:r w:rsidRPr="0042567B">
        <w:rPr>
          <w:rFonts w:hint="eastAsia"/>
        </w:rPr>
        <w:t>主要提出了降低汽车碳排放、加速应用低排放可替代燃料、</w:t>
      </w:r>
      <w:bookmarkEnd w:id="31"/>
      <w:bookmarkEnd w:id="32"/>
      <w:r w:rsidRPr="0042567B">
        <w:rPr>
          <w:rFonts w:hint="eastAsia"/>
        </w:rPr>
        <w:t>提升交通系统效率等低排放交通战略，同时欧盟注重利用市场机制，即通过碳排放交易市场机制推动交通运输行业碳减排。</w:t>
      </w:r>
    </w:p>
    <w:p w14:paraId="2EF36A38" w14:textId="1614C40F" w:rsidR="0042567B" w:rsidRPr="0042567B" w:rsidRDefault="0042567B" w:rsidP="0042567B">
      <w:pPr>
        <w:spacing w:line="240" w:lineRule="auto"/>
        <w:ind w:firstLine="562"/>
        <w:rPr>
          <w:rFonts w:eastAsia="仿宋_GB2312"/>
          <w:szCs w:val="28"/>
        </w:rPr>
      </w:pPr>
      <w:r w:rsidRPr="0042567B">
        <w:rPr>
          <w:rFonts w:hint="eastAsia"/>
          <w:b/>
        </w:rPr>
        <w:t>为完成欧盟制定的减排目标，切实降低汽车碳排放是重要的途径之一。</w:t>
      </w:r>
      <w:r w:rsidRPr="0042567B">
        <w:rPr>
          <w:rFonts w:eastAsia="仿宋_GB2312" w:hint="eastAsia"/>
          <w:szCs w:val="28"/>
        </w:rPr>
        <w:t>欧盟把推动新能源汽车发展作为减排的主要抓手之一。</w:t>
      </w:r>
      <w:r w:rsidRPr="0042567B">
        <w:rPr>
          <w:rFonts w:eastAsia="仿宋_GB2312"/>
          <w:szCs w:val="28"/>
        </w:rPr>
        <w:t>2021</w:t>
      </w:r>
      <w:r w:rsidRPr="0042567B">
        <w:rPr>
          <w:rFonts w:eastAsia="仿宋_GB2312" w:hint="eastAsia"/>
          <w:szCs w:val="28"/>
        </w:rPr>
        <w:t>年欧盟公布的提案《</w:t>
      </w:r>
      <w:r w:rsidRPr="0042567B">
        <w:rPr>
          <w:rFonts w:eastAsia="仿宋_GB2312"/>
          <w:szCs w:val="28"/>
        </w:rPr>
        <w:t>Fit for 55</w:t>
      </w:r>
      <w:r w:rsidRPr="0042567B">
        <w:rPr>
          <w:rFonts w:eastAsia="仿宋_GB2312" w:hint="eastAsia"/>
          <w:szCs w:val="28"/>
        </w:rPr>
        <w:t>》提出了减排目标，到</w:t>
      </w:r>
      <w:r w:rsidRPr="0042567B">
        <w:rPr>
          <w:rFonts w:eastAsia="仿宋_GB2312"/>
          <w:szCs w:val="28"/>
        </w:rPr>
        <w:t>2030</w:t>
      </w:r>
      <w:r w:rsidRPr="0042567B">
        <w:rPr>
          <w:rFonts w:eastAsia="仿宋_GB2312" w:hint="eastAsia"/>
          <w:szCs w:val="28"/>
        </w:rPr>
        <w:t>年，欧盟注册的新款轿车排放量比</w:t>
      </w:r>
      <w:r w:rsidRPr="0042567B">
        <w:rPr>
          <w:rFonts w:eastAsia="仿宋_GB2312"/>
          <w:szCs w:val="28"/>
        </w:rPr>
        <w:t>2021</w:t>
      </w:r>
      <w:r w:rsidRPr="0042567B">
        <w:rPr>
          <w:rFonts w:eastAsia="仿宋_GB2312" w:hint="eastAsia"/>
          <w:szCs w:val="28"/>
        </w:rPr>
        <w:t>年降低</w:t>
      </w:r>
      <w:r w:rsidRPr="0042567B">
        <w:rPr>
          <w:rFonts w:eastAsia="仿宋_GB2312"/>
          <w:szCs w:val="28"/>
        </w:rPr>
        <w:t>55%</w:t>
      </w:r>
      <w:r w:rsidRPr="0042567B">
        <w:rPr>
          <w:rFonts w:eastAsia="仿宋_GB2312" w:hint="eastAsia"/>
          <w:szCs w:val="28"/>
        </w:rPr>
        <w:t>，注册的新货车排放量降低</w:t>
      </w:r>
      <w:r w:rsidRPr="0042567B">
        <w:rPr>
          <w:rFonts w:eastAsia="仿宋_GB2312"/>
          <w:szCs w:val="28"/>
        </w:rPr>
        <w:t>50%</w:t>
      </w:r>
      <w:r w:rsidRPr="0042567B">
        <w:rPr>
          <w:rFonts w:eastAsia="仿宋_GB2312" w:hint="eastAsia"/>
          <w:szCs w:val="28"/>
        </w:rPr>
        <w:t>，自</w:t>
      </w:r>
      <w:r w:rsidRPr="0042567B">
        <w:rPr>
          <w:rFonts w:eastAsia="仿宋_GB2312"/>
          <w:szCs w:val="28"/>
        </w:rPr>
        <w:t>2035</w:t>
      </w:r>
      <w:r w:rsidRPr="0042567B">
        <w:rPr>
          <w:rFonts w:eastAsia="仿宋_GB2312" w:hint="eastAsia"/>
          <w:szCs w:val="28"/>
        </w:rPr>
        <w:t>年起禁止销售包括混合动力车（</w:t>
      </w:r>
      <w:r w:rsidRPr="0042567B">
        <w:rPr>
          <w:rFonts w:eastAsia="仿宋_GB2312"/>
          <w:szCs w:val="28"/>
        </w:rPr>
        <w:t>HV</w:t>
      </w:r>
      <w:r w:rsidRPr="0042567B">
        <w:rPr>
          <w:rFonts w:eastAsia="仿宋_GB2312" w:hint="eastAsia"/>
          <w:szCs w:val="28"/>
        </w:rPr>
        <w:t>）在内的汽油和柴油新车。同时规定各国政府加强车辆充电基础设施建设。</w:t>
      </w:r>
    </w:p>
    <w:p w14:paraId="4B3EB8EA" w14:textId="77777777" w:rsidR="0042567B" w:rsidRPr="0042567B" w:rsidRDefault="0042567B" w:rsidP="0042567B">
      <w:pPr>
        <w:spacing w:line="240" w:lineRule="auto"/>
        <w:ind w:firstLine="562"/>
        <w:rPr>
          <w:rFonts w:eastAsia="仿宋_GB2312"/>
          <w:szCs w:val="28"/>
        </w:rPr>
      </w:pPr>
      <w:r w:rsidRPr="005950C4">
        <w:rPr>
          <w:rFonts w:hint="eastAsia"/>
          <w:b/>
        </w:rPr>
        <w:t>欧盟及各成员国正不断加大对零碳排放公交车的支持力度。</w:t>
      </w:r>
      <w:r w:rsidRPr="0042567B">
        <w:rPr>
          <w:rFonts w:eastAsia="仿宋_GB2312" w:hint="eastAsia"/>
          <w:szCs w:val="28"/>
        </w:rPr>
        <w:t>欧洲投资银行与法国领土银行</w:t>
      </w:r>
      <w:r w:rsidRPr="0042567B">
        <w:rPr>
          <w:rFonts w:eastAsia="仿宋_GB2312"/>
          <w:szCs w:val="28"/>
        </w:rPr>
        <w:t>2021</w:t>
      </w:r>
      <w:r w:rsidRPr="0042567B">
        <w:rPr>
          <w:rFonts w:eastAsia="仿宋_GB2312" w:hint="eastAsia"/>
          <w:szCs w:val="28"/>
        </w:rPr>
        <w:t>年宣布，将分别投资</w:t>
      </w:r>
      <w:r w:rsidRPr="0042567B">
        <w:rPr>
          <w:rFonts w:eastAsia="仿宋_GB2312"/>
          <w:szCs w:val="28"/>
        </w:rPr>
        <w:t>1</w:t>
      </w:r>
      <w:r w:rsidRPr="0042567B">
        <w:rPr>
          <w:rFonts w:eastAsia="仿宋_GB2312" w:hint="eastAsia"/>
          <w:szCs w:val="28"/>
        </w:rPr>
        <w:t>亿欧元，建立清洁公交共享投资平台，资助法国境内公交能源转型。</w:t>
      </w:r>
      <w:r w:rsidRPr="0042567B">
        <w:rPr>
          <w:rFonts w:eastAsia="仿宋_GB2312"/>
          <w:szCs w:val="28"/>
        </w:rPr>
        <w:t>2020</w:t>
      </w:r>
      <w:r w:rsidRPr="0042567B">
        <w:rPr>
          <w:rFonts w:eastAsia="仿宋_GB2312" w:hint="eastAsia"/>
          <w:szCs w:val="28"/>
        </w:rPr>
        <w:t>年，德国对</w:t>
      </w:r>
      <w:r w:rsidRPr="0042567B">
        <w:rPr>
          <w:rFonts w:eastAsia="仿宋_GB2312"/>
          <w:szCs w:val="28"/>
        </w:rPr>
        <w:t>80%</w:t>
      </w:r>
      <w:r w:rsidRPr="0042567B">
        <w:rPr>
          <w:rFonts w:eastAsia="仿宋_GB2312" w:hint="eastAsia"/>
          <w:szCs w:val="28"/>
        </w:rPr>
        <w:t>的电动公交车提供了财政补贴。波兰则宣布提供</w:t>
      </w:r>
      <w:r w:rsidRPr="0042567B">
        <w:rPr>
          <w:rFonts w:eastAsia="仿宋_GB2312"/>
          <w:szCs w:val="28"/>
        </w:rPr>
        <w:t>2.9</w:t>
      </w:r>
      <w:r w:rsidRPr="0042567B">
        <w:rPr>
          <w:rFonts w:eastAsia="仿宋_GB2312" w:hint="eastAsia"/>
          <w:szCs w:val="28"/>
        </w:rPr>
        <w:t>亿欧元补贴，要求人口超过</w:t>
      </w:r>
      <w:r w:rsidRPr="0042567B">
        <w:rPr>
          <w:rFonts w:eastAsia="仿宋_GB2312"/>
          <w:szCs w:val="28"/>
        </w:rPr>
        <w:t>10</w:t>
      </w:r>
      <w:r w:rsidRPr="0042567B">
        <w:rPr>
          <w:rFonts w:eastAsia="仿宋_GB2312" w:hint="eastAsia"/>
          <w:szCs w:val="28"/>
        </w:rPr>
        <w:t>万人的城市在</w:t>
      </w:r>
      <w:r w:rsidRPr="0042567B">
        <w:rPr>
          <w:rFonts w:eastAsia="仿宋_GB2312"/>
          <w:szCs w:val="28"/>
        </w:rPr>
        <w:t>2030</w:t>
      </w:r>
      <w:r w:rsidRPr="0042567B">
        <w:rPr>
          <w:rFonts w:eastAsia="仿宋_GB2312" w:hint="eastAsia"/>
          <w:szCs w:val="28"/>
        </w:rPr>
        <w:t>年实现全部公交车零碳排放。</w:t>
      </w:r>
    </w:p>
    <w:p w14:paraId="4048C94A" w14:textId="77777777" w:rsidR="0042567B" w:rsidRPr="0042567B" w:rsidRDefault="0042567B" w:rsidP="0042567B">
      <w:pPr>
        <w:spacing w:line="240" w:lineRule="auto"/>
        <w:ind w:firstLine="562"/>
        <w:rPr>
          <w:b/>
        </w:rPr>
      </w:pPr>
      <w:r w:rsidRPr="0042567B">
        <w:rPr>
          <w:rFonts w:hint="eastAsia"/>
          <w:b/>
        </w:rPr>
        <w:t>布局加氢站建设。</w:t>
      </w:r>
      <w:r w:rsidRPr="0042567B">
        <w:t>2020</w:t>
      </w:r>
      <w:r w:rsidRPr="0042567B">
        <w:rPr>
          <w:rFonts w:hint="eastAsia"/>
        </w:rPr>
        <w:t>年</w:t>
      </w:r>
      <w:r w:rsidRPr="0042567B">
        <w:t>7</w:t>
      </w:r>
      <w:r w:rsidRPr="0042567B">
        <w:rPr>
          <w:rFonts w:hint="eastAsia"/>
        </w:rPr>
        <w:t>月，欧盟委员会正式发布了《气候中性的欧洲氢能战略》政策文件，在交通领域，为氢燃料电池公交汽车和卡车建设更多加氢站，并围绕加氢站部署电解槽产能，在港口和机场等交通枢纽布局氢能制造及辅助基础设施。</w:t>
      </w:r>
      <w:bookmarkStart w:id="33" w:name="OLE_LINK12"/>
    </w:p>
    <w:bookmarkEnd w:id="33"/>
    <w:p w14:paraId="435F0562" w14:textId="77777777" w:rsidR="0042567B" w:rsidRPr="0042567B" w:rsidRDefault="0042567B" w:rsidP="0042567B">
      <w:pPr>
        <w:spacing w:line="240" w:lineRule="auto"/>
        <w:ind w:firstLine="562"/>
      </w:pPr>
      <w:r w:rsidRPr="0042567B">
        <w:rPr>
          <w:rFonts w:hint="eastAsia"/>
          <w:b/>
        </w:rPr>
        <w:t>增加可持续海运燃料和航空燃料的应用。</w:t>
      </w:r>
      <w:r w:rsidRPr="0042567B">
        <w:rPr>
          <w:rFonts w:hint="eastAsia"/>
        </w:rPr>
        <w:t>促进海运可持续低排放</w:t>
      </w:r>
      <w:r w:rsidRPr="0042567B">
        <w:rPr>
          <w:rFonts w:hint="eastAsia"/>
        </w:rPr>
        <w:lastRenderedPageBreak/>
        <w:t>燃料与零排放技术应用，到</w:t>
      </w:r>
      <w:r w:rsidRPr="0042567B">
        <w:t>2030</w:t>
      </w:r>
      <w:r w:rsidRPr="0042567B">
        <w:rPr>
          <w:rFonts w:hint="eastAsia"/>
        </w:rPr>
        <w:t>年可持续海运燃料比例达到</w:t>
      </w:r>
      <w:r w:rsidRPr="0042567B">
        <w:t xml:space="preserve">6% </w:t>
      </w:r>
      <w:r w:rsidRPr="0042567B">
        <w:rPr>
          <w:rFonts w:hint="eastAsia"/>
        </w:rPr>
        <w:t>，</w:t>
      </w:r>
      <w:r w:rsidRPr="0042567B">
        <w:t>2050</w:t>
      </w:r>
      <w:r w:rsidRPr="0042567B">
        <w:rPr>
          <w:rFonts w:hint="eastAsia"/>
        </w:rPr>
        <w:t>年达到</w:t>
      </w:r>
      <w:r w:rsidRPr="0042567B">
        <w:t>75%</w:t>
      </w:r>
      <w:r w:rsidRPr="0042567B">
        <w:rPr>
          <w:rFonts w:hint="eastAsia"/>
        </w:rPr>
        <w:t>。可持续航空燃料</w:t>
      </w:r>
      <w:r w:rsidRPr="0042567B">
        <w:t>(</w:t>
      </w:r>
      <w:r w:rsidRPr="0042567B">
        <w:rPr>
          <w:rFonts w:hint="eastAsia"/>
        </w:rPr>
        <w:t>先进的生物燃料和电动燃料</w:t>
      </w:r>
      <w:r w:rsidRPr="0042567B">
        <w:t>)</w:t>
      </w:r>
      <w:r w:rsidRPr="0042567B">
        <w:rPr>
          <w:rFonts w:hint="eastAsia"/>
        </w:rPr>
        <w:t>具有显著减少飞机排放的潜力。然而，这种潜力在很大程度上尚未开发，因为这种燃料只占航空部门总燃料消耗的</w:t>
      </w:r>
      <w:r w:rsidRPr="0042567B">
        <w:t>0.05%</w:t>
      </w:r>
      <w:r w:rsidRPr="0042567B">
        <w:rPr>
          <w:rFonts w:hint="eastAsia"/>
        </w:rPr>
        <w:t>。欧盟提出，到</w:t>
      </w:r>
      <w:r w:rsidRPr="0042567B">
        <w:t>2030</w:t>
      </w:r>
      <w:r w:rsidRPr="0042567B">
        <w:rPr>
          <w:rFonts w:hint="eastAsia"/>
        </w:rPr>
        <w:t>年，可持续航空燃料比例达到</w:t>
      </w:r>
      <w:r w:rsidRPr="0042567B">
        <w:t>5%</w:t>
      </w:r>
      <w:r w:rsidRPr="0042567B">
        <w:rPr>
          <w:rFonts w:hint="eastAsia"/>
        </w:rPr>
        <w:t>，都</w:t>
      </w:r>
      <w:r w:rsidRPr="0042567B">
        <w:t>2050</w:t>
      </w:r>
      <w:r w:rsidRPr="0042567B">
        <w:rPr>
          <w:rFonts w:hint="eastAsia"/>
        </w:rPr>
        <w:t>年达到</w:t>
      </w:r>
      <w:r w:rsidRPr="0042567B">
        <w:t>63%</w:t>
      </w:r>
      <w:r w:rsidRPr="0042567B">
        <w:rPr>
          <w:rFonts w:hint="eastAsia"/>
        </w:rPr>
        <w:t>。</w:t>
      </w:r>
    </w:p>
    <w:p w14:paraId="2F5E50DA" w14:textId="77777777" w:rsidR="0042567B" w:rsidRPr="0042567B" w:rsidRDefault="0042567B" w:rsidP="0042567B">
      <w:pPr>
        <w:spacing w:line="240" w:lineRule="auto"/>
        <w:ind w:firstLine="562"/>
      </w:pPr>
      <w:r w:rsidRPr="0042567B">
        <w:rPr>
          <w:rFonts w:hint="eastAsia"/>
          <w:b/>
        </w:rPr>
        <w:t>发展多试联运。</w:t>
      </w:r>
      <w:r w:rsidRPr="0042567B">
        <w:rPr>
          <w:rFonts w:hint="eastAsia"/>
        </w:rPr>
        <w:t>欧盟委员会提出从</w:t>
      </w:r>
      <w:r w:rsidRPr="0042567B">
        <w:t>2021</w:t>
      </w:r>
      <w:r w:rsidRPr="0042567B">
        <w:rPr>
          <w:rFonts w:hint="eastAsia"/>
        </w:rPr>
        <w:t>年开始，改善并更好管理铁路和内河航道的运力，将内陆货运量中的</w:t>
      </w:r>
      <w:r w:rsidRPr="0042567B">
        <w:t>75%</w:t>
      </w:r>
      <w:r w:rsidRPr="0042567B">
        <w:rPr>
          <w:rFonts w:hint="eastAsia"/>
        </w:rPr>
        <w:t>将转移到铁路和内陆水运，到</w:t>
      </w:r>
      <w:r w:rsidRPr="0042567B">
        <w:t>2050</w:t>
      </w:r>
      <w:r w:rsidRPr="0042567B">
        <w:rPr>
          <w:rFonts w:hint="eastAsia"/>
        </w:rPr>
        <w:t>年，</w:t>
      </w:r>
      <w:r w:rsidRPr="0042567B">
        <w:t>95%</w:t>
      </w:r>
      <w:r w:rsidRPr="0042567B">
        <w:rPr>
          <w:rFonts w:hint="eastAsia"/>
        </w:rPr>
        <w:t>的客运服务和近</w:t>
      </w:r>
      <w:r w:rsidRPr="0042567B">
        <w:t>90%</w:t>
      </w:r>
      <w:r w:rsidRPr="0042567B">
        <w:rPr>
          <w:rFonts w:hint="eastAsia"/>
        </w:rPr>
        <w:t>的货运列车应实现电气化。欧盟为此提出将创建一个全面运营的跨欧洲多式联运网络，为铁路、航空、公路、海运联运提供便利。欧盟将从</w:t>
      </w:r>
      <w:r w:rsidRPr="0042567B">
        <w:t>2021</w:t>
      </w:r>
      <w:r w:rsidRPr="0042567B">
        <w:rPr>
          <w:rFonts w:hint="eastAsia"/>
        </w:rPr>
        <w:t>年开始采取灵活的票务机制，到</w:t>
      </w:r>
      <w:r w:rsidRPr="0042567B">
        <w:t>2030</w:t>
      </w:r>
      <w:r w:rsidRPr="0042567B">
        <w:rPr>
          <w:rFonts w:hint="eastAsia"/>
        </w:rPr>
        <w:t>年建成一站式电子票务系统，以简化跨境票务服务。</w:t>
      </w:r>
    </w:p>
    <w:p w14:paraId="50508347" w14:textId="77777777" w:rsidR="0042567B" w:rsidRPr="0042567B" w:rsidRDefault="0042567B" w:rsidP="0042567B">
      <w:pPr>
        <w:spacing w:line="240" w:lineRule="auto"/>
        <w:ind w:firstLine="562"/>
      </w:pPr>
      <w:r w:rsidRPr="0042567B">
        <w:rPr>
          <w:rFonts w:hint="eastAsia"/>
          <w:b/>
        </w:rPr>
        <w:t>发展智慧交通。</w:t>
      </w:r>
      <w:r w:rsidRPr="0042567B">
        <w:rPr>
          <w:rFonts w:hint="eastAsia"/>
        </w:rPr>
        <w:t>欧盟计划到</w:t>
      </w:r>
      <w:r w:rsidRPr="0042567B">
        <w:t>2025</w:t>
      </w:r>
      <w:r w:rsidRPr="0042567B">
        <w:rPr>
          <w:rFonts w:hint="eastAsia"/>
        </w:rPr>
        <w:t>年在欧洲主要陆路交通线上实现不间断的</w:t>
      </w:r>
      <w:r w:rsidRPr="0042567B">
        <w:t>5G</w:t>
      </w:r>
      <w:r w:rsidRPr="0042567B">
        <w:rPr>
          <w:rFonts w:hint="eastAsia"/>
        </w:rPr>
        <w:t>网络覆盖，并推进整个交通运输网络的</w:t>
      </w:r>
      <w:r w:rsidRPr="0042567B">
        <w:t>5G</w:t>
      </w:r>
      <w:r w:rsidRPr="0042567B">
        <w:rPr>
          <w:rFonts w:hint="eastAsia"/>
        </w:rPr>
        <w:t>部署，为智能运输创造技术条件。城市交通领域，欧盟加大部署包括车辆导航系统、智能停车系统、共享汽车、驾驶辅助系统等在内的智能交通系统。欧盟委员会将利用“连接欧洲基金”（</w:t>
      </w:r>
      <w:r w:rsidRPr="0042567B">
        <w:t>Connected Europe Facility</w:t>
      </w:r>
      <w:r w:rsidRPr="0042567B">
        <w:rPr>
          <w:rFonts w:hint="eastAsia"/>
        </w:rPr>
        <w:t>）等融资工具，推动打造智慧交通运输管理系统与“出行即服务”解决方案。</w:t>
      </w:r>
    </w:p>
    <w:p w14:paraId="3BC90A98" w14:textId="77777777" w:rsidR="0042567B" w:rsidRPr="0042567B" w:rsidRDefault="0042567B" w:rsidP="0042567B">
      <w:pPr>
        <w:spacing w:line="240" w:lineRule="auto"/>
        <w:ind w:firstLine="562"/>
      </w:pPr>
      <w:r w:rsidRPr="0042567B">
        <w:rPr>
          <w:rFonts w:hint="eastAsia"/>
          <w:b/>
        </w:rPr>
        <w:t>欧盟拟扩大碳排放交易体系的覆盖范围，将海运及公路运输纳入欧盟排放交易体系。</w:t>
      </w:r>
      <w:r w:rsidRPr="0042567B">
        <w:rPr>
          <w:rFonts w:hint="eastAsia"/>
        </w:rPr>
        <w:t>欧盟在《</w:t>
      </w:r>
      <w:r w:rsidRPr="0042567B">
        <w:t>Fit for 55</w:t>
      </w:r>
      <w:r w:rsidRPr="0042567B">
        <w:rPr>
          <w:rFonts w:hint="eastAsia"/>
        </w:rPr>
        <w:t>》中提出，将海运及公路运输纳入欧盟排放交易体系（</w:t>
      </w:r>
      <w:r w:rsidRPr="0042567B">
        <w:t>EU ETS</w:t>
      </w:r>
      <w:r w:rsidRPr="0042567B">
        <w:rPr>
          <w:rFonts w:hint="eastAsia"/>
        </w:rPr>
        <w:t>），支付二氧化碳排放配额</w:t>
      </w:r>
      <w:r w:rsidRPr="0042567B">
        <w:rPr>
          <w:rFonts w:hint="eastAsia"/>
        </w:rPr>
        <w:lastRenderedPageBreak/>
        <w:t>（</w:t>
      </w:r>
      <w:r w:rsidRPr="0042567B">
        <w:t>allowances</w:t>
      </w:r>
      <w:r w:rsidRPr="0042567B">
        <w:rPr>
          <w:rFonts w:hint="eastAsia"/>
        </w:rPr>
        <w:t>）费用，并减少无偿分配给航空公司的配额。欧盟航运贡献了全球交通运输领域超过</w:t>
      </w:r>
      <w:r w:rsidRPr="0042567B">
        <w:t>10%</w:t>
      </w:r>
      <w:r w:rsidRPr="0042567B">
        <w:rPr>
          <w:rFonts w:hint="eastAsia"/>
        </w:rPr>
        <w:t>的碳排放，因其运输距离远，运载量大等特殊性，电气化进程缓慢。该提案提出将航运业从</w:t>
      </w:r>
      <w:r w:rsidRPr="0042567B">
        <w:t>2023</w:t>
      </w:r>
      <w:r w:rsidRPr="0042567B">
        <w:rPr>
          <w:rFonts w:hint="eastAsia"/>
        </w:rPr>
        <w:t>年开始纳入</w:t>
      </w:r>
      <w:r w:rsidRPr="0042567B">
        <w:t>EU-ETS</w:t>
      </w:r>
      <w:r w:rsidRPr="0042567B">
        <w:rPr>
          <w:rFonts w:hint="eastAsia"/>
        </w:rPr>
        <w:t>。预计最初将针对</w:t>
      </w:r>
      <w:r w:rsidRPr="0042567B">
        <w:t>5000</w:t>
      </w:r>
      <w:r w:rsidRPr="0042567B">
        <w:rPr>
          <w:rFonts w:hint="eastAsia"/>
        </w:rPr>
        <w:t>总吨以上，运输旅客或商业用途的货物的船舶，包括该类船舶的空载航次。拟为道路运输的燃料分配，设立一个单独的全新碳排放交易系统。</w:t>
      </w:r>
    </w:p>
    <w:p w14:paraId="2AA82DDB" w14:textId="77777777" w:rsidR="0042567B" w:rsidRPr="0042567B" w:rsidRDefault="0042567B" w:rsidP="00EB2831">
      <w:pPr>
        <w:pStyle w:val="3"/>
      </w:pPr>
      <w:bookmarkStart w:id="34" w:name="_Toc93782314"/>
      <w:r w:rsidRPr="0042567B">
        <w:t xml:space="preserve">3.4 </w:t>
      </w:r>
      <w:r w:rsidRPr="0042567B">
        <w:rPr>
          <w:rFonts w:hint="eastAsia"/>
        </w:rPr>
        <w:t>总结</w:t>
      </w:r>
      <w:bookmarkEnd w:id="34"/>
    </w:p>
    <w:p w14:paraId="10F3ECB9" w14:textId="77777777" w:rsidR="0042567B" w:rsidRPr="0042567B" w:rsidRDefault="0042567B" w:rsidP="0042567B">
      <w:pPr>
        <w:spacing w:line="240" w:lineRule="auto"/>
        <w:ind w:firstLine="560"/>
      </w:pPr>
      <w:r w:rsidRPr="0042567B">
        <w:rPr>
          <w:rFonts w:hint="eastAsia"/>
        </w:rPr>
        <w:t>通过收集美国、英国、欧盟、日本等国家或地区的交通运输能耗和碳排放现状，及有关交通部门应对气候变化制定的相关政策，就美国、欧盟和英国交通运输行业碳排放特征、碳排放控制背景和碳排放总量的控制措施进行了分析，得出以下结论：</w:t>
      </w:r>
    </w:p>
    <w:p w14:paraId="78CD3797" w14:textId="77777777" w:rsidR="0042567B" w:rsidRPr="0042567B" w:rsidRDefault="0042567B" w:rsidP="0042567B">
      <w:pPr>
        <w:spacing w:line="240" w:lineRule="auto"/>
        <w:ind w:firstLine="562"/>
        <w:rPr>
          <w:bCs/>
        </w:rPr>
      </w:pPr>
      <w:r w:rsidRPr="0042567B">
        <w:rPr>
          <w:rFonts w:hint="eastAsia"/>
          <w:b/>
          <w:bCs/>
        </w:rPr>
        <w:t>一是</w:t>
      </w:r>
      <w:r w:rsidRPr="0042567B">
        <w:rPr>
          <w:rFonts w:hint="eastAsia"/>
          <w:bCs/>
        </w:rPr>
        <w:t>交通部门已经成为美国、英国和欧盟最大的碳排放部门，</w:t>
      </w:r>
      <w:r w:rsidRPr="0042567B">
        <w:rPr>
          <w:rFonts w:hint="eastAsia"/>
        </w:rPr>
        <w:t>典型发达国家交通运输碳达峰一般晚于总达峰时间，</w:t>
      </w:r>
      <w:r w:rsidRPr="0042567B">
        <w:rPr>
          <w:rFonts w:hint="eastAsia"/>
          <w:bCs/>
        </w:rPr>
        <w:t>交通运输的深度脱碳行动将深刻影响这些国家或地区实现净零排放的进程。</w:t>
      </w:r>
      <w:r w:rsidRPr="0042567B">
        <w:rPr>
          <w:bCs/>
        </w:rPr>
        <w:t xml:space="preserve"> </w:t>
      </w:r>
    </w:p>
    <w:p w14:paraId="73DA9982" w14:textId="77777777" w:rsidR="0042567B" w:rsidRPr="0042567B" w:rsidRDefault="0042567B" w:rsidP="0042567B">
      <w:pPr>
        <w:spacing w:line="240" w:lineRule="auto"/>
        <w:ind w:firstLine="562"/>
      </w:pPr>
      <w:r w:rsidRPr="0042567B">
        <w:rPr>
          <w:rFonts w:hint="eastAsia"/>
          <w:b/>
        </w:rPr>
        <w:t>二是</w:t>
      </w:r>
      <w:r w:rsidRPr="0042567B">
        <w:rPr>
          <w:rFonts w:hint="eastAsia"/>
        </w:rPr>
        <w:t>欧盟等国家或地区颁布了促进可持续交通发展的一系列政策举措，推动交通领域绿色化转型，英国出台《交通脱碳：更好、更绿色的英国》，欧盟出台《欧盟可持续与智慧交通战略》）。</w:t>
      </w:r>
    </w:p>
    <w:p w14:paraId="24400198" w14:textId="77777777" w:rsidR="0042567B" w:rsidRPr="0042567B" w:rsidRDefault="0042567B" w:rsidP="0042567B">
      <w:pPr>
        <w:spacing w:line="240" w:lineRule="auto"/>
        <w:ind w:firstLine="562"/>
      </w:pPr>
      <w:r w:rsidRPr="0042567B">
        <w:rPr>
          <w:rFonts w:hint="eastAsia"/>
          <w:b/>
        </w:rPr>
        <w:t>三是</w:t>
      </w:r>
      <w:r w:rsidRPr="0042567B">
        <w:rPr>
          <w:rFonts w:hint="eastAsia"/>
        </w:rPr>
        <w:t>抑制汽车碳排放，加速转向零排放车辆已经成为美国、英国和欧盟实现交通领域碳达峰碳中和优先措施。各个国家或地区均已设定了明确的新车零排放时间表。</w:t>
      </w:r>
    </w:p>
    <w:p w14:paraId="0A546105" w14:textId="1E9E4A4E" w:rsidR="00DB5A8A" w:rsidRDefault="00DB5A8A">
      <w:pPr>
        <w:widowControl/>
        <w:spacing w:line="240" w:lineRule="auto"/>
        <w:ind w:firstLineChars="0" w:firstLine="0"/>
        <w:jc w:val="left"/>
      </w:pPr>
      <w:r>
        <w:br w:type="page"/>
      </w:r>
    </w:p>
    <w:p w14:paraId="081600EB" w14:textId="589BA1F6" w:rsidR="00563861" w:rsidRDefault="00563861" w:rsidP="00C718FF">
      <w:pPr>
        <w:pStyle w:val="2"/>
        <w:jc w:val="left"/>
      </w:pPr>
      <w:bookmarkStart w:id="35" w:name="_Toc93782315"/>
      <w:r>
        <w:lastRenderedPageBreak/>
        <w:t>4</w:t>
      </w:r>
      <w:r w:rsidRPr="0059548B">
        <w:t xml:space="preserve">. </w:t>
      </w:r>
      <w:r w:rsidRPr="00563861">
        <w:rPr>
          <w:rFonts w:hint="eastAsia"/>
        </w:rPr>
        <w:t>中国交通部门中长期近零排放发展情景分析</w:t>
      </w:r>
      <w:bookmarkEnd w:id="35"/>
    </w:p>
    <w:p w14:paraId="4817DFB6" w14:textId="58E7E3CA" w:rsidR="00563861" w:rsidRPr="00563861" w:rsidRDefault="00563861" w:rsidP="00563861">
      <w:pPr>
        <w:ind w:firstLine="560"/>
      </w:pPr>
      <w:r w:rsidRPr="00563861">
        <w:rPr>
          <w:rFonts w:hint="eastAsia"/>
        </w:rPr>
        <w:t>结合</w:t>
      </w:r>
      <w:r w:rsidR="004D4495">
        <w:rPr>
          <w:rFonts w:hint="eastAsia"/>
        </w:rPr>
        <w:t>铁路运输、公路运输、水路运输及民航运输</w:t>
      </w:r>
      <w:r w:rsidRPr="00563861">
        <w:rPr>
          <w:rFonts w:hint="eastAsia"/>
        </w:rPr>
        <w:t>等分领域的研究，聚焦于不同情景的交通近零排放发展，</w:t>
      </w:r>
      <w:r w:rsidR="00E514BB">
        <w:rPr>
          <w:rFonts w:hint="eastAsia"/>
        </w:rPr>
        <w:t>采取</w:t>
      </w:r>
      <w:r w:rsidRPr="00563861">
        <w:rPr>
          <w:rFonts w:hint="eastAsia"/>
        </w:rPr>
        <w:t>自下而上和自上向下，</w:t>
      </w:r>
      <w:r w:rsidR="00D502D0">
        <w:rPr>
          <w:rFonts w:hint="eastAsia"/>
        </w:rPr>
        <w:t>以及</w:t>
      </w:r>
      <w:r w:rsidRPr="00563861">
        <w:rPr>
          <w:rFonts w:hint="eastAsia"/>
        </w:rPr>
        <w:t>定性和定量结合</w:t>
      </w:r>
      <w:r w:rsidR="00D502D0">
        <w:rPr>
          <w:rFonts w:hint="eastAsia"/>
        </w:rPr>
        <w:t>的方法</w:t>
      </w:r>
      <w:r w:rsidRPr="00563861">
        <w:rPr>
          <w:rFonts w:hint="eastAsia"/>
        </w:rPr>
        <w:t>，分析不同排放路径下关键时间点碳排放量</w:t>
      </w:r>
      <w:r w:rsidR="00DC6E9C">
        <w:rPr>
          <w:rFonts w:hint="eastAsia"/>
        </w:rPr>
        <w:t>、</w:t>
      </w:r>
      <w:r w:rsidRPr="00563861">
        <w:rPr>
          <w:rFonts w:hint="eastAsia"/>
        </w:rPr>
        <w:t>关键技术</w:t>
      </w:r>
      <w:r w:rsidR="00DC6E9C">
        <w:rPr>
          <w:rFonts w:hint="eastAsia"/>
        </w:rPr>
        <w:t>、</w:t>
      </w:r>
      <w:r w:rsidR="00DC6E9C" w:rsidRPr="00563861">
        <w:rPr>
          <w:rFonts w:hint="eastAsia"/>
        </w:rPr>
        <w:t>发展</w:t>
      </w:r>
      <w:r w:rsidRPr="00563861">
        <w:rPr>
          <w:rFonts w:hint="eastAsia"/>
        </w:rPr>
        <w:t>模式及节能降碳的潜力。</w:t>
      </w:r>
    </w:p>
    <w:p w14:paraId="2F77B9EE" w14:textId="5750FA35" w:rsidR="00563861" w:rsidRPr="00563861" w:rsidRDefault="00563861" w:rsidP="00563861">
      <w:pPr>
        <w:pStyle w:val="3"/>
      </w:pPr>
      <w:bookmarkStart w:id="36" w:name="_Toc93782316"/>
      <w:r w:rsidRPr="00563861">
        <w:rPr>
          <w:rFonts w:hint="eastAsia"/>
        </w:rPr>
        <w:t>4</w:t>
      </w:r>
      <w:r w:rsidRPr="00563861">
        <w:t xml:space="preserve">.1 </w:t>
      </w:r>
      <w:r w:rsidR="007E6BB4">
        <w:rPr>
          <w:rFonts w:hint="eastAsia"/>
        </w:rPr>
        <w:t>情景</w:t>
      </w:r>
      <w:r w:rsidR="00560FB1">
        <w:rPr>
          <w:rFonts w:hint="eastAsia"/>
        </w:rPr>
        <w:t>设置</w:t>
      </w:r>
      <w:bookmarkEnd w:id="36"/>
    </w:p>
    <w:p w14:paraId="7F97B3A0" w14:textId="77777777" w:rsidR="00A8551D" w:rsidRDefault="007164A2" w:rsidP="007164A2">
      <w:pPr>
        <w:ind w:firstLine="560"/>
      </w:pPr>
      <w:r w:rsidRPr="007164A2">
        <w:rPr>
          <w:rFonts w:hint="eastAsia"/>
        </w:rPr>
        <w:t>伴随着移动互联网、物联网、云计算、大数据等新技术的应用，新能源汽车、自动驾驶等技术</w:t>
      </w:r>
      <w:r w:rsidR="00342777">
        <w:rPr>
          <w:rFonts w:hint="eastAsia"/>
        </w:rPr>
        <w:t>的</w:t>
      </w:r>
      <w:r w:rsidRPr="007164A2">
        <w:rPr>
          <w:rFonts w:hint="eastAsia"/>
        </w:rPr>
        <w:t>突破，“互联网</w:t>
      </w:r>
      <w:r w:rsidRPr="007164A2">
        <w:rPr>
          <w:rFonts w:hint="eastAsia"/>
        </w:rPr>
        <w:t>+</w:t>
      </w:r>
      <w:r w:rsidRPr="007164A2">
        <w:rPr>
          <w:rFonts w:hint="eastAsia"/>
        </w:rPr>
        <w:t>”渗透到交通运输各领域，推动了交通</w:t>
      </w:r>
      <w:r w:rsidR="00575327">
        <w:rPr>
          <w:rFonts w:hint="eastAsia"/>
        </w:rPr>
        <w:t>部门</w:t>
      </w:r>
      <w:r w:rsidRPr="007164A2">
        <w:rPr>
          <w:rFonts w:hint="eastAsia"/>
        </w:rPr>
        <w:t>业态创新</w:t>
      </w:r>
      <w:r w:rsidRPr="00AB2C23">
        <w:rPr>
          <w:rFonts w:hint="eastAsia"/>
        </w:rPr>
        <w:t>，对交通运输格局</w:t>
      </w:r>
      <w:r w:rsidRPr="007164A2">
        <w:rPr>
          <w:rFonts w:hint="eastAsia"/>
        </w:rPr>
        <w:t>带来了革命性影响。</w:t>
      </w:r>
      <w:r>
        <w:rPr>
          <w:rFonts w:hint="eastAsia"/>
        </w:rPr>
        <w:t>尤其是</w:t>
      </w:r>
      <w:r w:rsidR="00602CA8">
        <w:rPr>
          <w:rFonts w:hint="eastAsia"/>
        </w:rPr>
        <w:t>后疫情时代，</w:t>
      </w:r>
      <w:r w:rsidR="00602CA8" w:rsidRPr="00602CA8">
        <w:rPr>
          <w:rFonts w:hint="eastAsia"/>
        </w:rPr>
        <w:t>交通运输</w:t>
      </w:r>
      <w:r w:rsidR="00602CA8">
        <w:rPr>
          <w:rFonts w:hint="eastAsia"/>
        </w:rPr>
        <w:t>的发展将受到更多因素的影响，包括</w:t>
      </w:r>
      <w:r w:rsidRPr="007164A2">
        <w:rPr>
          <w:rFonts w:hint="eastAsia"/>
        </w:rPr>
        <w:t>GDP</w:t>
      </w:r>
      <w:r w:rsidRPr="007164A2">
        <w:rPr>
          <w:rFonts w:hint="eastAsia"/>
        </w:rPr>
        <w:t>、产业结构、城镇化进程、人口、收入水平等宏观经济社会因素，共享出行、电子商务、城市配送、自动驾驶等新业态和新模式，消费理念、工作方式的转变等</w:t>
      </w:r>
      <w:r w:rsidR="00602CA8">
        <w:rPr>
          <w:rFonts w:hint="eastAsia"/>
        </w:rPr>
        <w:t>。</w:t>
      </w:r>
      <w:bookmarkStart w:id="37" w:name="_Hlk93506183"/>
    </w:p>
    <w:p w14:paraId="28AE7E42" w14:textId="0F0212EC" w:rsidR="007164A2" w:rsidRDefault="00083ABA" w:rsidP="007164A2">
      <w:pPr>
        <w:ind w:firstLine="560"/>
      </w:pPr>
      <w:r w:rsidRPr="00602CA8">
        <w:rPr>
          <w:rFonts w:hint="eastAsia"/>
        </w:rPr>
        <w:t>课题组选取</w:t>
      </w:r>
      <w:r>
        <w:t>4</w:t>
      </w:r>
      <w:r w:rsidRPr="00602CA8">
        <w:rPr>
          <w:rFonts w:hint="eastAsia"/>
        </w:rPr>
        <w:t>个方面共</w:t>
      </w:r>
      <w:r w:rsidRPr="00602CA8">
        <w:rPr>
          <w:rFonts w:hint="eastAsia"/>
        </w:rPr>
        <w:t>1</w:t>
      </w:r>
      <w:r w:rsidR="00C718FF">
        <w:t>3</w:t>
      </w:r>
      <w:r w:rsidRPr="00602CA8">
        <w:rPr>
          <w:rFonts w:hint="eastAsia"/>
        </w:rPr>
        <w:t>个影响因素，</w:t>
      </w:r>
      <w:r w:rsidR="00A8551D" w:rsidRPr="00B526E1">
        <w:rPr>
          <w:rFonts w:hint="eastAsia"/>
        </w:rPr>
        <w:t>具体包括了</w:t>
      </w:r>
      <w:r w:rsidR="00A8551D" w:rsidRPr="00B526E1">
        <w:rPr>
          <w:rFonts w:hint="eastAsia"/>
        </w:rPr>
        <w:t>GDP</w:t>
      </w:r>
      <w:r w:rsidR="00A8551D" w:rsidRPr="00B526E1">
        <w:rPr>
          <w:rFonts w:hint="eastAsia"/>
        </w:rPr>
        <w:t>（人均</w:t>
      </w:r>
      <w:r w:rsidR="00A8551D" w:rsidRPr="00B526E1">
        <w:rPr>
          <w:rFonts w:hint="eastAsia"/>
        </w:rPr>
        <w:t>GDP</w:t>
      </w:r>
      <w:r w:rsidR="00A8551D" w:rsidRPr="00B526E1">
        <w:rPr>
          <w:rFonts w:hint="eastAsia"/>
        </w:rPr>
        <w:t>）、产业结构、城镇化进程、人口等宏观经济需求因素；运输结构调整、绿色出行等结构因素；低碳技术应用</w:t>
      </w:r>
      <w:r w:rsidR="00A8551D">
        <w:rPr>
          <w:rFonts w:hint="eastAsia"/>
        </w:rPr>
        <w:t>带来的能效提升因素；</w:t>
      </w:r>
      <w:r w:rsidR="00A8551D" w:rsidRPr="00B526E1">
        <w:rPr>
          <w:rFonts w:hint="eastAsia"/>
        </w:rPr>
        <w:t>新能源运输装备</w:t>
      </w:r>
      <w:r w:rsidR="00A8551D">
        <w:rPr>
          <w:rFonts w:hint="eastAsia"/>
        </w:rPr>
        <w:t>应用</w:t>
      </w:r>
      <w:r w:rsidR="00A8551D" w:rsidRPr="00B526E1">
        <w:rPr>
          <w:rFonts w:hint="eastAsia"/>
        </w:rPr>
        <w:t>因素。本研究统筹考虑不同影响因素的发展趋势，对</w:t>
      </w:r>
      <w:r w:rsidR="00A8551D">
        <w:rPr>
          <w:rFonts w:hint="eastAsia"/>
        </w:rPr>
        <w:t>中国</w:t>
      </w:r>
      <w:r w:rsidR="00A8551D" w:rsidRPr="00B526E1">
        <w:rPr>
          <w:rFonts w:hint="eastAsia"/>
        </w:rPr>
        <w:t>交通</w:t>
      </w:r>
      <w:r w:rsidR="00A8551D">
        <w:rPr>
          <w:rFonts w:hint="eastAsia"/>
        </w:rPr>
        <w:t>部门</w:t>
      </w:r>
      <w:r w:rsidR="00A8551D" w:rsidRPr="00B526E1">
        <w:rPr>
          <w:rFonts w:hint="eastAsia"/>
        </w:rPr>
        <w:t>碳排放的影响</w:t>
      </w:r>
      <w:r>
        <w:rPr>
          <w:rFonts w:hint="eastAsia"/>
        </w:rPr>
        <w:t>。</w:t>
      </w:r>
      <w:r w:rsidR="00143DF1">
        <w:rPr>
          <w:rFonts w:hint="eastAsia"/>
        </w:rPr>
        <w:t>具体来看</w:t>
      </w:r>
      <w:r w:rsidR="0006389B">
        <w:rPr>
          <w:rFonts w:hint="eastAsia"/>
        </w:rPr>
        <w:t>，</w:t>
      </w:r>
      <w:r w:rsidR="00602CA8" w:rsidRPr="00602CA8">
        <w:rPr>
          <w:rFonts w:hint="eastAsia"/>
        </w:rPr>
        <w:t>宏观经济中</w:t>
      </w:r>
      <w:r w:rsidR="00602CA8" w:rsidRPr="00602CA8">
        <w:rPr>
          <w:rFonts w:hint="eastAsia"/>
        </w:rPr>
        <w:t>GDP</w:t>
      </w:r>
      <w:r w:rsidR="00602CA8" w:rsidRPr="00602CA8">
        <w:rPr>
          <w:rFonts w:hint="eastAsia"/>
        </w:rPr>
        <w:t>总量、人均</w:t>
      </w:r>
      <w:r w:rsidR="00602CA8" w:rsidRPr="00602CA8">
        <w:rPr>
          <w:rFonts w:hint="eastAsia"/>
        </w:rPr>
        <w:t>GDP</w:t>
      </w:r>
      <w:r w:rsidR="00602CA8" w:rsidRPr="00602CA8">
        <w:rPr>
          <w:rFonts w:hint="eastAsia"/>
        </w:rPr>
        <w:t>、经济结构、人口、城镇化率，绿色出行中共享出行、定制公交、轨道交通等因素对交通运输需求和结构变化的影响；智能化中智能交通技术应用、智慧物流，新能源化中新能源车、新能源船舶、生物质能飞机对交通运输能源消耗和</w:t>
      </w:r>
      <w:r w:rsidR="00C3292A">
        <w:rPr>
          <w:rFonts w:hint="eastAsia"/>
        </w:rPr>
        <w:t>碳排放</w:t>
      </w:r>
      <w:r w:rsidR="00602CA8" w:rsidRPr="00602CA8">
        <w:rPr>
          <w:rFonts w:hint="eastAsia"/>
        </w:rPr>
        <w:t>的影响；自动驾驶应用对</w:t>
      </w:r>
      <w:r w:rsidR="00602CA8" w:rsidRPr="00602CA8">
        <w:rPr>
          <w:rFonts w:hint="eastAsia"/>
        </w:rPr>
        <w:lastRenderedPageBreak/>
        <w:t>交通运输需求及能耗和</w:t>
      </w:r>
      <w:r w:rsidR="00C3292A">
        <w:rPr>
          <w:rFonts w:hint="eastAsia"/>
        </w:rPr>
        <w:t>碳排放</w:t>
      </w:r>
      <w:r w:rsidR="00602CA8" w:rsidRPr="00602CA8">
        <w:rPr>
          <w:rFonts w:hint="eastAsia"/>
        </w:rPr>
        <w:t>的影响；基础设施中货运、客运通道对交通运输结构的影响</w:t>
      </w:r>
      <w:r w:rsidR="0006389B">
        <w:rPr>
          <w:rFonts w:hint="eastAsia"/>
        </w:rPr>
        <w:t>，具体参数见图</w:t>
      </w:r>
      <w:r w:rsidR="00AB1A75">
        <w:rPr>
          <w:rFonts w:hint="eastAsia"/>
        </w:rPr>
        <w:t>4-</w:t>
      </w:r>
      <w:r w:rsidR="00AB1A75">
        <w:t>1</w:t>
      </w:r>
      <w:r w:rsidR="00602CA8" w:rsidRPr="00602CA8">
        <w:rPr>
          <w:rFonts w:hint="eastAsia"/>
        </w:rPr>
        <w:t>。</w:t>
      </w:r>
    </w:p>
    <w:bookmarkEnd w:id="37"/>
    <w:p w14:paraId="0D348322" w14:textId="5A3606C6" w:rsidR="007164A2" w:rsidRDefault="00C718FF" w:rsidP="007164A2">
      <w:pPr>
        <w:ind w:firstLineChars="0" w:firstLine="0"/>
      </w:pPr>
      <w:r>
        <w:rPr>
          <w:noProof/>
        </w:rPr>
        <w:drawing>
          <wp:inline distT="0" distB="0" distL="0" distR="0" wp14:anchorId="65AEB2CB" wp14:editId="2D3DE48D">
            <wp:extent cx="5274310" cy="2964815"/>
            <wp:effectExtent l="0" t="0" r="254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2964815"/>
                    </a:xfrm>
                    <a:prstGeom prst="rect">
                      <a:avLst/>
                    </a:prstGeom>
                  </pic:spPr>
                </pic:pic>
              </a:graphicData>
            </a:graphic>
          </wp:inline>
        </w:drawing>
      </w:r>
    </w:p>
    <w:p w14:paraId="68B03DF3" w14:textId="4B83FE8E" w:rsidR="007164A2" w:rsidRPr="00FE0161" w:rsidRDefault="007164A2" w:rsidP="0006389B">
      <w:pPr>
        <w:ind w:firstLineChars="0" w:firstLine="0"/>
        <w:jc w:val="center"/>
        <w:rPr>
          <w:rFonts w:ascii="黑体" w:eastAsia="黑体" w:hAnsi="黑体"/>
          <w:sz w:val="24"/>
          <w:szCs w:val="21"/>
        </w:rPr>
      </w:pPr>
      <w:r w:rsidRPr="00FE0161">
        <w:rPr>
          <w:rFonts w:ascii="黑体" w:eastAsia="黑体" w:hAnsi="黑体" w:hint="eastAsia"/>
          <w:sz w:val="24"/>
          <w:szCs w:val="21"/>
        </w:rPr>
        <w:t>图</w:t>
      </w:r>
      <w:r w:rsidR="00AB1A75" w:rsidRPr="00FE0161">
        <w:rPr>
          <w:rFonts w:ascii="黑体" w:eastAsia="黑体" w:hAnsi="黑体" w:hint="eastAsia"/>
          <w:sz w:val="24"/>
          <w:szCs w:val="21"/>
        </w:rPr>
        <w:t>4-</w:t>
      </w:r>
      <w:r w:rsidR="00AB1A75" w:rsidRPr="00FE0161">
        <w:rPr>
          <w:rFonts w:ascii="黑体" w:eastAsia="黑体" w:hAnsi="黑体"/>
          <w:sz w:val="24"/>
          <w:szCs w:val="21"/>
        </w:rPr>
        <w:t>1</w:t>
      </w:r>
      <w:r w:rsidRPr="00FE0161">
        <w:rPr>
          <w:rFonts w:ascii="黑体" w:eastAsia="黑体" w:hAnsi="黑体" w:hint="eastAsia"/>
          <w:sz w:val="24"/>
          <w:szCs w:val="21"/>
        </w:rPr>
        <w:t xml:space="preserve"> </w:t>
      </w:r>
      <w:bookmarkStart w:id="38" w:name="_Hlk93506199"/>
      <w:r w:rsidRPr="00FE0161">
        <w:rPr>
          <w:rFonts w:ascii="黑体" w:eastAsia="黑体" w:hAnsi="黑体" w:hint="eastAsia"/>
          <w:sz w:val="24"/>
          <w:szCs w:val="21"/>
        </w:rPr>
        <w:t>本研究</w:t>
      </w:r>
      <w:r w:rsidR="005F5771">
        <w:rPr>
          <w:rFonts w:ascii="黑体" w:eastAsia="黑体" w:hAnsi="黑体" w:hint="eastAsia"/>
          <w:sz w:val="24"/>
          <w:szCs w:val="21"/>
        </w:rPr>
        <w:t>选取</w:t>
      </w:r>
      <w:r w:rsidRPr="00FE0161">
        <w:rPr>
          <w:rFonts w:ascii="黑体" w:eastAsia="黑体" w:hAnsi="黑体" w:hint="eastAsia"/>
          <w:sz w:val="24"/>
          <w:szCs w:val="21"/>
        </w:rPr>
        <w:t>的影响因素</w:t>
      </w:r>
      <w:bookmarkEnd w:id="38"/>
    </w:p>
    <w:p w14:paraId="22A1A71A" w14:textId="0CBF1A69" w:rsidR="007B1C4A" w:rsidRDefault="0006389B" w:rsidP="00487D13">
      <w:pPr>
        <w:ind w:firstLine="560"/>
      </w:pPr>
      <w:bookmarkStart w:id="39" w:name="_Hlk93506364"/>
      <w:r w:rsidRPr="0006389B">
        <w:rPr>
          <w:rFonts w:hint="eastAsia"/>
        </w:rPr>
        <w:t>本研究设置基准情景、</w:t>
      </w:r>
      <w:r w:rsidR="001462ED">
        <w:rPr>
          <w:rFonts w:hint="eastAsia"/>
        </w:rPr>
        <w:t>双碳政策</w:t>
      </w:r>
      <w:r>
        <w:rPr>
          <w:rFonts w:hint="eastAsia"/>
        </w:rPr>
        <w:t>推演</w:t>
      </w:r>
      <w:r w:rsidRPr="0006389B">
        <w:rPr>
          <w:rFonts w:hint="eastAsia"/>
        </w:rPr>
        <w:t>情景</w:t>
      </w:r>
      <w:r w:rsidR="00143DF1">
        <w:rPr>
          <w:rFonts w:hint="eastAsia"/>
        </w:rPr>
        <w:t>及</w:t>
      </w:r>
      <w:r>
        <w:rPr>
          <w:rFonts w:hint="eastAsia"/>
        </w:rPr>
        <w:t>激进</w:t>
      </w:r>
      <w:r w:rsidRPr="0006389B">
        <w:rPr>
          <w:rFonts w:hint="eastAsia"/>
        </w:rPr>
        <w:t>情景</w:t>
      </w:r>
      <w:r>
        <w:rPr>
          <w:rFonts w:hint="eastAsia"/>
        </w:rPr>
        <w:t>。</w:t>
      </w:r>
      <w:r w:rsidR="00410B2B" w:rsidRPr="00563861">
        <w:rPr>
          <w:rFonts w:hint="eastAsia"/>
        </w:rPr>
        <w:t>结合</w:t>
      </w:r>
      <w:r w:rsidR="00410B2B">
        <w:rPr>
          <w:rFonts w:hint="eastAsia"/>
        </w:rPr>
        <w:t>中国碳达峰碳中和要求和典型国家</w:t>
      </w:r>
      <w:r w:rsidR="00143DF1">
        <w:rPr>
          <w:rFonts w:hint="eastAsia"/>
        </w:rPr>
        <w:t>交通</w:t>
      </w:r>
      <w:r w:rsidR="00410B2B">
        <w:rPr>
          <w:rFonts w:hint="eastAsia"/>
        </w:rPr>
        <w:t>近零碳</w:t>
      </w:r>
      <w:r w:rsidR="00143DF1">
        <w:rPr>
          <w:rFonts w:hint="eastAsia"/>
        </w:rPr>
        <w:t>排放</w:t>
      </w:r>
      <w:r w:rsidR="00410B2B">
        <w:rPr>
          <w:rFonts w:hint="eastAsia"/>
        </w:rPr>
        <w:t>发展路径，确定情景参数。</w:t>
      </w:r>
    </w:p>
    <w:p w14:paraId="230C911F" w14:textId="5DFC3683" w:rsidR="0006389B" w:rsidRDefault="0006389B" w:rsidP="0006389B">
      <w:pPr>
        <w:ind w:firstLine="562"/>
      </w:pPr>
      <w:r w:rsidRPr="00C718FF">
        <w:rPr>
          <w:rFonts w:hint="eastAsia"/>
          <w:b/>
          <w:bCs/>
        </w:rPr>
        <w:t>基准情景：</w:t>
      </w:r>
      <w:r w:rsidR="00C718FF">
        <w:rPr>
          <w:rFonts w:hint="eastAsia"/>
        </w:rPr>
        <w:t>以</w:t>
      </w:r>
      <w:r>
        <w:rPr>
          <w:rFonts w:hint="eastAsia"/>
        </w:rPr>
        <w:t>现有政策手段和技术水平</w:t>
      </w:r>
      <w:r w:rsidR="002C66CB">
        <w:rPr>
          <w:rFonts w:hint="eastAsia"/>
        </w:rPr>
        <w:t>下</w:t>
      </w:r>
      <w:r w:rsidR="00C718FF">
        <w:rPr>
          <w:rFonts w:hint="eastAsia"/>
        </w:rPr>
        <w:t>为主要参照</w:t>
      </w:r>
      <w:r>
        <w:rPr>
          <w:rFonts w:hint="eastAsia"/>
        </w:rPr>
        <w:t>，</w:t>
      </w:r>
      <w:r w:rsidR="002C66CB">
        <w:rPr>
          <w:rFonts w:hint="eastAsia"/>
        </w:rPr>
        <w:t>假定</w:t>
      </w:r>
      <w:r w:rsidR="00ED2758">
        <w:rPr>
          <w:rFonts w:hint="eastAsia"/>
        </w:rPr>
        <w:t>中国</w:t>
      </w:r>
      <w:r>
        <w:rPr>
          <w:rFonts w:hint="eastAsia"/>
        </w:rPr>
        <w:t>产业布局、客货运结构、不同交通模式的能效改进、替代燃料技术的发展没有大的变化或重大技术突破。</w:t>
      </w:r>
    </w:p>
    <w:p w14:paraId="34282416" w14:textId="7F415202" w:rsidR="0006389B" w:rsidRDefault="001462ED" w:rsidP="0006389B">
      <w:pPr>
        <w:ind w:firstLine="562"/>
      </w:pPr>
      <w:r w:rsidRPr="00C718FF">
        <w:rPr>
          <w:rFonts w:hint="eastAsia"/>
          <w:b/>
          <w:bCs/>
        </w:rPr>
        <w:t>双碳政策</w:t>
      </w:r>
      <w:r w:rsidR="0006389B" w:rsidRPr="00C718FF">
        <w:rPr>
          <w:rFonts w:hint="eastAsia"/>
          <w:b/>
          <w:bCs/>
        </w:rPr>
        <w:t>推演情景：</w:t>
      </w:r>
      <w:r w:rsidR="002C66CB">
        <w:rPr>
          <w:rFonts w:hint="eastAsia"/>
        </w:rPr>
        <w:t>考虑</w:t>
      </w:r>
      <w:r>
        <w:rPr>
          <w:rFonts w:hint="eastAsia"/>
        </w:rPr>
        <w:t>国家近期</w:t>
      </w:r>
      <w:r w:rsidR="00410B2B">
        <w:rPr>
          <w:rFonts w:hint="eastAsia"/>
        </w:rPr>
        <w:t>密集出台的“双碳”政策，量化相关政策措施，并作推演。主要考虑因素包括：</w:t>
      </w:r>
      <w:r w:rsidR="00410B2B" w:rsidRPr="00410B2B">
        <w:rPr>
          <w:rFonts w:hint="eastAsia"/>
        </w:rPr>
        <w:t>优化运输结构，交通节能减排技术不断应用，绿色出行比例提升，新能源车船普及率上升</w:t>
      </w:r>
      <w:r w:rsidR="0006389B">
        <w:rPr>
          <w:rFonts w:hint="eastAsia"/>
        </w:rPr>
        <w:t>。</w:t>
      </w:r>
    </w:p>
    <w:p w14:paraId="0DF50D3F" w14:textId="4CA4AA15" w:rsidR="007B1C4A" w:rsidRDefault="001462ED" w:rsidP="0006389B">
      <w:pPr>
        <w:ind w:firstLine="562"/>
      </w:pPr>
      <w:r w:rsidRPr="00C718FF">
        <w:rPr>
          <w:rFonts w:hint="eastAsia"/>
          <w:b/>
          <w:bCs/>
        </w:rPr>
        <w:t>激进情景</w:t>
      </w:r>
      <w:r w:rsidR="0006389B" w:rsidRPr="00C718FF">
        <w:rPr>
          <w:rFonts w:hint="eastAsia"/>
          <w:b/>
          <w:bCs/>
        </w:rPr>
        <w:t>：</w:t>
      </w:r>
      <w:r>
        <w:rPr>
          <w:rFonts w:hint="eastAsia"/>
        </w:rPr>
        <w:t>在双碳政策推演</w:t>
      </w:r>
      <w:r w:rsidR="0006389B">
        <w:rPr>
          <w:rFonts w:hint="eastAsia"/>
        </w:rPr>
        <w:t>情景基础上，交通运输部门在运输结</w:t>
      </w:r>
      <w:r w:rsidR="0006389B">
        <w:rPr>
          <w:rFonts w:hint="eastAsia"/>
        </w:rPr>
        <w:lastRenderedPageBreak/>
        <w:t>构、燃油经济性等方面均有显著提升，新能源车船普及加快，绿色出行比例上升幅度加大。</w:t>
      </w:r>
      <w:bookmarkEnd w:id="39"/>
    </w:p>
    <w:p w14:paraId="26106345" w14:textId="77777777" w:rsidR="00410B2B" w:rsidRDefault="00410B2B" w:rsidP="00487D13">
      <w:pPr>
        <w:ind w:firstLine="560"/>
        <w:sectPr w:rsidR="00410B2B" w:rsidSect="002402BE">
          <w:pgSz w:w="11906" w:h="16838"/>
          <w:pgMar w:top="1440" w:right="1800" w:bottom="1440" w:left="1800" w:header="851" w:footer="992" w:gutter="0"/>
          <w:pgNumType w:fmt="numberInDash"/>
          <w:cols w:space="425"/>
          <w:docGrid w:type="lines" w:linePitch="312"/>
        </w:sectPr>
      </w:pPr>
    </w:p>
    <w:p w14:paraId="7577AB22" w14:textId="6B6D2C7B" w:rsidR="007B1C4A" w:rsidRPr="00843C18" w:rsidRDefault="00410B2B" w:rsidP="00AB1A75">
      <w:pPr>
        <w:ind w:firstLineChars="0" w:firstLine="0"/>
        <w:jc w:val="center"/>
        <w:rPr>
          <w:rFonts w:ascii="黑体" w:eastAsia="黑体" w:hAnsi="黑体"/>
          <w:sz w:val="24"/>
          <w:szCs w:val="21"/>
        </w:rPr>
      </w:pPr>
      <w:r w:rsidRPr="00843C18">
        <w:rPr>
          <w:rFonts w:ascii="黑体" w:eastAsia="黑体" w:hAnsi="黑体" w:hint="eastAsia"/>
          <w:sz w:val="24"/>
          <w:szCs w:val="21"/>
        </w:rPr>
        <w:lastRenderedPageBreak/>
        <w:t>表</w:t>
      </w:r>
      <w:r w:rsidR="00AB1A75" w:rsidRPr="00843C18">
        <w:rPr>
          <w:rFonts w:ascii="黑体" w:eastAsia="黑体" w:hAnsi="黑体" w:hint="eastAsia"/>
          <w:sz w:val="24"/>
          <w:szCs w:val="21"/>
        </w:rPr>
        <w:t>4-</w:t>
      </w:r>
      <w:r w:rsidR="00AB1A75" w:rsidRPr="00843C18">
        <w:rPr>
          <w:rFonts w:ascii="黑体" w:eastAsia="黑体" w:hAnsi="黑体"/>
          <w:sz w:val="24"/>
          <w:szCs w:val="21"/>
        </w:rPr>
        <w:t xml:space="preserve">1 </w:t>
      </w:r>
      <w:r w:rsidR="00AB1A75" w:rsidRPr="00843C18">
        <w:rPr>
          <w:rFonts w:ascii="黑体" w:eastAsia="黑体" w:hAnsi="黑体" w:hint="eastAsia"/>
          <w:sz w:val="24"/>
          <w:szCs w:val="21"/>
        </w:rPr>
        <w:t>不同情景参数设置</w:t>
      </w:r>
    </w:p>
    <w:tbl>
      <w:tblPr>
        <w:tblW w:w="5000" w:type="pct"/>
        <w:tblLayout w:type="fixed"/>
        <w:tblLook w:val="04A0" w:firstRow="1" w:lastRow="0" w:firstColumn="1" w:lastColumn="0" w:noHBand="0" w:noVBand="1"/>
      </w:tblPr>
      <w:tblGrid>
        <w:gridCol w:w="722"/>
        <w:gridCol w:w="2391"/>
        <w:gridCol w:w="3546"/>
        <w:gridCol w:w="3543"/>
        <w:gridCol w:w="3746"/>
      </w:tblGrid>
      <w:tr w:rsidR="009B7C90" w:rsidRPr="009B7C90" w14:paraId="45C7A06E" w14:textId="77777777" w:rsidTr="00495167">
        <w:trPr>
          <w:trHeight w:val="288"/>
          <w:tblHeader/>
        </w:trPr>
        <w:tc>
          <w:tcPr>
            <w:tcW w:w="2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EC90E9" w14:textId="77777777" w:rsidR="009B7C90" w:rsidRPr="009B7C90" w:rsidRDefault="009B7C90" w:rsidP="009B7C90">
            <w:pPr>
              <w:widowControl/>
              <w:spacing w:line="240" w:lineRule="auto"/>
              <w:ind w:firstLineChars="0" w:firstLine="0"/>
              <w:jc w:val="left"/>
              <w:rPr>
                <w:rFonts w:eastAsia="楷体"/>
                <w:b/>
                <w:bCs/>
                <w:color w:val="000000"/>
                <w:kern w:val="0"/>
                <w:sz w:val="22"/>
              </w:rPr>
            </w:pPr>
            <w:r w:rsidRPr="009B7C90">
              <w:rPr>
                <w:rFonts w:eastAsia="楷体"/>
                <w:b/>
                <w:bCs/>
                <w:color w:val="000000"/>
                <w:kern w:val="0"/>
                <w:sz w:val="22"/>
              </w:rPr>
              <w:t>序号</w:t>
            </w:r>
          </w:p>
        </w:tc>
        <w:tc>
          <w:tcPr>
            <w:tcW w:w="857" w:type="pct"/>
            <w:tcBorders>
              <w:top w:val="single" w:sz="4" w:space="0" w:color="auto"/>
              <w:left w:val="nil"/>
              <w:bottom w:val="single" w:sz="4" w:space="0" w:color="auto"/>
              <w:right w:val="single" w:sz="4" w:space="0" w:color="auto"/>
            </w:tcBorders>
            <w:shd w:val="clear" w:color="auto" w:fill="auto"/>
            <w:noWrap/>
            <w:vAlign w:val="center"/>
            <w:hideMark/>
          </w:tcPr>
          <w:p w14:paraId="247FE74E" w14:textId="77777777" w:rsidR="009B7C90" w:rsidRPr="009B7C90" w:rsidRDefault="009B7C90" w:rsidP="009B7C90">
            <w:pPr>
              <w:widowControl/>
              <w:spacing w:line="240" w:lineRule="auto"/>
              <w:ind w:firstLineChars="0" w:firstLine="0"/>
              <w:jc w:val="left"/>
              <w:rPr>
                <w:rFonts w:eastAsia="楷体"/>
                <w:b/>
                <w:bCs/>
                <w:color w:val="000000"/>
                <w:kern w:val="0"/>
                <w:sz w:val="22"/>
              </w:rPr>
            </w:pPr>
            <w:r w:rsidRPr="009B7C90">
              <w:rPr>
                <w:rFonts w:eastAsia="楷体"/>
                <w:b/>
                <w:bCs/>
                <w:color w:val="000000"/>
                <w:kern w:val="0"/>
                <w:sz w:val="22"/>
              </w:rPr>
              <w:t>参数名称</w:t>
            </w:r>
          </w:p>
        </w:tc>
        <w:tc>
          <w:tcPr>
            <w:tcW w:w="1271" w:type="pct"/>
            <w:tcBorders>
              <w:top w:val="single" w:sz="4" w:space="0" w:color="auto"/>
              <w:left w:val="nil"/>
              <w:bottom w:val="single" w:sz="4" w:space="0" w:color="auto"/>
              <w:right w:val="single" w:sz="4" w:space="0" w:color="auto"/>
            </w:tcBorders>
            <w:shd w:val="clear" w:color="auto" w:fill="auto"/>
            <w:noWrap/>
            <w:vAlign w:val="center"/>
            <w:hideMark/>
          </w:tcPr>
          <w:p w14:paraId="59D958B3" w14:textId="77777777" w:rsidR="009B7C90" w:rsidRPr="009B7C90" w:rsidRDefault="009B7C90" w:rsidP="009B7C90">
            <w:pPr>
              <w:widowControl/>
              <w:spacing w:line="240" w:lineRule="auto"/>
              <w:ind w:firstLineChars="0" w:firstLine="0"/>
              <w:jc w:val="center"/>
              <w:rPr>
                <w:rFonts w:eastAsia="楷体"/>
                <w:b/>
                <w:bCs/>
                <w:color w:val="000000"/>
                <w:kern w:val="0"/>
                <w:sz w:val="22"/>
              </w:rPr>
            </w:pPr>
            <w:r w:rsidRPr="009B7C90">
              <w:rPr>
                <w:rFonts w:eastAsia="楷体"/>
                <w:b/>
                <w:bCs/>
                <w:color w:val="000000"/>
                <w:kern w:val="0"/>
                <w:sz w:val="22"/>
              </w:rPr>
              <w:t>基准情景</w:t>
            </w:r>
          </w:p>
        </w:tc>
        <w:tc>
          <w:tcPr>
            <w:tcW w:w="1270" w:type="pct"/>
            <w:tcBorders>
              <w:top w:val="single" w:sz="4" w:space="0" w:color="auto"/>
              <w:left w:val="nil"/>
              <w:bottom w:val="single" w:sz="4" w:space="0" w:color="auto"/>
              <w:right w:val="single" w:sz="4" w:space="0" w:color="auto"/>
            </w:tcBorders>
            <w:shd w:val="clear" w:color="auto" w:fill="auto"/>
            <w:noWrap/>
            <w:vAlign w:val="center"/>
            <w:hideMark/>
          </w:tcPr>
          <w:p w14:paraId="022CC22B" w14:textId="77777777" w:rsidR="009B7C90" w:rsidRPr="009B7C90" w:rsidRDefault="009B7C90" w:rsidP="009B7C90">
            <w:pPr>
              <w:widowControl/>
              <w:spacing w:line="240" w:lineRule="auto"/>
              <w:ind w:firstLineChars="0" w:firstLine="0"/>
              <w:jc w:val="center"/>
              <w:rPr>
                <w:rFonts w:eastAsia="楷体"/>
                <w:b/>
                <w:bCs/>
                <w:color w:val="000000"/>
                <w:kern w:val="0"/>
                <w:sz w:val="22"/>
              </w:rPr>
            </w:pPr>
            <w:r w:rsidRPr="009B7C90">
              <w:rPr>
                <w:rFonts w:eastAsia="楷体"/>
                <w:b/>
                <w:bCs/>
                <w:color w:val="000000"/>
                <w:kern w:val="0"/>
                <w:sz w:val="22"/>
              </w:rPr>
              <w:t>双碳政策推演情景</w:t>
            </w:r>
          </w:p>
        </w:tc>
        <w:tc>
          <w:tcPr>
            <w:tcW w:w="1343" w:type="pct"/>
            <w:tcBorders>
              <w:top w:val="single" w:sz="4" w:space="0" w:color="auto"/>
              <w:left w:val="nil"/>
              <w:bottom w:val="single" w:sz="4" w:space="0" w:color="auto"/>
              <w:right w:val="single" w:sz="4" w:space="0" w:color="auto"/>
            </w:tcBorders>
            <w:shd w:val="clear" w:color="auto" w:fill="auto"/>
            <w:noWrap/>
            <w:vAlign w:val="center"/>
            <w:hideMark/>
          </w:tcPr>
          <w:p w14:paraId="0A2197C2" w14:textId="77777777" w:rsidR="009B7C90" w:rsidRPr="009B7C90" w:rsidRDefault="009B7C90" w:rsidP="009B7C90">
            <w:pPr>
              <w:widowControl/>
              <w:spacing w:line="240" w:lineRule="auto"/>
              <w:ind w:firstLineChars="0" w:firstLine="0"/>
              <w:jc w:val="center"/>
              <w:rPr>
                <w:rFonts w:eastAsia="楷体"/>
                <w:b/>
                <w:bCs/>
                <w:color w:val="000000"/>
                <w:kern w:val="0"/>
                <w:sz w:val="22"/>
              </w:rPr>
            </w:pPr>
            <w:r w:rsidRPr="009B7C90">
              <w:rPr>
                <w:rFonts w:eastAsia="楷体"/>
                <w:b/>
                <w:bCs/>
                <w:color w:val="000000"/>
                <w:kern w:val="0"/>
                <w:sz w:val="22"/>
              </w:rPr>
              <w:t>激进情景</w:t>
            </w:r>
          </w:p>
        </w:tc>
      </w:tr>
      <w:tr w:rsidR="009B7C90" w:rsidRPr="009B7C90" w14:paraId="5B7EEA31" w14:textId="77777777" w:rsidTr="00AB2B66">
        <w:trPr>
          <w:trHeight w:val="288"/>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16627A37" w14:textId="77777777" w:rsidR="009B7C90" w:rsidRPr="009B7C90" w:rsidRDefault="009B7C90" w:rsidP="009B7C90">
            <w:pPr>
              <w:widowControl/>
              <w:spacing w:line="240" w:lineRule="auto"/>
              <w:ind w:firstLineChars="0" w:firstLine="0"/>
              <w:jc w:val="center"/>
              <w:rPr>
                <w:rFonts w:eastAsia="楷体"/>
                <w:b/>
                <w:bCs/>
                <w:color w:val="000000"/>
                <w:kern w:val="0"/>
                <w:sz w:val="22"/>
              </w:rPr>
            </w:pPr>
            <w:r w:rsidRPr="009B7C90">
              <w:rPr>
                <w:rFonts w:eastAsia="楷体"/>
                <w:b/>
                <w:bCs/>
                <w:color w:val="000000"/>
                <w:kern w:val="0"/>
                <w:sz w:val="22"/>
              </w:rPr>
              <w:t>1</w:t>
            </w:r>
          </w:p>
        </w:tc>
        <w:tc>
          <w:tcPr>
            <w:tcW w:w="4741"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5AF74780" w14:textId="77777777" w:rsidR="009B7C90" w:rsidRPr="009B7C90" w:rsidRDefault="009B7C90" w:rsidP="009B7C90">
            <w:pPr>
              <w:widowControl/>
              <w:spacing w:line="240" w:lineRule="auto"/>
              <w:ind w:firstLineChars="0" w:firstLine="0"/>
              <w:jc w:val="left"/>
              <w:rPr>
                <w:rFonts w:eastAsia="楷体"/>
                <w:b/>
                <w:bCs/>
                <w:color w:val="000000"/>
                <w:kern w:val="0"/>
                <w:sz w:val="22"/>
              </w:rPr>
            </w:pPr>
            <w:r w:rsidRPr="009B7C90">
              <w:rPr>
                <w:rFonts w:eastAsia="楷体"/>
                <w:b/>
                <w:bCs/>
                <w:color w:val="000000"/>
                <w:kern w:val="0"/>
                <w:sz w:val="22"/>
              </w:rPr>
              <w:t>宏观因素</w:t>
            </w:r>
          </w:p>
        </w:tc>
      </w:tr>
      <w:tr w:rsidR="009B7C90" w:rsidRPr="009B7C90" w14:paraId="7DE77144" w14:textId="77777777" w:rsidTr="00AB2C23">
        <w:trPr>
          <w:trHeight w:val="288"/>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2EEB3AD6"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1.1</w:t>
            </w:r>
          </w:p>
        </w:tc>
        <w:tc>
          <w:tcPr>
            <w:tcW w:w="857" w:type="pct"/>
            <w:tcBorders>
              <w:top w:val="nil"/>
              <w:left w:val="nil"/>
              <w:bottom w:val="single" w:sz="4" w:space="0" w:color="auto"/>
              <w:right w:val="single" w:sz="4" w:space="0" w:color="auto"/>
            </w:tcBorders>
            <w:shd w:val="clear" w:color="auto" w:fill="auto"/>
            <w:vAlign w:val="center"/>
            <w:hideMark/>
          </w:tcPr>
          <w:p w14:paraId="113CDFD6" w14:textId="77777777" w:rsidR="009B7C90" w:rsidRPr="009B7C90" w:rsidRDefault="009B7C90" w:rsidP="009B7C90">
            <w:pPr>
              <w:widowControl/>
              <w:spacing w:line="240" w:lineRule="auto"/>
              <w:ind w:firstLineChars="0" w:firstLine="0"/>
              <w:rPr>
                <w:rFonts w:eastAsia="楷体"/>
                <w:color w:val="000000"/>
                <w:kern w:val="0"/>
                <w:sz w:val="22"/>
              </w:rPr>
            </w:pPr>
            <w:r w:rsidRPr="009B7C90">
              <w:rPr>
                <w:rFonts w:eastAsia="楷体"/>
                <w:color w:val="000000"/>
                <w:kern w:val="0"/>
                <w:sz w:val="22"/>
              </w:rPr>
              <w:t>GDP</w:t>
            </w:r>
            <w:r w:rsidRPr="009B7C90">
              <w:rPr>
                <w:rFonts w:eastAsia="楷体"/>
                <w:color w:val="000000"/>
                <w:kern w:val="0"/>
                <w:sz w:val="22"/>
              </w:rPr>
              <w:t>增速</w:t>
            </w:r>
          </w:p>
        </w:tc>
        <w:tc>
          <w:tcPr>
            <w:tcW w:w="3884" w:type="pct"/>
            <w:gridSpan w:val="3"/>
            <w:tcBorders>
              <w:top w:val="single" w:sz="4" w:space="0" w:color="auto"/>
              <w:left w:val="nil"/>
              <w:bottom w:val="single" w:sz="4" w:space="0" w:color="auto"/>
              <w:right w:val="single" w:sz="4" w:space="0" w:color="000000"/>
            </w:tcBorders>
            <w:shd w:val="clear" w:color="auto" w:fill="auto"/>
            <w:hideMark/>
          </w:tcPr>
          <w:p w14:paraId="6763E224"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到</w:t>
            </w:r>
            <w:r w:rsidRPr="009B7C90">
              <w:rPr>
                <w:rFonts w:eastAsia="楷体"/>
                <w:color w:val="000000"/>
                <w:kern w:val="0"/>
                <w:sz w:val="22"/>
              </w:rPr>
              <w:t>2022-2025</w:t>
            </w:r>
            <w:r w:rsidRPr="009B7C90">
              <w:rPr>
                <w:rFonts w:eastAsia="楷体"/>
                <w:color w:val="000000"/>
                <w:kern w:val="0"/>
                <w:sz w:val="22"/>
              </w:rPr>
              <w:t>年按照年均</w:t>
            </w:r>
            <w:r w:rsidRPr="009B7C90">
              <w:rPr>
                <w:rFonts w:eastAsia="楷体"/>
                <w:color w:val="000000"/>
                <w:kern w:val="0"/>
                <w:sz w:val="22"/>
              </w:rPr>
              <w:t>5.2%</w:t>
            </w:r>
            <w:r w:rsidRPr="009B7C90">
              <w:rPr>
                <w:rFonts w:eastAsia="楷体"/>
                <w:color w:val="000000"/>
                <w:kern w:val="0"/>
                <w:sz w:val="22"/>
              </w:rPr>
              <w:t>增长，</w:t>
            </w:r>
            <w:r w:rsidRPr="009B7C90">
              <w:rPr>
                <w:rFonts w:eastAsia="楷体"/>
                <w:color w:val="000000"/>
                <w:kern w:val="0"/>
                <w:sz w:val="22"/>
              </w:rPr>
              <w:t>2026--2035</w:t>
            </w:r>
            <w:r w:rsidRPr="009B7C90">
              <w:rPr>
                <w:rFonts w:eastAsia="楷体"/>
                <w:color w:val="000000"/>
                <w:kern w:val="0"/>
                <w:sz w:val="22"/>
              </w:rPr>
              <w:t>年按照年均</w:t>
            </w:r>
            <w:r w:rsidRPr="009B7C90">
              <w:rPr>
                <w:rFonts w:eastAsia="楷体"/>
                <w:color w:val="000000"/>
                <w:kern w:val="0"/>
                <w:sz w:val="22"/>
              </w:rPr>
              <w:t>4.4%</w:t>
            </w:r>
            <w:r w:rsidRPr="009B7C90">
              <w:rPr>
                <w:rFonts w:eastAsia="楷体"/>
                <w:color w:val="000000"/>
                <w:kern w:val="0"/>
                <w:sz w:val="22"/>
              </w:rPr>
              <w:t>增长，</w:t>
            </w:r>
            <w:r w:rsidRPr="009B7C90">
              <w:rPr>
                <w:rFonts w:eastAsia="楷体"/>
                <w:color w:val="000000"/>
                <w:kern w:val="0"/>
                <w:sz w:val="22"/>
              </w:rPr>
              <w:t>2050-2060</w:t>
            </w:r>
            <w:r w:rsidRPr="009B7C90">
              <w:rPr>
                <w:rFonts w:eastAsia="楷体"/>
                <w:color w:val="000000"/>
                <w:kern w:val="0"/>
                <w:sz w:val="22"/>
              </w:rPr>
              <w:t>年年均增速为</w:t>
            </w:r>
            <w:r w:rsidRPr="009B7C90">
              <w:rPr>
                <w:rFonts w:eastAsia="楷体"/>
                <w:color w:val="000000"/>
                <w:kern w:val="0"/>
                <w:sz w:val="22"/>
              </w:rPr>
              <w:t>1.9%</w:t>
            </w:r>
            <w:r w:rsidRPr="009B7C90">
              <w:rPr>
                <w:rFonts w:eastAsia="楷体"/>
                <w:color w:val="000000"/>
                <w:kern w:val="0"/>
                <w:sz w:val="22"/>
              </w:rPr>
              <w:t>。</w:t>
            </w:r>
          </w:p>
        </w:tc>
      </w:tr>
      <w:tr w:rsidR="009B7C90" w:rsidRPr="009B7C90" w14:paraId="72524884" w14:textId="77777777" w:rsidTr="00AB2C23">
        <w:trPr>
          <w:trHeight w:val="288"/>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32F13703"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1.2</w:t>
            </w:r>
          </w:p>
        </w:tc>
        <w:tc>
          <w:tcPr>
            <w:tcW w:w="857" w:type="pct"/>
            <w:tcBorders>
              <w:top w:val="nil"/>
              <w:left w:val="nil"/>
              <w:bottom w:val="single" w:sz="4" w:space="0" w:color="auto"/>
              <w:right w:val="single" w:sz="4" w:space="0" w:color="auto"/>
            </w:tcBorders>
            <w:shd w:val="clear" w:color="auto" w:fill="auto"/>
            <w:vAlign w:val="center"/>
            <w:hideMark/>
          </w:tcPr>
          <w:p w14:paraId="6AD84AEC" w14:textId="77777777" w:rsidR="009B7C90" w:rsidRPr="009B7C90" w:rsidRDefault="009B7C90" w:rsidP="009B7C90">
            <w:pPr>
              <w:widowControl/>
              <w:spacing w:line="240" w:lineRule="auto"/>
              <w:ind w:firstLineChars="0" w:firstLine="0"/>
              <w:rPr>
                <w:rFonts w:eastAsia="楷体"/>
                <w:color w:val="000000"/>
                <w:kern w:val="0"/>
                <w:sz w:val="22"/>
              </w:rPr>
            </w:pPr>
            <w:r w:rsidRPr="009B7C90">
              <w:rPr>
                <w:rFonts w:eastAsia="楷体"/>
                <w:color w:val="000000"/>
                <w:kern w:val="0"/>
                <w:sz w:val="22"/>
              </w:rPr>
              <w:t>人均</w:t>
            </w:r>
            <w:r w:rsidRPr="009B7C90">
              <w:rPr>
                <w:rFonts w:eastAsia="楷体"/>
                <w:color w:val="000000"/>
                <w:kern w:val="0"/>
                <w:sz w:val="22"/>
              </w:rPr>
              <w:t>GDP</w:t>
            </w:r>
          </w:p>
        </w:tc>
        <w:tc>
          <w:tcPr>
            <w:tcW w:w="3884" w:type="pct"/>
            <w:gridSpan w:val="3"/>
            <w:tcBorders>
              <w:top w:val="single" w:sz="4" w:space="0" w:color="auto"/>
              <w:left w:val="nil"/>
              <w:bottom w:val="single" w:sz="4" w:space="0" w:color="auto"/>
              <w:right w:val="single" w:sz="4" w:space="0" w:color="000000"/>
            </w:tcBorders>
            <w:shd w:val="clear" w:color="auto" w:fill="auto"/>
            <w:hideMark/>
          </w:tcPr>
          <w:p w14:paraId="06BF41F7"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增速与</w:t>
            </w:r>
            <w:r w:rsidRPr="009B7C90">
              <w:rPr>
                <w:rFonts w:eastAsia="楷体"/>
                <w:color w:val="000000"/>
                <w:kern w:val="0"/>
                <w:sz w:val="22"/>
              </w:rPr>
              <w:t>GDP</w:t>
            </w:r>
            <w:r w:rsidRPr="009B7C90">
              <w:rPr>
                <w:rFonts w:eastAsia="楷体"/>
                <w:color w:val="000000"/>
                <w:kern w:val="0"/>
                <w:sz w:val="22"/>
              </w:rPr>
              <w:t>相似，到</w:t>
            </w:r>
            <w:r w:rsidRPr="009B7C90">
              <w:rPr>
                <w:rFonts w:eastAsia="楷体"/>
                <w:color w:val="000000"/>
                <w:kern w:val="0"/>
                <w:sz w:val="22"/>
              </w:rPr>
              <w:t>2025</w:t>
            </w:r>
            <w:r w:rsidRPr="009B7C90">
              <w:rPr>
                <w:rFonts w:eastAsia="楷体"/>
                <w:color w:val="000000"/>
                <w:kern w:val="0"/>
                <w:sz w:val="22"/>
              </w:rPr>
              <w:t>年人均</w:t>
            </w:r>
            <w:r w:rsidRPr="009B7C90">
              <w:rPr>
                <w:rFonts w:eastAsia="楷体"/>
                <w:color w:val="000000"/>
                <w:kern w:val="0"/>
                <w:sz w:val="22"/>
              </w:rPr>
              <w:t>GDP</w:t>
            </w:r>
            <w:r w:rsidRPr="009B7C90">
              <w:rPr>
                <w:rFonts w:eastAsia="楷体"/>
                <w:color w:val="000000"/>
                <w:kern w:val="0"/>
                <w:sz w:val="22"/>
              </w:rPr>
              <w:t>达到</w:t>
            </w:r>
            <w:r w:rsidRPr="009B7C90">
              <w:rPr>
                <w:rFonts w:eastAsia="楷体"/>
                <w:color w:val="000000"/>
                <w:kern w:val="0"/>
                <w:sz w:val="22"/>
              </w:rPr>
              <w:t>9</w:t>
            </w:r>
            <w:r w:rsidRPr="009B7C90">
              <w:rPr>
                <w:rFonts w:eastAsia="楷体"/>
                <w:color w:val="000000"/>
                <w:kern w:val="0"/>
                <w:sz w:val="22"/>
              </w:rPr>
              <w:t>万元，</w:t>
            </w:r>
            <w:r w:rsidRPr="009B7C90">
              <w:rPr>
                <w:rFonts w:eastAsia="楷体"/>
                <w:color w:val="000000"/>
                <w:kern w:val="0"/>
                <w:sz w:val="22"/>
              </w:rPr>
              <w:t>2030</w:t>
            </w:r>
            <w:r w:rsidRPr="009B7C90">
              <w:rPr>
                <w:rFonts w:eastAsia="楷体"/>
                <w:color w:val="000000"/>
                <w:kern w:val="0"/>
                <w:sz w:val="22"/>
              </w:rPr>
              <w:t>年达到</w:t>
            </w:r>
            <w:r w:rsidRPr="009B7C90">
              <w:rPr>
                <w:rFonts w:eastAsia="楷体"/>
                <w:color w:val="000000"/>
                <w:kern w:val="0"/>
                <w:sz w:val="22"/>
              </w:rPr>
              <w:t>10.9</w:t>
            </w:r>
            <w:r w:rsidRPr="009B7C90">
              <w:rPr>
                <w:rFonts w:eastAsia="楷体"/>
                <w:color w:val="000000"/>
                <w:kern w:val="0"/>
                <w:sz w:val="22"/>
              </w:rPr>
              <w:t>万元，</w:t>
            </w:r>
            <w:r w:rsidRPr="009B7C90">
              <w:rPr>
                <w:rFonts w:eastAsia="楷体"/>
                <w:color w:val="000000"/>
                <w:kern w:val="0"/>
                <w:sz w:val="22"/>
              </w:rPr>
              <w:t>2060</w:t>
            </w:r>
            <w:r w:rsidRPr="009B7C90">
              <w:rPr>
                <w:rFonts w:eastAsia="楷体"/>
                <w:color w:val="000000"/>
                <w:kern w:val="0"/>
                <w:sz w:val="22"/>
              </w:rPr>
              <w:t>年达到</w:t>
            </w:r>
            <w:r w:rsidRPr="009B7C90">
              <w:rPr>
                <w:rFonts w:eastAsia="楷体"/>
                <w:color w:val="000000"/>
                <w:kern w:val="0"/>
                <w:sz w:val="22"/>
              </w:rPr>
              <w:t>21.2</w:t>
            </w:r>
            <w:r w:rsidRPr="009B7C90">
              <w:rPr>
                <w:rFonts w:eastAsia="楷体"/>
                <w:color w:val="000000"/>
                <w:kern w:val="0"/>
                <w:sz w:val="22"/>
              </w:rPr>
              <w:t>万元。</w:t>
            </w:r>
          </w:p>
        </w:tc>
      </w:tr>
      <w:tr w:rsidR="009B7C90" w:rsidRPr="009B7C90" w14:paraId="0115F731" w14:textId="77777777" w:rsidTr="00AB2C23">
        <w:trPr>
          <w:trHeight w:val="288"/>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59B4DB19"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1.3</w:t>
            </w:r>
          </w:p>
        </w:tc>
        <w:tc>
          <w:tcPr>
            <w:tcW w:w="857" w:type="pct"/>
            <w:tcBorders>
              <w:top w:val="nil"/>
              <w:left w:val="nil"/>
              <w:bottom w:val="single" w:sz="4" w:space="0" w:color="auto"/>
              <w:right w:val="single" w:sz="4" w:space="0" w:color="auto"/>
            </w:tcBorders>
            <w:shd w:val="clear" w:color="auto" w:fill="auto"/>
            <w:vAlign w:val="bottom"/>
            <w:hideMark/>
          </w:tcPr>
          <w:p w14:paraId="0A4644B2"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城镇化率</w:t>
            </w:r>
          </w:p>
        </w:tc>
        <w:tc>
          <w:tcPr>
            <w:tcW w:w="3884" w:type="pct"/>
            <w:gridSpan w:val="3"/>
            <w:tcBorders>
              <w:top w:val="single" w:sz="4" w:space="0" w:color="auto"/>
              <w:left w:val="nil"/>
              <w:bottom w:val="single" w:sz="4" w:space="0" w:color="auto"/>
              <w:right w:val="single" w:sz="4" w:space="0" w:color="000000"/>
            </w:tcBorders>
            <w:shd w:val="clear" w:color="auto" w:fill="auto"/>
            <w:hideMark/>
          </w:tcPr>
          <w:p w14:paraId="44C628BF"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2025</w:t>
            </w:r>
            <w:r w:rsidRPr="009B7C90">
              <w:rPr>
                <w:rFonts w:eastAsia="楷体"/>
                <w:color w:val="000000"/>
                <w:kern w:val="0"/>
                <w:sz w:val="22"/>
              </w:rPr>
              <w:t>年达</w:t>
            </w:r>
            <w:r w:rsidRPr="009B7C90">
              <w:rPr>
                <w:rFonts w:eastAsia="楷体"/>
                <w:color w:val="000000"/>
                <w:kern w:val="0"/>
                <w:sz w:val="22"/>
              </w:rPr>
              <w:t>65%</w:t>
            </w:r>
            <w:r w:rsidRPr="009B7C90">
              <w:rPr>
                <w:rFonts w:eastAsia="楷体"/>
                <w:color w:val="000000"/>
                <w:kern w:val="0"/>
                <w:sz w:val="22"/>
              </w:rPr>
              <w:t>，</w:t>
            </w:r>
            <w:r w:rsidRPr="009B7C90">
              <w:rPr>
                <w:rFonts w:eastAsia="楷体"/>
                <w:color w:val="000000"/>
                <w:kern w:val="0"/>
                <w:sz w:val="22"/>
              </w:rPr>
              <w:t>2030</w:t>
            </w:r>
            <w:r w:rsidRPr="009B7C90">
              <w:rPr>
                <w:rFonts w:eastAsia="楷体"/>
                <w:color w:val="000000"/>
                <w:kern w:val="0"/>
                <w:sz w:val="22"/>
              </w:rPr>
              <w:t>年达</w:t>
            </w:r>
            <w:r w:rsidRPr="009B7C90">
              <w:rPr>
                <w:rFonts w:eastAsia="楷体"/>
                <w:color w:val="000000"/>
                <w:kern w:val="0"/>
                <w:sz w:val="22"/>
              </w:rPr>
              <w:t>68.7%</w:t>
            </w:r>
            <w:r w:rsidRPr="009B7C90">
              <w:rPr>
                <w:rFonts w:eastAsia="楷体"/>
                <w:color w:val="000000"/>
                <w:kern w:val="0"/>
                <w:sz w:val="22"/>
              </w:rPr>
              <w:t>左右，</w:t>
            </w:r>
            <w:r w:rsidRPr="009B7C90">
              <w:rPr>
                <w:rFonts w:eastAsia="楷体"/>
                <w:color w:val="000000"/>
                <w:kern w:val="0"/>
                <w:sz w:val="22"/>
              </w:rPr>
              <w:t>2060</w:t>
            </w:r>
            <w:r w:rsidRPr="009B7C90">
              <w:rPr>
                <w:rFonts w:eastAsia="楷体"/>
                <w:color w:val="000000"/>
                <w:kern w:val="0"/>
                <w:sz w:val="22"/>
              </w:rPr>
              <w:t>年</w:t>
            </w:r>
            <w:r w:rsidRPr="009B7C90">
              <w:rPr>
                <w:rFonts w:eastAsia="楷体"/>
                <w:color w:val="000000"/>
                <w:kern w:val="0"/>
                <w:sz w:val="22"/>
              </w:rPr>
              <w:t>79%</w:t>
            </w:r>
            <w:r w:rsidRPr="009B7C90">
              <w:rPr>
                <w:rFonts w:eastAsia="楷体"/>
                <w:color w:val="000000"/>
                <w:kern w:val="0"/>
                <w:sz w:val="22"/>
              </w:rPr>
              <w:t>。</w:t>
            </w:r>
          </w:p>
        </w:tc>
      </w:tr>
      <w:tr w:rsidR="009B7C90" w:rsidRPr="009B7C90" w14:paraId="1B90B5D2" w14:textId="77777777" w:rsidTr="00AB2C23">
        <w:trPr>
          <w:trHeight w:val="288"/>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42B8B112"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1.4</w:t>
            </w:r>
          </w:p>
        </w:tc>
        <w:tc>
          <w:tcPr>
            <w:tcW w:w="857" w:type="pct"/>
            <w:tcBorders>
              <w:top w:val="nil"/>
              <w:left w:val="nil"/>
              <w:bottom w:val="single" w:sz="4" w:space="0" w:color="auto"/>
              <w:right w:val="single" w:sz="4" w:space="0" w:color="auto"/>
            </w:tcBorders>
            <w:shd w:val="clear" w:color="auto" w:fill="auto"/>
            <w:vAlign w:val="bottom"/>
            <w:hideMark/>
          </w:tcPr>
          <w:p w14:paraId="426DE811"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第二产业占比</w:t>
            </w:r>
          </w:p>
        </w:tc>
        <w:tc>
          <w:tcPr>
            <w:tcW w:w="3884" w:type="pct"/>
            <w:gridSpan w:val="3"/>
            <w:tcBorders>
              <w:top w:val="single" w:sz="4" w:space="0" w:color="auto"/>
              <w:left w:val="nil"/>
              <w:bottom w:val="single" w:sz="4" w:space="0" w:color="auto"/>
              <w:right w:val="single" w:sz="4" w:space="0" w:color="000000"/>
            </w:tcBorders>
            <w:shd w:val="clear" w:color="auto" w:fill="auto"/>
            <w:hideMark/>
          </w:tcPr>
          <w:p w14:paraId="0D6CA208"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2025</w:t>
            </w:r>
            <w:r w:rsidRPr="009B7C90">
              <w:rPr>
                <w:rFonts w:eastAsia="楷体"/>
                <w:color w:val="000000"/>
                <w:kern w:val="0"/>
                <w:sz w:val="22"/>
              </w:rPr>
              <w:t>年达</w:t>
            </w:r>
            <w:r w:rsidRPr="009B7C90">
              <w:rPr>
                <w:rFonts w:eastAsia="楷体"/>
                <w:color w:val="000000"/>
                <w:kern w:val="0"/>
                <w:sz w:val="22"/>
              </w:rPr>
              <w:t>37.3%</w:t>
            </w:r>
            <w:r w:rsidRPr="009B7C90">
              <w:rPr>
                <w:rFonts w:eastAsia="楷体"/>
                <w:color w:val="000000"/>
                <w:kern w:val="0"/>
                <w:sz w:val="22"/>
              </w:rPr>
              <w:t>，</w:t>
            </w:r>
            <w:r w:rsidRPr="009B7C90">
              <w:rPr>
                <w:rFonts w:eastAsia="楷体"/>
                <w:color w:val="000000"/>
                <w:kern w:val="0"/>
                <w:sz w:val="22"/>
              </w:rPr>
              <w:t>2030</w:t>
            </w:r>
            <w:r w:rsidRPr="009B7C90">
              <w:rPr>
                <w:rFonts w:eastAsia="楷体"/>
                <w:color w:val="000000"/>
                <w:kern w:val="0"/>
                <w:sz w:val="22"/>
              </w:rPr>
              <w:t>年达</w:t>
            </w:r>
            <w:r w:rsidRPr="009B7C90">
              <w:rPr>
                <w:rFonts w:eastAsia="楷体"/>
                <w:color w:val="000000"/>
                <w:kern w:val="0"/>
                <w:sz w:val="22"/>
              </w:rPr>
              <w:t>36.9%</w:t>
            </w:r>
            <w:r w:rsidRPr="009B7C90">
              <w:rPr>
                <w:rFonts w:eastAsia="楷体"/>
                <w:color w:val="000000"/>
                <w:kern w:val="0"/>
                <w:sz w:val="22"/>
              </w:rPr>
              <w:t>左右，</w:t>
            </w:r>
            <w:r w:rsidRPr="009B7C90">
              <w:rPr>
                <w:rFonts w:eastAsia="楷体"/>
                <w:color w:val="000000"/>
                <w:kern w:val="0"/>
                <w:sz w:val="22"/>
              </w:rPr>
              <w:t>2060</w:t>
            </w:r>
            <w:r w:rsidRPr="009B7C90">
              <w:rPr>
                <w:rFonts w:eastAsia="楷体"/>
                <w:color w:val="000000"/>
                <w:kern w:val="0"/>
                <w:sz w:val="22"/>
              </w:rPr>
              <w:t>年</w:t>
            </w:r>
            <w:r w:rsidRPr="009B7C90">
              <w:rPr>
                <w:rFonts w:eastAsia="楷体"/>
                <w:color w:val="000000"/>
                <w:kern w:val="0"/>
                <w:sz w:val="22"/>
              </w:rPr>
              <w:t>30.3%</w:t>
            </w:r>
            <w:r w:rsidRPr="009B7C90">
              <w:rPr>
                <w:rFonts w:eastAsia="楷体"/>
                <w:color w:val="000000"/>
                <w:kern w:val="0"/>
                <w:sz w:val="22"/>
              </w:rPr>
              <w:t>。</w:t>
            </w:r>
          </w:p>
        </w:tc>
      </w:tr>
      <w:tr w:rsidR="009B7C90" w:rsidRPr="009B7C90" w14:paraId="25922DAE" w14:textId="77777777" w:rsidTr="00AB2C23">
        <w:trPr>
          <w:trHeight w:val="288"/>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199BF383"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1.5</w:t>
            </w:r>
          </w:p>
        </w:tc>
        <w:tc>
          <w:tcPr>
            <w:tcW w:w="857" w:type="pct"/>
            <w:tcBorders>
              <w:top w:val="nil"/>
              <w:left w:val="nil"/>
              <w:bottom w:val="single" w:sz="4" w:space="0" w:color="auto"/>
              <w:right w:val="single" w:sz="4" w:space="0" w:color="auto"/>
            </w:tcBorders>
            <w:shd w:val="clear" w:color="auto" w:fill="auto"/>
            <w:vAlign w:val="bottom"/>
            <w:hideMark/>
          </w:tcPr>
          <w:p w14:paraId="0ED9A13D"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人口</w:t>
            </w:r>
          </w:p>
        </w:tc>
        <w:tc>
          <w:tcPr>
            <w:tcW w:w="3884" w:type="pct"/>
            <w:gridSpan w:val="3"/>
            <w:tcBorders>
              <w:top w:val="single" w:sz="4" w:space="0" w:color="auto"/>
              <w:left w:val="nil"/>
              <w:bottom w:val="single" w:sz="4" w:space="0" w:color="auto"/>
              <w:right w:val="single" w:sz="4" w:space="0" w:color="000000"/>
            </w:tcBorders>
            <w:shd w:val="clear" w:color="auto" w:fill="auto"/>
            <w:hideMark/>
          </w:tcPr>
          <w:p w14:paraId="4E0B60EC"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2025</w:t>
            </w:r>
            <w:r w:rsidRPr="009B7C90">
              <w:rPr>
                <w:rFonts w:eastAsia="楷体"/>
                <w:color w:val="000000"/>
                <w:kern w:val="0"/>
                <w:sz w:val="22"/>
              </w:rPr>
              <w:t>年达</w:t>
            </w:r>
            <w:r w:rsidRPr="009B7C90">
              <w:rPr>
                <w:rFonts w:eastAsia="楷体"/>
                <w:color w:val="000000"/>
                <w:kern w:val="0"/>
                <w:sz w:val="22"/>
              </w:rPr>
              <w:t>14.28</w:t>
            </w:r>
            <w:r w:rsidRPr="009B7C90">
              <w:rPr>
                <w:rFonts w:eastAsia="楷体"/>
                <w:color w:val="000000"/>
                <w:kern w:val="0"/>
                <w:sz w:val="22"/>
              </w:rPr>
              <w:t>亿，</w:t>
            </w:r>
            <w:r w:rsidRPr="009B7C90">
              <w:rPr>
                <w:rFonts w:eastAsia="楷体"/>
                <w:color w:val="000000"/>
                <w:kern w:val="0"/>
                <w:sz w:val="22"/>
              </w:rPr>
              <w:t>2030</w:t>
            </w:r>
            <w:r w:rsidRPr="009B7C90">
              <w:rPr>
                <w:rFonts w:eastAsia="楷体"/>
                <w:color w:val="000000"/>
                <w:kern w:val="0"/>
                <w:sz w:val="22"/>
              </w:rPr>
              <w:t>年达</w:t>
            </w:r>
            <w:r w:rsidRPr="009B7C90">
              <w:rPr>
                <w:rFonts w:eastAsia="楷体"/>
                <w:color w:val="000000"/>
                <w:kern w:val="0"/>
                <w:sz w:val="22"/>
              </w:rPr>
              <w:t>14.26</w:t>
            </w:r>
            <w:r w:rsidRPr="009B7C90">
              <w:rPr>
                <w:rFonts w:eastAsia="楷体"/>
                <w:color w:val="000000"/>
                <w:kern w:val="0"/>
                <w:sz w:val="22"/>
              </w:rPr>
              <w:t>亿，</w:t>
            </w:r>
            <w:r w:rsidRPr="009B7C90">
              <w:rPr>
                <w:rFonts w:eastAsia="楷体"/>
                <w:color w:val="000000"/>
                <w:kern w:val="0"/>
                <w:sz w:val="22"/>
              </w:rPr>
              <w:t>2060</w:t>
            </w:r>
            <w:r w:rsidRPr="009B7C90">
              <w:rPr>
                <w:rFonts w:eastAsia="楷体"/>
                <w:color w:val="000000"/>
                <w:kern w:val="0"/>
                <w:sz w:val="22"/>
              </w:rPr>
              <w:t>年</w:t>
            </w:r>
            <w:r w:rsidRPr="009B7C90">
              <w:rPr>
                <w:rFonts w:eastAsia="楷体"/>
                <w:color w:val="000000"/>
                <w:kern w:val="0"/>
                <w:sz w:val="22"/>
              </w:rPr>
              <w:t>11.87</w:t>
            </w:r>
            <w:r w:rsidRPr="009B7C90">
              <w:rPr>
                <w:rFonts w:eastAsia="楷体"/>
                <w:color w:val="000000"/>
                <w:kern w:val="0"/>
                <w:sz w:val="22"/>
              </w:rPr>
              <w:t>亿。</w:t>
            </w:r>
          </w:p>
        </w:tc>
      </w:tr>
      <w:tr w:rsidR="009B7C90" w:rsidRPr="009B7C90" w14:paraId="3B4DE090" w14:textId="77777777" w:rsidTr="00AB2C23">
        <w:trPr>
          <w:trHeight w:val="288"/>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73EF2DEC"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1.6</w:t>
            </w:r>
          </w:p>
        </w:tc>
        <w:tc>
          <w:tcPr>
            <w:tcW w:w="857" w:type="pct"/>
            <w:tcBorders>
              <w:top w:val="nil"/>
              <w:left w:val="nil"/>
              <w:bottom w:val="single" w:sz="4" w:space="0" w:color="auto"/>
              <w:right w:val="single" w:sz="4" w:space="0" w:color="auto"/>
            </w:tcBorders>
            <w:shd w:val="clear" w:color="auto" w:fill="auto"/>
            <w:vAlign w:val="bottom"/>
            <w:hideMark/>
          </w:tcPr>
          <w:p w14:paraId="39C19C0A"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65</w:t>
            </w:r>
            <w:r w:rsidRPr="009B7C90">
              <w:rPr>
                <w:rFonts w:eastAsia="楷体"/>
                <w:color w:val="000000"/>
                <w:kern w:val="0"/>
                <w:sz w:val="22"/>
              </w:rPr>
              <w:t>岁</w:t>
            </w:r>
            <w:r w:rsidRPr="009B7C90">
              <w:rPr>
                <w:rFonts w:eastAsia="楷体"/>
                <w:color w:val="000000"/>
                <w:kern w:val="0"/>
                <w:sz w:val="22"/>
              </w:rPr>
              <w:t>+</w:t>
            </w:r>
            <w:r w:rsidRPr="009B7C90">
              <w:rPr>
                <w:rFonts w:eastAsia="楷体"/>
                <w:color w:val="000000"/>
                <w:kern w:val="0"/>
                <w:sz w:val="22"/>
              </w:rPr>
              <w:t>人口比例</w:t>
            </w:r>
          </w:p>
        </w:tc>
        <w:tc>
          <w:tcPr>
            <w:tcW w:w="3884" w:type="pct"/>
            <w:gridSpan w:val="3"/>
            <w:tcBorders>
              <w:top w:val="single" w:sz="4" w:space="0" w:color="auto"/>
              <w:left w:val="nil"/>
              <w:bottom w:val="single" w:sz="4" w:space="0" w:color="auto"/>
              <w:right w:val="single" w:sz="4" w:space="0" w:color="000000"/>
            </w:tcBorders>
            <w:shd w:val="clear" w:color="auto" w:fill="auto"/>
            <w:hideMark/>
          </w:tcPr>
          <w:p w14:paraId="538BF549"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2025</w:t>
            </w:r>
            <w:r w:rsidRPr="009B7C90">
              <w:rPr>
                <w:rFonts w:eastAsia="楷体"/>
                <w:color w:val="000000"/>
                <w:kern w:val="0"/>
                <w:sz w:val="22"/>
              </w:rPr>
              <w:t>年达</w:t>
            </w:r>
            <w:r w:rsidRPr="009B7C90">
              <w:rPr>
                <w:rFonts w:eastAsia="楷体"/>
                <w:color w:val="000000"/>
                <w:kern w:val="0"/>
                <w:sz w:val="22"/>
              </w:rPr>
              <w:t>15%</w:t>
            </w:r>
            <w:r w:rsidRPr="009B7C90">
              <w:rPr>
                <w:rFonts w:eastAsia="楷体"/>
                <w:color w:val="000000"/>
                <w:kern w:val="0"/>
                <w:sz w:val="22"/>
              </w:rPr>
              <w:t>，</w:t>
            </w:r>
            <w:r w:rsidRPr="009B7C90">
              <w:rPr>
                <w:rFonts w:eastAsia="楷体"/>
                <w:color w:val="000000"/>
                <w:kern w:val="0"/>
                <w:sz w:val="22"/>
              </w:rPr>
              <w:t>2030</w:t>
            </w:r>
            <w:r w:rsidRPr="009B7C90">
              <w:rPr>
                <w:rFonts w:eastAsia="楷体"/>
                <w:color w:val="000000"/>
                <w:kern w:val="0"/>
                <w:sz w:val="22"/>
              </w:rPr>
              <w:t>年达</w:t>
            </w:r>
            <w:r w:rsidRPr="009B7C90">
              <w:rPr>
                <w:rFonts w:eastAsia="楷体"/>
                <w:color w:val="000000"/>
                <w:kern w:val="0"/>
                <w:sz w:val="22"/>
              </w:rPr>
              <w:t>18.9%</w:t>
            </w:r>
            <w:r w:rsidRPr="009B7C90">
              <w:rPr>
                <w:rFonts w:eastAsia="楷体"/>
                <w:color w:val="000000"/>
                <w:kern w:val="0"/>
                <w:sz w:val="22"/>
              </w:rPr>
              <w:t>左右，</w:t>
            </w:r>
            <w:r w:rsidRPr="009B7C90">
              <w:rPr>
                <w:rFonts w:eastAsia="楷体"/>
                <w:color w:val="000000"/>
                <w:kern w:val="0"/>
                <w:sz w:val="22"/>
              </w:rPr>
              <w:t>2060</w:t>
            </w:r>
            <w:r w:rsidRPr="009B7C90">
              <w:rPr>
                <w:rFonts w:eastAsia="楷体"/>
                <w:color w:val="000000"/>
                <w:kern w:val="0"/>
                <w:sz w:val="22"/>
              </w:rPr>
              <w:t>年</w:t>
            </w:r>
            <w:r w:rsidRPr="009B7C90">
              <w:rPr>
                <w:rFonts w:eastAsia="楷体"/>
                <w:color w:val="000000"/>
                <w:kern w:val="0"/>
                <w:sz w:val="22"/>
              </w:rPr>
              <w:t>31.5%</w:t>
            </w:r>
            <w:r w:rsidRPr="009B7C90">
              <w:rPr>
                <w:rFonts w:eastAsia="楷体"/>
                <w:color w:val="000000"/>
                <w:kern w:val="0"/>
                <w:sz w:val="22"/>
              </w:rPr>
              <w:t>。</w:t>
            </w:r>
          </w:p>
        </w:tc>
      </w:tr>
      <w:tr w:rsidR="009B7C90" w:rsidRPr="009B7C90" w14:paraId="64F76E3B" w14:textId="77777777" w:rsidTr="00AB2C23">
        <w:trPr>
          <w:trHeight w:val="288"/>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35ACD57F"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1.7</w:t>
            </w:r>
          </w:p>
        </w:tc>
        <w:tc>
          <w:tcPr>
            <w:tcW w:w="857" w:type="pct"/>
            <w:tcBorders>
              <w:top w:val="nil"/>
              <w:left w:val="nil"/>
              <w:bottom w:val="single" w:sz="4" w:space="0" w:color="auto"/>
              <w:right w:val="single" w:sz="4" w:space="0" w:color="auto"/>
            </w:tcBorders>
            <w:shd w:val="clear" w:color="auto" w:fill="auto"/>
            <w:vAlign w:val="bottom"/>
            <w:hideMark/>
          </w:tcPr>
          <w:p w14:paraId="4287332B"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人均可支配收入</w:t>
            </w:r>
          </w:p>
        </w:tc>
        <w:tc>
          <w:tcPr>
            <w:tcW w:w="3884" w:type="pct"/>
            <w:gridSpan w:val="3"/>
            <w:tcBorders>
              <w:top w:val="single" w:sz="4" w:space="0" w:color="auto"/>
              <w:left w:val="nil"/>
              <w:bottom w:val="single" w:sz="4" w:space="0" w:color="auto"/>
              <w:right w:val="single" w:sz="4" w:space="0" w:color="000000"/>
            </w:tcBorders>
            <w:shd w:val="clear" w:color="auto" w:fill="auto"/>
            <w:hideMark/>
          </w:tcPr>
          <w:p w14:paraId="57C2BDC7"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增速与</w:t>
            </w:r>
            <w:r w:rsidRPr="009B7C90">
              <w:rPr>
                <w:rFonts w:eastAsia="楷体"/>
                <w:color w:val="000000"/>
                <w:kern w:val="0"/>
                <w:sz w:val="22"/>
              </w:rPr>
              <w:t>GDP</w:t>
            </w:r>
            <w:r w:rsidRPr="009B7C90">
              <w:rPr>
                <w:rFonts w:eastAsia="楷体"/>
                <w:color w:val="000000"/>
                <w:kern w:val="0"/>
                <w:sz w:val="22"/>
              </w:rPr>
              <w:t>相似，到</w:t>
            </w:r>
            <w:r w:rsidRPr="009B7C90">
              <w:rPr>
                <w:rFonts w:eastAsia="楷体"/>
                <w:color w:val="000000"/>
                <w:kern w:val="0"/>
                <w:sz w:val="22"/>
              </w:rPr>
              <w:t>2025</w:t>
            </w:r>
            <w:r w:rsidRPr="009B7C90">
              <w:rPr>
                <w:rFonts w:eastAsia="楷体"/>
                <w:color w:val="000000"/>
                <w:kern w:val="0"/>
                <w:sz w:val="22"/>
              </w:rPr>
              <w:t>年达到</w:t>
            </w:r>
            <w:r w:rsidRPr="009B7C90">
              <w:rPr>
                <w:rFonts w:eastAsia="楷体"/>
                <w:color w:val="000000"/>
                <w:kern w:val="0"/>
                <w:sz w:val="22"/>
              </w:rPr>
              <w:t>4.8</w:t>
            </w:r>
            <w:r w:rsidRPr="009B7C90">
              <w:rPr>
                <w:rFonts w:eastAsia="楷体"/>
                <w:color w:val="000000"/>
                <w:kern w:val="0"/>
                <w:sz w:val="22"/>
              </w:rPr>
              <w:t>万元，</w:t>
            </w:r>
            <w:r w:rsidRPr="009B7C90">
              <w:rPr>
                <w:rFonts w:eastAsia="楷体"/>
                <w:color w:val="000000"/>
                <w:kern w:val="0"/>
                <w:sz w:val="22"/>
              </w:rPr>
              <w:t>2030</w:t>
            </w:r>
            <w:r w:rsidRPr="009B7C90">
              <w:rPr>
                <w:rFonts w:eastAsia="楷体"/>
                <w:color w:val="000000"/>
                <w:kern w:val="0"/>
                <w:sz w:val="22"/>
              </w:rPr>
              <w:t>年达到</w:t>
            </w:r>
            <w:r w:rsidRPr="009B7C90">
              <w:rPr>
                <w:rFonts w:eastAsia="楷体"/>
                <w:color w:val="000000"/>
                <w:kern w:val="0"/>
                <w:sz w:val="22"/>
              </w:rPr>
              <w:t>6</w:t>
            </w:r>
            <w:r w:rsidRPr="009B7C90">
              <w:rPr>
                <w:rFonts w:eastAsia="楷体"/>
                <w:color w:val="000000"/>
                <w:kern w:val="0"/>
                <w:sz w:val="22"/>
              </w:rPr>
              <w:t>万元，</w:t>
            </w:r>
            <w:r w:rsidRPr="009B7C90">
              <w:rPr>
                <w:rFonts w:eastAsia="楷体"/>
                <w:color w:val="000000"/>
                <w:kern w:val="0"/>
                <w:sz w:val="22"/>
              </w:rPr>
              <w:t>2060</w:t>
            </w:r>
            <w:r w:rsidRPr="009B7C90">
              <w:rPr>
                <w:rFonts w:eastAsia="楷体"/>
                <w:color w:val="000000"/>
                <w:kern w:val="0"/>
                <w:sz w:val="22"/>
              </w:rPr>
              <w:t>年达到</w:t>
            </w:r>
            <w:r w:rsidRPr="009B7C90">
              <w:rPr>
                <w:rFonts w:eastAsia="楷体"/>
                <w:color w:val="000000"/>
                <w:kern w:val="0"/>
                <w:sz w:val="22"/>
              </w:rPr>
              <w:t>12.9</w:t>
            </w:r>
            <w:r w:rsidRPr="009B7C90">
              <w:rPr>
                <w:rFonts w:eastAsia="楷体"/>
                <w:color w:val="000000"/>
                <w:kern w:val="0"/>
                <w:sz w:val="22"/>
              </w:rPr>
              <w:t>万元。</w:t>
            </w:r>
          </w:p>
        </w:tc>
      </w:tr>
      <w:tr w:rsidR="009B7C90" w:rsidRPr="009B7C90" w14:paraId="233B6913" w14:textId="77777777" w:rsidTr="00AB2C23">
        <w:trPr>
          <w:trHeight w:val="288"/>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034CBFB4"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1.8</w:t>
            </w:r>
          </w:p>
        </w:tc>
        <w:tc>
          <w:tcPr>
            <w:tcW w:w="857" w:type="pct"/>
            <w:tcBorders>
              <w:top w:val="nil"/>
              <w:left w:val="nil"/>
              <w:bottom w:val="single" w:sz="4" w:space="0" w:color="auto"/>
              <w:right w:val="single" w:sz="4" w:space="0" w:color="auto"/>
            </w:tcBorders>
            <w:shd w:val="clear" w:color="auto" w:fill="auto"/>
            <w:vAlign w:val="bottom"/>
            <w:hideMark/>
          </w:tcPr>
          <w:p w14:paraId="32630FF1"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网上零售占社会消费品零售总额比例</w:t>
            </w:r>
          </w:p>
        </w:tc>
        <w:tc>
          <w:tcPr>
            <w:tcW w:w="3884" w:type="pct"/>
            <w:gridSpan w:val="3"/>
            <w:tcBorders>
              <w:top w:val="single" w:sz="4" w:space="0" w:color="auto"/>
              <w:left w:val="nil"/>
              <w:bottom w:val="single" w:sz="4" w:space="0" w:color="auto"/>
              <w:right w:val="single" w:sz="4" w:space="0" w:color="000000"/>
            </w:tcBorders>
            <w:shd w:val="clear" w:color="auto" w:fill="auto"/>
            <w:hideMark/>
          </w:tcPr>
          <w:p w14:paraId="1D676932"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2025</w:t>
            </w:r>
            <w:r w:rsidRPr="009B7C90">
              <w:rPr>
                <w:rFonts w:eastAsia="楷体"/>
                <w:color w:val="000000"/>
                <w:kern w:val="0"/>
                <w:sz w:val="22"/>
              </w:rPr>
              <w:t>年达</w:t>
            </w:r>
            <w:r w:rsidRPr="009B7C90">
              <w:rPr>
                <w:rFonts w:eastAsia="楷体"/>
                <w:color w:val="000000"/>
                <w:kern w:val="0"/>
                <w:sz w:val="22"/>
              </w:rPr>
              <w:t>30%</w:t>
            </w:r>
            <w:r w:rsidRPr="009B7C90">
              <w:rPr>
                <w:rFonts w:eastAsia="楷体"/>
                <w:color w:val="000000"/>
                <w:kern w:val="0"/>
                <w:sz w:val="22"/>
              </w:rPr>
              <w:t>，</w:t>
            </w:r>
            <w:r w:rsidRPr="009B7C90">
              <w:rPr>
                <w:rFonts w:eastAsia="楷体"/>
                <w:color w:val="000000"/>
                <w:kern w:val="0"/>
                <w:sz w:val="22"/>
              </w:rPr>
              <w:t>2030</w:t>
            </w:r>
            <w:r w:rsidRPr="009B7C90">
              <w:rPr>
                <w:rFonts w:eastAsia="楷体"/>
                <w:color w:val="000000"/>
                <w:kern w:val="0"/>
                <w:sz w:val="22"/>
              </w:rPr>
              <w:t>年达</w:t>
            </w:r>
            <w:r w:rsidRPr="009B7C90">
              <w:rPr>
                <w:rFonts w:eastAsia="楷体"/>
                <w:color w:val="000000"/>
                <w:kern w:val="0"/>
                <w:sz w:val="22"/>
              </w:rPr>
              <w:t>35.2%</w:t>
            </w:r>
            <w:r w:rsidRPr="009B7C90">
              <w:rPr>
                <w:rFonts w:eastAsia="楷体"/>
                <w:color w:val="000000"/>
                <w:kern w:val="0"/>
                <w:sz w:val="22"/>
              </w:rPr>
              <w:t>左右，</w:t>
            </w:r>
            <w:r w:rsidRPr="009B7C90">
              <w:rPr>
                <w:rFonts w:eastAsia="楷体"/>
                <w:color w:val="000000"/>
                <w:kern w:val="0"/>
                <w:sz w:val="22"/>
              </w:rPr>
              <w:t>2060</w:t>
            </w:r>
            <w:r w:rsidRPr="009B7C90">
              <w:rPr>
                <w:rFonts w:eastAsia="楷体"/>
                <w:color w:val="000000"/>
                <w:kern w:val="0"/>
                <w:sz w:val="22"/>
              </w:rPr>
              <w:t>年</w:t>
            </w:r>
            <w:r w:rsidRPr="009B7C90">
              <w:rPr>
                <w:rFonts w:eastAsia="楷体"/>
                <w:color w:val="000000"/>
                <w:kern w:val="0"/>
                <w:sz w:val="22"/>
              </w:rPr>
              <w:t>54.48%</w:t>
            </w:r>
            <w:r w:rsidRPr="009B7C90">
              <w:rPr>
                <w:rFonts w:eastAsia="楷体"/>
                <w:color w:val="000000"/>
                <w:kern w:val="0"/>
                <w:sz w:val="22"/>
              </w:rPr>
              <w:t>。</w:t>
            </w:r>
          </w:p>
        </w:tc>
      </w:tr>
      <w:tr w:rsidR="009B7C90" w:rsidRPr="009B7C90" w14:paraId="26871EB0" w14:textId="77777777" w:rsidTr="00AB2B66">
        <w:trPr>
          <w:trHeight w:val="288"/>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393AC370" w14:textId="77777777" w:rsidR="009B7C90" w:rsidRPr="009B7C90" w:rsidRDefault="009B7C90" w:rsidP="009B7C90">
            <w:pPr>
              <w:widowControl/>
              <w:spacing w:line="240" w:lineRule="auto"/>
              <w:ind w:firstLineChars="0" w:firstLine="0"/>
              <w:jc w:val="center"/>
              <w:rPr>
                <w:rFonts w:eastAsia="楷体"/>
                <w:b/>
                <w:bCs/>
                <w:color w:val="000000"/>
                <w:kern w:val="0"/>
                <w:sz w:val="22"/>
              </w:rPr>
            </w:pPr>
            <w:r w:rsidRPr="009B7C90">
              <w:rPr>
                <w:rFonts w:eastAsia="楷体"/>
                <w:b/>
                <w:bCs/>
                <w:color w:val="000000"/>
                <w:kern w:val="0"/>
                <w:sz w:val="22"/>
              </w:rPr>
              <w:t>2</w:t>
            </w:r>
          </w:p>
        </w:tc>
        <w:tc>
          <w:tcPr>
            <w:tcW w:w="4741"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1E6868BF" w14:textId="77777777" w:rsidR="009B7C90" w:rsidRPr="009B7C90" w:rsidRDefault="009B7C90" w:rsidP="009B7C90">
            <w:pPr>
              <w:widowControl/>
              <w:spacing w:line="240" w:lineRule="auto"/>
              <w:ind w:firstLineChars="0" w:firstLine="0"/>
              <w:jc w:val="left"/>
              <w:rPr>
                <w:rFonts w:eastAsia="楷体"/>
                <w:b/>
                <w:bCs/>
                <w:color w:val="000000"/>
                <w:kern w:val="0"/>
                <w:sz w:val="22"/>
              </w:rPr>
            </w:pPr>
            <w:r w:rsidRPr="009B7C90">
              <w:rPr>
                <w:rFonts w:eastAsia="楷体"/>
                <w:b/>
                <w:bCs/>
                <w:color w:val="000000"/>
                <w:kern w:val="0"/>
                <w:sz w:val="22"/>
              </w:rPr>
              <w:t>结构因素</w:t>
            </w:r>
          </w:p>
        </w:tc>
      </w:tr>
      <w:tr w:rsidR="009B7C90" w:rsidRPr="009B7C90" w14:paraId="4C286442" w14:textId="77777777" w:rsidTr="00AB2B66">
        <w:trPr>
          <w:trHeight w:val="288"/>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28B0FB5D" w14:textId="77777777" w:rsidR="009B7C90" w:rsidRPr="009B7C90" w:rsidRDefault="009B7C90" w:rsidP="009B7C90">
            <w:pPr>
              <w:widowControl/>
              <w:spacing w:line="240" w:lineRule="auto"/>
              <w:ind w:firstLineChars="0" w:firstLine="0"/>
              <w:jc w:val="center"/>
              <w:rPr>
                <w:rFonts w:eastAsia="楷体"/>
                <w:b/>
                <w:bCs/>
                <w:color w:val="000000"/>
                <w:kern w:val="0"/>
                <w:sz w:val="22"/>
              </w:rPr>
            </w:pPr>
            <w:r w:rsidRPr="009B7C90">
              <w:rPr>
                <w:rFonts w:eastAsia="楷体"/>
                <w:b/>
                <w:bCs/>
                <w:color w:val="000000"/>
                <w:kern w:val="0"/>
                <w:sz w:val="22"/>
              </w:rPr>
              <w:t>2.1</w:t>
            </w:r>
          </w:p>
        </w:tc>
        <w:tc>
          <w:tcPr>
            <w:tcW w:w="4741"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28A7E5D2" w14:textId="77777777" w:rsidR="009B7C90" w:rsidRPr="009B7C90" w:rsidRDefault="009B7C90" w:rsidP="009B7C90">
            <w:pPr>
              <w:widowControl/>
              <w:spacing w:line="240" w:lineRule="auto"/>
              <w:ind w:firstLineChars="0" w:firstLine="0"/>
              <w:jc w:val="left"/>
              <w:rPr>
                <w:rFonts w:eastAsia="楷体"/>
                <w:b/>
                <w:bCs/>
                <w:color w:val="000000"/>
                <w:kern w:val="0"/>
                <w:sz w:val="22"/>
              </w:rPr>
            </w:pPr>
            <w:r w:rsidRPr="009B7C90">
              <w:rPr>
                <w:rFonts w:eastAsia="楷体"/>
                <w:b/>
                <w:bCs/>
                <w:color w:val="000000"/>
                <w:kern w:val="0"/>
                <w:sz w:val="22"/>
              </w:rPr>
              <w:t>货物运输结构优化</w:t>
            </w:r>
          </w:p>
        </w:tc>
      </w:tr>
      <w:tr w:rsidR="009B7C90" w:rsidRPr="009B7C90" w14:paraId="5D1266FB" w14:textId="77777777" w:rsidTr="00495167">
        <w:trPr>
          <w:trHeight w:val="864"/>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449B0FF1"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2.1.1</w:t>
            </w:r>
          </w:p>
        </w:tc>
        <w:tc>
          <w:tcPr>
            <w:tcW w:w="857" w:type="pct"/>
            <w:tcBorders>
              <w:top w:val="nil"/>
              <w:left w:val="nil"/>
              <w:bottom w:val="single" w:sz="4" w:space="0" w:color="auto"/>
              <w:right w:val="single" w:sz="4" w:space="0" w:color="auto"/>
            </w:tcBorders>
            <w:shd w:val="clear" w:color="auto" w:fill="auto"/>
            <w:noWrap/>
            <w:vAlign w:val="center"/>
            <w:hideMark/>
          </w:tcPr>
          <w:p w14:paraId="0BBF73D6"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从公路到铁路货运的模式转变</w:t>
            </w:r>
          </w:p>
        </w:tc>
        <w:tc>
          <w:tcPr>
            <w:tcW w:w="1271" w:type="pct"/>
            <w:tcBorders>
              <w:top w:val="nil"/>
              <w:left w:val="nil"/>
              <w:bottom w:val="single" w:sz="4" w:space="0" w:color="auto"/>
              <w:right w:val="single" w:sz="4" w:space="0" w:color="auto"/>
            </w:tcBorders>
            <w:shd w:val="clear" w:color="auto" w:fill="auto"/>
            <w:noWrap/>
            <w:vAlign w:val="center"/>
            <w:hideMark/>
          </w:tcPr>
          <w:p w14:paraId="4ACB7FB4"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无</w:t>
            </w:r>
          </w:p>
        </w:tc>
        <w:tc>
          <w:tcPr>
            <w:tcW w:w="1270" w:type="pct"/>
            <w:tcBorders>
              <w:top w:val="nil"/>
              <w:left w:val="nil"/>
              <w:bottom w:val="single" w:sz="4" w:space="0" w:color="auto"/>
              <w:right w:val="single" w:sz="4" w:space="0" w:color="auto"/>
            </w:tcBorders>
            <w:shd w:val="clear" w:color="auto" w:fill="auto"/>
            <w:vAlign w:val="center"/>
            <w:hideMark/>
          </w:tcPr>
          <w:p w14:paraId="7BEF079C" w14:textId="4B973960"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相比于</w:t>
            </w:r>
            <w:r w:rsidRPr="009B7C90">
              <w:rPr>
                <w:rFonts w:eastAsia="楷体"/>
                <w:color w:val="000000"/>
                <w:kern w:val="0"/>
                <w:sz w:val="22"/>
              </w:rPr>
              <w:t>2020</w:t>
            </w:r>
            <w:r w:rsidRPr="009B7C90">
              <w:rPr>
                <w:rFonts w:eastAsia="楷体"/>
                <w:color w:val="000000"/>
                <w:kern w:val="0"/>
                <w:sz w:val="22"/>
              </w:rPr>
              <w:t>年，</w:t>
            </w:r>
            <w:r w:rsidRPr="009B7C90">
              <w:rPr>
                <w:rFonts w:eastAsia="楷体"/>
                <w:color w:val="000000"/>
                <w:kern w:val="0"/>
                <w:sz w:val="22"/>
              </w:rPr>
              <w:t>2025</w:t>
            </w:r>
            <w:r w:rsidRPr="009B7C90">
              <w:rPr>
                <w:rFonts w:eastAsia="楷体"/>
                <w:color w:val="000000"/>
                <w:kern w:val="0"/>
                <w:sz w:val="22"/>
              </w:rPr>
              <w:t>年、</w:t>
            </w:r>
            <w:r w:rsidRPr="009B7C90">
              <w:rPr>
                <w:rFonts w:eastAsia="楷体"/>
                <w:color w:val="000000"/>
                <w:kern w:val="0"/>
                <w:sz w:val="22"/>
              </w:rPr>
              <w:t>2030</w:t>
            </w:r>
            <w:r w:rsidRPr="009B7C90">
              <w:rPr>
                <w:rFonts w:eastAsia="楷体"/>
                <w:color w:val="000000"/>
                <w:kern w:val="0"/>
                <w:sz w:val="22"/>
              </w:rPr>
              <w:t>年、</w:t>
            </w:r>
            <w:r w:rsidRPr="009B7C90">
              <w:rPr>
                <w:rFonts w:eastAsia="楷体"/>
                <w:color w:val="000000"/>
                <w:kern w:val="0"/>
                <w:sz w:val="22"/>
              </w:rPr>
              <w:t>2060</w:t>
            </w:r>
            <w:r w:rsidRPr="009B7C90">
              <w:rPr>
                <w:rFonts w:eastAsia="楷体"/>
                <w:color w:val="000000"/>
                <w:kern w:val="0"/>
                <w:sz w:val="22"/>
              </w:rPr>
              <w:t>年铁路货运量分别增长</w:t>
            </w:r>
            <w:r w:rsidR="007C1993">
              <w:rPr>
                <w:rFonts w:eastAsia="楷体"/>
                <w:color w:val="000000"/>
                <w:kern w:val="0"/>
                <w:sz w:val="22"/>
              </w:rPr>
              <w:t>6</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w:t>
            </w:r>
            <w:r w:rsidRPr="009B7C90">
              <w:rPr>
                <w:rFonts w:eastAsia="楷体"/>
                <w:color w:val="000000"/>
                <w:kern w:val="0"/>
                <w:sz w:val="22"/>
              </w:rPr>
              <w:t>1</w:t>
            </w:r>
            <w:r w:rsidR="007C1993">
              <w:rPr>
                <w:rFonts w:eastAsia="楷体"/>
                <w:color w:val="000000"/>
                <w:kern w:val="0"/>
                <w:sz w:val="22"/>
              </w:rPr>
              <w:t>0</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和</w:t>
            </w:r>
            <w:r w:rsidRPr="009B7C90">
              <w:rPr>
                <w:rFonts w:eastAsia="楷体"/>
                <w:color w:val="000000"/>
                <w:kern w:val="0"/>
                <w:sz w:val="22"/>
              </w:rPr>
              <w:t>2</w:t>
            </w:r>
            <w:r w:rsidR="007C1993">
              <w:rPr>
                <w:rFonts w:eastAsia="楷体"/>
                <w:color w:val="000000"/>
                <w:kern w:val="0"/>
                <w:sz w:val="22"/>
              </w:rPr>
              <w:t>5</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w:t>
            </w:r>
          </w:p>
        </w:tc>
        <w:tc>
          <w:tcPr>
            <w:tcW w:w="1343" w:type="pct"/>
            <w:tcBorders>
              <w:top w:val="nil"/>
              <w:left w:val="nil"/>
              <w:bottom w:val="single" w:sz="4" w:space="0" w:color="auto"/>
              <w:right w:val="single" w:sz="4" w:space="0" w:color="auto"/>
            </w:tcBorders>
            <w:shd w:val="clear" w:color="auto" w:fill="auto"/>
            <w:vAlign w:val="center"/>
            <w:hideMark/>
          </w:tcPr>
          <w:p w14:paraId="1C03E91B" w14:textId="4F00F096"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相比于</w:t>
            </w:r>
            <w:r w:rsidRPr="009B7C90">
              <w:rPr>
                <w:rFonts w:eastAsia="楷体"/>
                <w:color w:val="000000"/>
                <w:kern w:val="0"/>
                <w:sz w:val="22"/>
              </w:rPr>
              <w:t>2020</w:t>
            </w:r>
            <w:r w:rsidRPr="009B7C90">
              <w:rPr>
                <w:rFonts w:eastAsia="楷体"/>
                <w:color w:val="000000"/>
                <w:kern w:val="0"/>
                <w:sz w:val="22"/>
              </w:rPr>
              <w:t>年，</w:t>
            </w:r>
            <w:r w:rsidRPr="009B7C90">
              <w:rPr>
                <w:rFonts w:eastAsia="楷体"/>
                <w:color w:val="000000"/>
                <w:kern w:val="0"/>
                <w:sz w:val="22"/>
              </w:rPr>
              <w:t>2025</w:t>
            </w:r>
            <w:r w:rsidRPr="009B7C90">
              <w:rPr>
                <w:rFonts w:eastAsia="楷体"/>
                <w:color w:val="000000"/>
                <w:kern w:val="0"/>
                <w:sz w:val="22"/>
              </w:rPr>
              <w:t>年、</w:t>
            </w:r>
            <w:r w:rsidRPr="009B7C90">
              <w:rPr>
                <w:rFonts w:eastAsia="楷体"/>
                <w:color w:val="000000"/>
                <w:kern w:val="0"/>
                <w:sz w:val="22"/>
              </w:rPr>
              <w:t>2030</w:t>
            </w:r>
            <w:r w:rsidRPr="009B7C90">
              <w:rPr>
                <w:rFonts w:eastAsia="楷体"/>
                <w:color w:val="000000"/>
                <w:kern w:val="0"/>
                <w:sz w:val="22"/>
              </w:rPr>
              <w:t>年、</w:t>
            </w:r>
            <w:r w:rsidRPr="009B7C90">
              <w:rPr>
                <w:rFonts w:eastAsia="楷体"/>
                <w:color w:val="000000"/>
                <w:kern w:val="0"/>
                <w:sz w:val="22"/>
              </w:rPr>
              <w:t>2060</w:t>
            </w:r>
            <w:r w:rsidRPr="009B7C90">
              <w:rPr>
                <w:rFonts w:eastAsia="楷体"/>
                <w:color w:val="000000"/>
                <w:kern w:val="0"/>
                <w:sz w:val="22"/>
              </w:rPr>
              <w:t>年铁路货运量分别增长</w:t>
            </w:r>
            <w:r w:rsidRPr="009B7C90">
              <w:rPr>
                <w:rFonts w:eastAsia="楷体"/>
                <w:color w:val="000000"/>
                <w:kern w:val="0"/>
                <w:sz w:val="22"/>
              </w:rPr>
              <w:t>10</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w:t>
            </w:r>
            <w:r w:rsidR="007C1993">
              <w:rPr>
                <w:rFonts w:eastAsia="楷体"/>
                <w:color w:val="000000"/>
                <w:kern w:val="0"/>
                <w:sz w:val="22"/>
              </w:rPr>
              <w:t>15</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和</w:t>
            </w:r>
            <w:r w:rsidRPr="009B7C90">
              <w:rPr>
                <w:rFonts w:eastAsia="楷体"/>
                <w:color w:val="000000"/>
                <w:kern w:val="0"/>
                <w:sz w:val="22"/>
              </w:rPr>
              <w:t>3</w:t>
            </w:r>
            <w:r w:rsidR="00204D74">
              <w:rPr>
                <w:rFonts w:eastAsia="楷体"/>
                <w:color w:val="000000"/>
                <w:kern w:val="0"/>
                <w:sz w:val="22"/>
              </w:rPr>
              <w:t>5</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w:t>
            </w:r>
          </w:p>
        </w:tc>
      </w:tr>
      <w:tr w:rsidR="009B7C90" w:rsidRPr="009B7C90" w14:paraId="48F22916" w14:textId="77777777" w:rsidTr="00495167">
        <w:trPr>
          <w:trHeight w:val="864"/>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2605918A"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2.1.2</w:t>
            </w:r>
          </w:p>
        </w:tc>
        <w:tc>
          <w:tcPr>
            <w:tcW w:w="857" w:type="pct"/>
            <w:tcBorders>
              <w:top w:val="nil"/>
              <w:left w:val="nil"/>
              <w:bottom w:val="single" w:sz="4" w:space="0" w:color="auto"/>
              <w:right w:val="single" w:sz="4" w:space="0" w:color="auto"/>
            </w:tcBorders>
            <w:shd w:val="clear" w:color="auto" w:fill="auto"/>
            <w:noWrap/>
            <w:vAlign w:val="center"/>
            <w:hideMark/>
          </w:tcPr>
          <w:p w14:paraId="3EAD1341"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从公路到内河货运的模式转变</w:t>
            </w:r>
          </w:p>
        </w:tc>
        <w:tc>
          <w:tcPr>
            <w:tcW w:w="1271" w:type="pct"/>
            <w:tcBorders>
              <w:top w:val="nil"/>
              <w:left w:val="nil"/>
              <w:bottom w:val="single" w:sz="4" w:space="0" w:color="auto"/>
              <w:right w:val="single" w:sz="4" w:space="0" w:color="auto"/>
            </w:tcBorders>
            <w:shd w:val="clear" w:color="auto" w:fill="auto"/>
            <w:noWrap/>
            <w:vAlign w:val="center"/>
            <w:hideMark/>
          </w:tcPr>
          <w:p w14:paraId="10C88054"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无</w:t>
            </w:r>
          </w:p>
        </w:tc>
        <w:tc>
          <w:tcPr>
            <w:tcW w:w="1270" w:type="pct"/>
            <w:tcBorders>
              <w:top w:val="nil"/>
              <w:left w:val="nil"/>
              <w:bottom w:val="single" w:sz="4" w:space="0" w:color="auto"/>
              <w:right w:val="single" w:sz="4" w:space="0" w:color="auto"/>
            </w:tcBorders>
            <w:shd w:val="clear" w:color="auto" w:fill="auto"/>
            <w:vAlign w:val="center"/>
            <w:hideMark/>
          </w:tcPr>
          <w:p w14:paraId="76EFD694" w14:textId="5FEE1F3E"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相比于</w:t>
            </w:r>
            <w:r w:rsidRPr="009B7C90">
              <w:rPr>
                <w:rFonts w:eastAsia="楷体"/>
                <w:color w:val="000000"/>
                <w:kern w:val="0"/>
                <w:sz w:val="22"/>
              </w:rPr>
              <w:t>2020</w:t>
            </w:r>
            <w:r w:rsidRPr="009B7C90">
              <w:rPr>
                <w:rFonts w:eastAsia="楷体"/>
                <w:color w:val="000000"/>
                <w:kern w:val="0"/>
                <w:sz w:val="22"/>
              </w:rPr>
              <w:t>年，</w:t>
            </w:r>
            <w:r w:rsidRPr="009B7C90">
              <w:rPr>
                <w:rFonts w:eastAsia="楷体"/>
                <w:color w:val="000000"/>
                <w:kern w:val="0"/>
                <w:sz w:val="22"/>
              </w:rPr>
              <w:t>2025</w:t>
            </w:r>
            <w:r w:rsidRPr="009B7C90">
              <w:rPr>
                <w:rFonts w:eastAsia="楷体"/>
                <w:color w:val="000000"/>
                <w:kern w:val="0"/>
                <w:sz w:val="22"/>
              </w:rPr>
              <w:t>年、</w:t>
            </w:r>
            <w:r w:rsidRPr="009B7C90">
              <w:rPr>
                <w:rFonts w:eastAsia="楷体"/>
                <w:color w:val="000000"/>
                <w:kern w:val="0"/>
                <w:sz w:val="22"/>
              </w:rPr>
              <w:t>2030</w:t>
            </w:r>
            <w:r w:rsidRPr="009B7C90">
              <w:rPr>
                <w:rFonts w:eastAsia="楷体"/>
                <w:color w:val="000000"/>
                <w:kern w:val="0"/>
                <w:sz w:val="22"/>
              </w:rPr>
              <w:t>年、</w:t>
            </w:r>
            <w:r w:rsidRPr="009B7C90">
              <w:rPr>
                <w:rFonts w:eastAsia="楷体"/>
                <w:color w:val="000000"/>
                <w:kern w:val="0"/>
                <w:sz w:val="22"/>
              </w:rPr>
              <w:t>2060</w:t>
            </w:r>
            <w:r w:rsidRPr="009B7C90">
              <w:rPr>
                <w:rFonts w:eastAsia="楷体"/>
                <w:color w:val="000000"/>
                <w:kern w:val="0"/>
                <w:sz w:val="22"/>
              </w:rPr>
              <w:t>年内河货运量分别增长</w:t>
            </w:r>
            <w:r w:rsidR="007C1993">
              <w:rPr>
                <w:rFonts w:eastAsia="楷体"/>
                <w:color w:val="000000"/>
                <w:kern w:val="0"/>
                <w:sz w:val="22"/>
              </w:rPr>
              <w:t>4</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w:t>
            </w:r>
            <w:r w:rsidR="007C1993">
              <w:rPr>
                <w:rFonts w:eastAsia="楷体"/>
                <w:color w:val="000000"/>
                <w:kern w:val="0"/>
                <w:sz w:val="22"/>
              </w:rPr>
              <w:t>8</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和</w:t>
            </w:r>
            <w:r w:rsidRPr="009B7C90">
              <w:rPr>
                <w:rFonts w:eastAsia="楷体"/>
                <w:color w:val="000000"/>
                <w:kern w:val="0"/>
                <w:sz w:val="22"/>
              </w:rPr>
              <w:t>2</w:t>
            </w:r>
            <w:r w:rsidR="007C1993">
              <w:rPr>
                <w:rFonts w:eastAsia="楷体"/>
                <w:color w:val="000000"/>
                <w:kern w:val="0"/>
                <w:sz w:val="22"/>
              </w:rPr>
              <w:t>0</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w:t>
            </w:r>
          </w:p>
        </w:tc>
        <w:tc>
          <w:tcPr>
            <w:tcW w:w="1343" w:type="pct"/>
            <w:tcBorders>
              <w:top w:val="nil"/>
              <w:left w:val="nil"/>
              <w:bottom w:val="single" w:sz="4" w:space="0" w:color="auto"/>
              <w:right w:val="single" w:sz="4" w:space="0" w:color="auto"/>
            </w:tcBorders>
            <w:shd w:val="clear" w:color="auto" w:fill="auto"/>
            <w:vAlign w:val="center"/>
            <w:hideMark/>
          </w:tcPr>
          <w:p w14:paraId="6A07D137" w14:textId="6F9D6D14"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相比于</w:t>
            </w:r>
            <w:r w:rsidRPr="009B7C90">
              <w:rPr>
                <w:rFonts w:eastAsia="楷体"/>
                <w:color w:val="000000"/>
                <w:kern w:val="0"/>
                <w:sz w:val="22"/>
              </w:rPr>
              <w:t>2020</w:t>
            </w:r>
            <w:r w:rsidRPr="009B7C90">
              <w:rPr>
                <w:rFonts w:eastAsia="楷体"/>
                <w:color w:val="000000"/>
                <w:kern w:val="0"/>
                <w:sz w:val="22"/>
              </w:rPr>
              <w:t>年，</w:t>
            </w:r>
            <w:r w:rsidRPr="009B7C90">
              <w:rPr>
                <w:rFonts w:eastAsia="楷体"/>
                <w:color w:val="000000"/>
                <w:kern w:val="0"/>
                <w:sz w:val="22"/>
              </w:rPr>
              <w:t>2025</w:t>
            </w:r>
            <w:r w:rsidRPr="009B7C90">
              <w:rPr>
                <w:rFonts w:eastAsia="楷体"/>
                <w:color w:val="000000"/>
                <w:kern w:val="0"/>
                <w:sz w:val="22"/>
              </w:rPr>
              <w:t>年、</w:t>
            </w:r>
            <w:r w:rsidRPr="009B7C90">
              <w:rPr>
                <w:rFonts w:eastAsia="楷体"/>
                <w:color w:val="000000"/>
                <w:kern w:val="0"/>
                <w:sz w:val="22"/>
              </w:rPr>
              <w:t>2030</w:t>
            </w:r>
            <w:r w:rsidRPr="009B7C90">
              <w:rPr>
                <w:rFonts w:eastAsia="楷体"/>
                <w:color w:val="000000"/>
                <w:kern w:val="0"/>
                <w:sz w:val="22"/>
              </w:rPr>
              <w:t>年、</w:t>
            </w:r>
            <w:r w:rsidRPr="009B7C90">
              <w:rPr>
                <w:rFonts w:eastAsia="楷体"/>
                <w:color w:val="000000"/>
                <w:kern w:val="0"/>
                <w:sz w:val="22"/>
              </w:rPr>
              <w:t>2060</w:t>
            </w:r>
            <w:r w:rsidRPr="009B7C90">
              <w:rPr>
                <w:rFonts w:eastAsia="楷体"/>
                <w:color w:val="000000"/>
                <w:kern w:val="0"/>
                <w:sz w:val="22"/>
              </w:rPr>
              <w:t>年内河货运量分别增长</w:t>
            </w:r>
            <w:r w:rsidR="007C1993">
              <w:rPr>
                <w:rFonts w:eastAsia="楷体"/>
                <w:color w:val="000000"/>
                <w:kern w:val="0"/>
                <w:sz w:val="22"/>
              </w:rPr>
              <w:t>6</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w:t>
            </w:r>
            <w:r w:rsidRPr="009B7C90">
              <w:rPr>
                <w:rFonts w:eastAsia="楷体"/>
                <w:color w:val="000000"/>
                <w:kern w:val="0"/>
                <w:sz w:val="22"/>
              </w:rPr>
              <w:t>1</w:t>
            </w:r>
            <w:r w:rsidR="007C1993">
              <w:rPr>
                <w:rFonts w:eastAsia="楷体"/>
                <w:color w:val="000000"/>
                <w:kern w:val="0"/>
                <w:sz w:val="22"/>
              </w:rPr>
              <w:t>0</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和</w:t>
            </w:r>
            <w:r w:rsidR="007C1993">
              <w:rPr>
                <w:rFonts w:eastAsia="楷体"/>
                <w:color w:val="000000"/>
                <w:kern w:val="0"/>
                <w:sz w:val="22"/>
              </w:rPr>
              <w:t>25</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w:t>
            </w:r>
          </w:p>
        </w:tc>
      </w:tr>
      <w:tr w:rsidR="009B7C90" w:rsidRPr="009B7C90" w14:paraId="7BB56B82" w14:textId="77777777" w:rsidTr="00495167">
        <w:trPr>
          <w:trHeight w:val="864"/>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0D1EFF5F"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lastRenderedPageBreak/>
              <w:t>2.1.3</w:t>
            </w:r>
          </w:p>
        </w:tc>
        <w:tc>
          <w:tcPr>
            <w:tcW w:w="857" w:type="pct"/>
            <w:tcBorders>
              <w:top w:val="nil"/>
              <w:left w:val="nil"/>
              <w:bottom w:val="single" w:sz="4" w:space="0" w:color="auto"/>
              <w:right w:val="single" w:sz="4" w:space="0" w:color="auto"/>
            </w:tcBorders>
            <w:shd w:val="clear" w:color="auto" w:fill="auto"/>
            <w:noWrap/>
            <w:vAlign w:val="center"/>
            <w:hideMark/>
          </w:tcPr>
          <w:p w14:paraId="793792D6"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从公路到沿海货运的模式转变</w:t>
            </w:r>
          </w:p>
        </w:tc>
        <w:tc>
          <w:tcPr>
            <w:tcW w:w="1271" w:type="pct"/>
            <w:tcBorders>
              <w:top w:val="nil"/>
              <w:left w:val="nil"/>
              <w:bottom w:val="single" w:sz="4" w:space="0" w:color="auto"/>
              <w:right w:val="single" w:sz="4" w:space="0" w:color="auto"/>
            </w:tcBorders>
            <w:shd w:val="clear" w:color="auto" w:fill="auto"/>
            <w:noWrap/>
            <w:vAlign w:val="center"/>
            <w:hideMark/>
          </w:tcPr>
          <w:p w14:paraId="640905D7"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无</w:t>
            </w:r>
          </w:p>
        </w:tc>
        <w:tc>
          <w:tcPr>
            <w:tcW w:w="1270" w:type="pct"/>
            <w:tcBorders>
              <w:top w:val="nil"/>
              <w:left w:val="nil"/>
              <w:bottom w:val="single" w:sz="4" w:space="0" w:color="auto"/>
              <w:right w:val="single" w:sz="4" w:space="0" w:color="auto"/>
            </w:tcBorders>
            <w:shd w:val="clear" w:color="auto" w:fill="auto"/>
            <w:vAlign w:val="center"/>
            <w:hideMark/>
          </w:tcPr>
          <w:p w14:paraId="4931EABD" w14:textId="1F5330A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相比于</w:t>
            </w:r>
            <w:r w:rsidRPr="009B7C90">
              <w:rPr>
                <w:rFonts w:eastAsia="楷体"/>
                <w:color w:val="000000"/>
                <w:kern w:val="0"/>
                <w:sz w:val="22"/>
              </w:rPr>
              <w:t>2020</w:t>
            </w:r>
            <w:r w:rsidRPr="009B7C90">
              <w:rPr>
                <w:rFonts w:eastAsia="楷体"/>
                <w:color w:val="000000"/>
                <w:kern w:val="0"/>
                <w:sz w:val="22"/>
              </w:rPr>
              <w:t>年，</w:t>
            </w:r>
            <w:r w:rsidRPr="009B7C90">
              <w:rPr>
                <w:rFonts w:eastAsia="楷体"/>
                <w:color w:val="000000"/>
                <w:kern w:val="0"/>
                <w:sz w:val="22"/>
              </w:rPr>
              <w:t>2025</w:t>
            </w:r>
            <w:r w:rsidRPr="009B7C90">
              <w:rPr>
                <w:rFonts w:eastAsia="楷体"/>
                <w:color w:val="000000"/>
                <w:kern w:val="0"/>
                <w:sz w:val="22"/>
              </w:rPr>
              <w:t>年、</w:t>
            </w:r>
            <w:r w:rsidRPr="009B7C90">
              <w:rPr>
                <w:rFonts w:eastAsia="楷体"/>
                <w:color w:val="000000"/>
                <w:kern w:val="0"/>
                <w:sz w:val="22"/>
              </w:rPr>
              <w:t>2030</w:t>
            </w:r>
            <w:r w:rsidRPr="009B7C90">
              <w:rPr>
                <w:rFonts w:eastAsia="楷体"/>
                <w:color w:val="000000"/>
                <w:kern w:val="0"/>
                <w:sz w:val="22"/>
              </w:rPr>
              <w:t>年、</w:t>
            </w:r>
            <w:r w:rsidRPr="009B7C90">
              <w:rPr>
                <w:rFonts w:eastAsia="楷体"/>
                <w:color w:val="000000"/>
                <w:kern w:val="0"/>
                <w:sz w:val="22"/>
              </w:rPr>
              <w:t>2060</w:t>
            </w:r>
            <w:r w:rsidRPr="009B7C90">
              <w:rPr>
                <w:rFonts w:eastAsia="楷体"/>
                <w:color w:val="000000"/>
                <w:kern w:val="0"/>
                <w:sz w:val="22"/>
              </w:rPr>
              <w:t>年沿海货运量分别增长</w:t>
            </w:r>
            <w:r w:rsidRPr="009B7C90">
              <w:rPr>
                <w:rFonts w:eastAsia="楷体"/>
                <w:color w:val="000000"/>
                <w:kern w:val="0"/>
                <w:sz w:val="22"/>
              </w:rPr>
              <w:t>2</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w:t>
            </w:r>
            <w:r w:rsidRPr="009B7C90">
              <w:rPr>
                <w:rFonts w:eastAsia="楷体"/>
                <w:color w:val="000000"/>
                <w:kern w:val="0"/>
                <w:sz w:val="22"/>
              </w:rPr>
              <w:t>5</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和</w:t>
            </w:r>
            <w:r w:rsidRPr="009B7C90">
              <w:rPr>
                <w:rFonts w:eastAsia="楷体"/>
                <w:color w:val="000000"/>
                <w:kern w:val="0"/>
                <w:sz w:val="22"/>
              </w:rPr>
              <w:t>1</w:t>
            </w:r>
            <w:r w:rsidR="007C1993">
              <w:rPr>
                <w:rFonts w:eastAsia="楷体"/>
                <w:color w:val="000000"/>
                <w:kern w:val="0"/>
                <w:sz w:val="22"/>
              </w:rPr>
              <w:t>2</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w:t>
            </w:r>
          </w:p>
        </w:tc>
        <w:tc>
          <w:tcPr>
            <w:tcW w:w="1343" w:type="pct"/>
            <w:tcBorders>
              <w:top w:val="nil"/>
              <w:left w:val="nil"/>
              <w:bottom w:val="single" w:sz="4" w:space="0" w:color="auto"/>
              <w:right w:val="single" w:sz="4" w:space="0" w:color="auto"/>
            </w:tcBorders>
            <w:shd w:val="clear" w:color="auto" w:fill="auto"/>
            <w:vAlign w:val="center"/>
            <w:hideMark/>
          </w:tcPr>
          <w:p w14:paraId="1B072223" w14:textId="397650EA"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相比于</w:t>
            </w:r>
            <w:r w:rsidRPr="009B7C90">
              <w:rPr>
                <w:rFonts w:eastAsia="楷体"/>
                <w:color w:val="000000"/>
                <w:kern w:val="0"/>
                <w:sz w:val="22"/>
              </w:rPr>
              <w:t>2020</w:t>
            </w:r>
            <w:r w:rsidRPr="009B7C90">
              <w:rPr>
                <w:rFonts w:eastAsia="楷体"/>
                <w:color w:val="000000"/>
                <w:kern w:val="0"/>
                <w:sz w:val="22"/>
              </w:rPr>
              <w:t>年，</w:t>
            </w:r>
            <w:r w:rsidRPr="009B7C90">
              <w:rPr>
                <w:rFonts w:eastAsia="楷体"/>
                <w:color w:val="000000"/>
                <w:kern w:val="0"/>
                <w:sz w:val="22"/>
              </w:rPr>
              <w:t>2025</w:t>
            </w:r>
            <w:r w:rsidRPr="009B7C90">
              <w:rPr>
                <w:rFonts w:eastAsia="楷体"/>
                <w:color w:val="000000"/>
                <w:kern w:val="0"/>
                <w:sz w:val="22"/>
              </w:rPr>
              <w:t>年、</w:t>
            </w:r>
            <w:r w:rsidRPr="009B7C90">
              <w:rPr>
                <w:rFonts w:eastAsia="楷体"/>
                <w:color w:val="000000"/>
                <w:kern w:val="0"/>
                <w:sz w:val="22"/>
              </w:rPr>
              <w:t>2030</w:t>
            </w:r>
            <w:r w:rsidRPr="009B7C90">
              <w:rPr>
                <w:rFonts w:eastAsia="楷体"/>
                <w:color w:val="000000"/>
                <w:kern w:val="0"/>
                <w:sz w:val="22"/>
              </w:rPr>
              <w:t>年、</w:t>
            </w:r>
            <w:r w:rsidRPr="009B7C90">
              <w:rPr>
                <w:rFonts w:eastAsia="楷体"/>
                <w:color w:val="000000"/>
                <w:kern w:val="0"/>
                <w:sz w:val="22"/>
              </w:rPr>
              <w:t>2060</w:t>
            </w:r>
            <w:r w:rsidRPr="009B7C90">
              <w:rPr>
                <w:rFonts w:eastAsia="楷体"/>
                <w:color w:val="000000"/>
                <w:kern w:val="0"/>
                <w:sz w:val="22"/>
              </w:rPr>
              <w:t>年沿海货运量分别增长</w:t>
            </w:r>
            <w:r w:rsidRPr="009B7C90">
              <w:rPr>
                <w:rFonts w:eastAsia="楷体"/>
                <w:color w:val="000000"/>
                <w:kern w:val="0"/>
                <w:sz w:val="22"/>
              </w:rPr>
              <w:t>4</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w:t>
            </w:r>
            <w:r w:rsidRPr="009B7C90">
              <w:rPr>
                <w:rFonts w:eastAsia="楷体"/>
                <w:color w:val="000000"/>
                <w:kern w:val="0"/>
                <w:sz w:val="22"/>
              </w:rPr>
              <w:t>8</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和</w:t>
            </w:r>
            <w:r w:rsidR="007C1993">
              <w:rPr>
                <w:rFonts w:eastAsia="楷体" w:hint="eastAsia"/>
                <w:color w:val="000000"/>
                <w:kern w:val="0"/>
                <w:sz w:val="22"/>
              </w:rPr>
              <w:t>2</w:t>
            </w:r>
            <w:r w:rsidR="007C1993">
              <w:rPr>
                <w:rFonts w:eastAsia="楷体"/>
                <w:color w:val="000000"/>
                <w:kern w:val="0"/>
                <w:sz w:val="22"/>
              </w:rPr>
              <w:t>0</w:t>
            </w:r>
            <w:r w:rsidR="008102C6">
              <w:rPr>
                <w:rFonts w:eastAsia="楷体"/>
                <w:color w:val="000000"/>
                <w:kern w:val="0"/>
                <w:sz w:val="22"/>
              </w:rPr>
              <w:t>亿</w:t>
            </w:r>
            <w:r w:rsidR="008102C6">
              <w:rPr>
                <w:rFonts w:eastAsia="楷体"/>
                <w:color w:val="000000"/>
                <w:kern w:val="0"/>
                <w:sz w:val="22"/>
              </w:rPr>
              <w:t>t</w:t>
            </w:r>
            <w:r w:rsidRPr="009B7C90">
              <w:rPr>
                <w:rFonts w:eastAsia="楷体"/>
                <w:color w:val="000000"/>
                <w:kern w:val="0"/>
                <w:sz w:val="22"/>
              </w:rPr>
              <w:t>。</w:t>
            </w:r>
          </w:p>
        </w:tc>
      </w:tr>
      <w:tr w:rsidR="009B7C90" w:rsidRPr="009B7C90" w14:paraId="5F3BF563" w14:textId="77777777" w:rsidTr="00AB2B66">
        <w:trPr>
          <w:trHeight w:val="288"/>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79EA4F69" w14:textId="77777777" w:rsidR="009B7C90" w:rsidRPr="009B7C90" w:rsidRDefault="009B7C90" w:rsidP="009B7C90">
            <w:pPr>
              <w:widowControl/>
              <w:spacing w:line="240" w:lineRule="auto"/>
              <w:ind w:firstLineChars="0" w:firstLine="0"/>
              <w:jc w:val="center"/>
              <w:rPr>
                <w:rFonts w:eastAsia="楷体"/>
                <w:b/>
                <w:bCs/>
                <w:color w:val="000000"/>
                <w:kern w:val="0"/>
                <w:sz w:val="22"/>
              </w:rPr>
            </w:pPr>
            <w:r w:rsidRPr="009B7C90">
              <w:rPr>
                <w:rFonts w:eastAsia="楷体"/>
                <w:b/>
                <w:bCs/>
                <w:color w:val="000000"/>
                <w:kern w:val="0"/>
                <w:sz w:val="22"/>
              </w:rPr>
              <w:t>2.2</w:t>
            </w:r>
          </w:p>
        </w:tc>
        <w:tc>
          <w:tcPr>
            <w:tcW w:w="4741"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2CF572A5" w14:textId="77777777" w:rsidR="009B7C90" w:rsidRPr="009B7C90" w:rsidRDefault="009B7C90" w:rsidP="009B7C90">
            <w:pPr>
              <w:widowControl/>
              <w:spacing w:line="240" w:lineRule="auto"/>
              <w:ind w:firstLineChars="0" w:firstLine="0"/>
              <w:jc w:val="left"/>
              <w:rPr>
                <w:rFonts w:eastAsia="楷体"/>
                <w:b/>
                <w:bCs/>
                <w:color w:val="000000"/>
                <w:kern w:val="0"/>
                <w:sz w:val="22"/>
              </w:rPr>
            </w:pPr>
            <w:r w:rsidRPr="009B7C90">
              <w:rPr>
                <w:rFonts w:eastAsia="楷体"/>
                <w:b/>
                <w:bCs/>
                <w:color w:val="000000"/>
                <w:kern w:val="0"/>
                <w:sz w:val="22"/>
              </w:rPr>
              <w:t>城市客运中私家车的模式转变</w:t>
            </w:r>
          </w:p>
        </w:tc>
      </w:tr>
      <w:tr w:rsidR="009B7C90" w:rsidRPr="009B7C90" w14:paraId="16B53FA1" w14:textId="77777777" w:rsidTr="00495167">
        <w:trPr>
          <w:trHeight w:val="2304"/>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1A41C1D1"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2.2.1</w:t>
            </w:r>
          </w:p>
        </w:tc>
        <w:tc>
          <w:tcPr>
            <w:tcW w:w="857" w:type="pct"/>
            <w:tcBorders>
              <w:top w:val="nil"/>
              <w:left w:val="nil"/>
              <w:bottom w:val="single" w:sz="4" w:space="0" w:color="auto"/>
              <w:right w:val="single" w:sz="4" w:space="0" w:color="auto"/>
            </w:tcBorders>
            <w:shd w:val="clear" w:color="auto" w:fill="auto"/>
            <w:noWrap/>
            <w:vAlign w:val="center"/>
            <w:hideMark/>
          </w:tcPr>
          <w:p w14:paraId="67B52326"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公共交通系统的扩展</w:t>
            </w:r>
          </w:p>
        </w:tc>
        <w:tc>
          <w:tcPr>
            <w:tcW w:w="1271" w:type="pct"/>
            <w:tcBorders>
              <w:top w:val="nil"/>
              <w:left w:val="nil"/>
              <w:bottom w:val="single" w:sz="4" w:space="0" w:color="auto"/>
              <w:right w:val="single" w:sz="4" w:space="0" w:color="auto"/>
            </w:tcBorders>
            <w:shd w:val="clear" w:color="auto" w:fill="auto"/>
            <w:vAlign w:val="center"/>
            <w:hideMark/>
          </w:tcPr>
          <w:p w14:paraId="2B1259CC"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公交车保有量稳定在</w:t>
            </w:r>
            <w:r w:rsidRPr="009B7C90">
              <w:rPr>
                <w:rFonts w:eastAsia="楷体"/>
                <w:color w:val="000000"/>
                <w:kern w:val="0"/>
                <w:sz w:val="22"/>
              </w:rPr>
              <w:t>71</w:t>
            </w:r>
            <w:r w:rsidRPr="009B7C90">
              <w:rPr>
                <w:rFonts w:eastAsia="楷体"/>
                <w:color w:val="000000"/>
                <w:kern w:val="0"/>
                <w:sz w:val="22"/>
              </w:rPr>
              <w:t>万辆；</w:t>
            </w:r>
            <w:r w:rsidRPr="009B7C90">
              <w:rPr>
                <w:rFonts w:eastAsia="楷体"/>
                <w:color w:val="000000"/>
                <w:kern w:val="0"/>
                <w:sz w:val="22"/>
              </w:rPr>
              <w:br/>
            </w:r>
            <w:r w:rsidRPr="009B7C90">
              <w:rPr>
                <w:rFonts w:eastAsia="楷体"/>
                <w:color w:val="000000"/>
                <w:kern w:val="0"/>
                <w:sz w:val="22"/>
              </w:rPr>
              <w:t>公交车线路稳定在</w:t>
            </w:r>
            <w:r w:rsidRPr="009B7C90">
              <w:rPr>
                <w:rFonts w:eastAsia="楷体"/>
                <w:color w:val="000000"/>
                <w:kern w:val="0"/>
                <w:sz w:val="22"/>
              </w:rPr>
              <w:t>65000km</w:t>
            </w:r>
            <w:r w:rsidRPr="009B7C90">
              <w:rPr>
                <w:rFonts w:eastAsia="楷体"/>
                <w:color w:val="000000"/>
                <w:kern w:val="0"/>
                <w:sz w:val="22"/>
              </w:rPr>
              <w:t>。</w:t>
            </w:r>
          </w:p>
        </w:tc>
        <w:tc>
          <w:tcPr>
            <w:tcW w:w="1270" w:type="pct"/>
            <w:tcBorders>
              <w:top w:val="nil"/>
              <w:left w:val="nil"/>
              <w:bottom w:val="single" w:sz="4" w:space="0" w:color="auto"/>
              <w:right w:val="single" w:sz="4" w:space="0" w:color="auto"/>
            </w:tcBorders>
            <w:shd w:val="clear" w:color="auto" w:fill="auto"/>
            <w:vAlign w:val="center"/>
            <w:hideMark/>
          </w:tcPr>
          <w:p w14:paraId="7A0BBDA6"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公交车数量</w:t>
            </w:r>
            <w:r w:rsidRPr="009B7C90">
              <w:rPr>
                <w:rFonts w:eastAsia="楷体"/>
                <w:color w:val="000000"/>
                <w:kern w:val="0"/>
                <w:sz w:val="22"/>
              </w:rPr>
              <w:t xml:space="preserve"> :</w:t>
            </w:r>
            <w:r w:rsidRPr="009B7C90">
              <w:rPr>
                <w:rFonts w:eastAsia="楷体"/>
                <w:color w:val="000000"/>
                <w:kern w:val="0"/>
                <w:sz w:val="22"/>
              </w:rPr>
              <w:br/>
              <w:t>2025</w:t>
            </w:r>
            <w:r w:rsidRPr="009B7C90">
              <w:rPr>
                <w:rFonts w:eastAsia="楷体"/>
                <w:color w:val="000000"/>
                <w:kern w:val="0"/>
                <w:sz w:val="22"/>
              </w:rPr>
              <w:t>年</w:t>
            </w:r>
            <w:r w:rsidRPr="009B7C90">
              <w:rPr>
                <w:rFonts w:eastAsia="楷体"/>
                <w:color w:val="000000"/>
                <w:kern w:val="0"/>
                <w:sz w:val="22"/>
              </w:rPr>
              <w:t>75</w:t>
            </w:r>
            <w:r w:rsidRPr="009B7C90">
              <w:rPr>
                <w:rFonts w:eastAsia="楷体"/>
                <w:color w:val="000000"/>
                <w:kern w:val="0"/>
                <w:sz w:val="22"/>
              </w:rPr>
              <w:t>万辆</w:t>
            </w:r>
            <w:r w:rsidRPr="009B7C90">
              <w:rPr>
                <w:rFonts w:eastAsia="楷体"/>
                <w:color w:val="000000"/>
                <w:kern w:val="0"/>
                <w:sz w:val="22"/>
              </w:rPr>
              <w:t xml:space="preserve">, </w:t>
            </w:r>
            <w:r w:rsidRPr="009B7C90">
              <w:rPr>
                <w:rFonts w:eastAsia="楷体"/>
                <w:color w:val="000000"/>
                <w:kern w:val="0"/>
                <w:sz w:val="22"/>
              </w:rPr>
              <w:br/>
              <w:t>2030</w:t>
            </w:r>
            <w:r w:rsidRPr="009B7C90">
              <w:rPr>
                <w:rFonts w:eastAsia="楷体"/>
                <w:color w:val="000000"/>
                <w:kern w:val="0"/>
                <w:sz w:val="22"/>
              </w:rPr>
              <w:t>年</w:t>
            </w:r>
            <w:r w:rsidRPr="009B7C90">
              <w:rPr>
                <w:rFonts w:eastAsia="楷体"/>
                <w:color w:val="000000"/>
                <w:kern w:val="0"/>
                <w:sz w:val="22"/>
              </w:rPr>
              <w:t>80</w:t>
            </w:r>
            <w:r w:rsidRPr="009B7C90">
              <w:rPr>
                <w:rFonts w:eastAsia="楷体"/>
                <w:color w:val="000000"/>
                <w:kern w:val="0"/>
                <w:sz w:val="22"/>
              </w:rPr>
              <w:t>万辆</w:t>
            </w:r>
            <w:r w:rsidRPr="009B7C90">
              <w:rPr>
                <w:rFonts w:eastAsia="楷体"/>
                <w:color w:val="000000"/>
                <w:kern w:val="0"/>
                <w:sz w:val="22"/>
              </w:rPr>
              <w:t xml:space="preserve">, </w:t>
            </w:r>
            <w:r w:rsidRPr="009B7C90">
              <w:rPr>
                <w:rFonts w:eastAsia="楷体"/>
                <w:color w:val="000000"/>
                <w:kern w:val="0"/>
                <w:sz w:val="22"/>
              </w:rPr>
              <w:br/>
              <w:t>2060</w:t>
            </w:r>
            <w:r w:rsidRPr="009B7C90">
              <w:rPr>
                <w:rFonts w:eastAsia="楷体"/>
                <w:color w:val="000000"/>
                <w:kern w:val="0"/>
                <w:sz w:val="22"/>
              </w:rPr>
              <w:t>年</w:t>
            </w:r>
            <w:r w:rsidRPr="009B7C90">
              <w:rPr>
                <w:rFonts w:eastAsia="楷体"/>
                <w:color w:val="000000"/>
                <w:kern w:val="0"/>
                <w:sz w:val="22"/>
              </w:rPr>
              <w:t>74</w:t>
            </w:r>
            <w:r w:rsidRPr="009B7C90">
              <w:rPr>
                <w:rFonts w:eastAsia="楷体"/>
                <w:color w:val="000000"/>
                <w:kern w:val="0"/>
                <w:sz w:val="22"/>
              </w:rPr>
              <w:t>万辆</w:t>
            </w:r>
            <w:r w:rsidRPr="009B7C90">
              <w:rPr>
                <w:rFonts w:eastAsia="楷体"/>
                <w:color w:val="000000"/>
                <w:kern w:val="0"/>
                <w:sz w:val="22"/>
              </w:rPr>
              <w:t>;</w:t>
            </w:r>
            <w:r w:rsidRPr="009B7C90">
              <w:rPr>
                <w:rFonts w:eastAsia="楷体"/>
                <w:color w:val="000000"/>
                <w:kern w:val="0"/>
                <w:sz w:val="22"/>
              </w:rPr>
              <w:br/>
            </w:r>
            <w:r w:rsidRPr="009B7C90">
              <w:rPr>
                <w:rFonts w:eastAsia="楷体"/>
                <w:color w:val="000000"/>
                <w:kern w:val="0"/>
                <w:sz w:val="22"/>
              </w:rPr>
              <w:t>公交车线路长度</w:t>
            </w:r>
            <w:r w:rsidRPr="009B7C90">
              <w:rPr>
                <w:rFonts w:eastAsia="楷体"/>
                <w:color w:val="000000"/>
                <w:kern w:val="0"/>
                <w:sz w:val="22"/>
              </w:rPr>
              <w:t>:</w:t>
            </w:r>
            <w:r w:rsidRPr="009B7C90">
              <w:rPr>
                <w:rFonts w:eastAsia="楷体"/>
                <w:color w:val="000000"/>
                <w:kern w:val="0"/>
                <w:sz w:val="22"/>
              </w:rPr>
              <w:br/>
              <w:t>2025</w:t>
            </w:r>
            <w:r w:rsidRPr="009B7C90">
              <w:rPr>
                <w:rFonts w:eastAsia="楷体"/>
                <w:color w:val="000000"/>
                <w:kern w:val="0"/>
                <w:sz w:val="22"/>
              </w:rPr>
              <w:t>年</w:t>
            </w:r>
            <w:r w:rsidRPr="009B7C90">
              <w:rPr>
                <w:rFonts w:eastAsia="楷体"/>
                <w:color w:val="000000"/>
                <w:kern w:val="0"/>
                <w:sz w:val="22"/>
              </w:rPr>
              <w:t>6.6</w:t>
            </w:r>
            <w:r w:rsidRPr="009B7C90">
              <w:rPr>
                <w:rFonts w:eastAsia="楷体"/>
                <w:color w:val="000000"/>
                <w:kern w:val="0"/>
                <w:sz w:val="22"/>
              </w:rPr>
              <w:t>万</w:t>
            </w:r>
            <w:r w:rsidRPr="009B7C90">
              <w:rPr>
                <w:rFonts w:eastAsia="楷体"/>
                <w:color w:val="000000"/>
                <w:kern w:val="0"/>
                <w:sz w:val="22"/>
              </w:rPr>
              <w:t xml:space="preserve">km, </w:t>
            </w:r>
            <w:r w:rsidRPr="009B7C90">
              <w:rPr>
                <w:rFonts w:eastAsia="楷体"/>
                <w:color w:val="000000"/>
                <w:kern w:val="0"/>
                <w:sz w:val="22"/>
              </w:rPr>
              <w:br/>
              <w:t>2030</w:t>
            </w:r>
            <w:r w:rsidRPr="009B7C90">
              <w:rPr>
                <w:rFonts w:eastAsia="楷体"/>
                <w:color w:val="000000"/>
                <w:kern w:val="0"/>
                <w:sz w:val="22"/>
              </w:rPr>
              <w:t>年</w:t>
            </w:r>
            <w:r w:rsidRPr="009B7C90">
              <w:rPr>
                <w:rFonts w:eastAsia="楷体"/>
                <w:color w:val="000000"/>
                <w:kern w:val="0"/>
                <w:sz w:val="22"/>
              </w:rPr>
              <w:t>6.7</w:t>
            </w:r>
            <w:r w:rsidRPr="009B7C90">
              <w:rPr>
                <w:rFonts w:eastAsia="楷体"/>
                <w:color w:val="000000"/>
                <w:kern w:val="0"/>
                <w:sz w:val="22"/>
              </w:rPr>
              <w:t>万</w:t>
            </w:r>
            <w:r w:rsidRPr="009B7C90">
              <w:rPr>
                <w:rFonts w:eastAsia="楷体"/>
                <w:color w:val="000000"/>
                <w:kern w:val="0"/>
                <w:sz w:val="22"/>
              </w:rPr>
              <w:t xml:space="preserve">km, </w:t>
            </w:r>
            <w:r w:rsidRPr="009B7C90">
              <w:rPr>
                <w:rFonts w:eastAsia="楷体"/>
                <w:color w:val="000000"/>
                <w:kern w:val="0"/>
                <w:sz w:val="22"/>
              </w:rPr>
              <w:br/>
              <w:t>2060</w:t>
            </w:r>
            <w:r w:rsidRPr="009B7C90">
              <w:rPr>
                <w:rFonts w:eastAsia="楷体"/>
                <w:color w:val="000000"/>
                <w:kern w:val="0"/>
                <w:sz w:val="22"/>
              </w:rPr>
              <w:t>年</w:t>
            </w:r>
            <w:r w:rsidRPr="009B7C90">
              <w:rPr>
                <w:rFonts w:eastAsia="楷体"/>
                <w:color w:val="000000"/>
                <w:kern w:val="0"/>
                <w:sz w:val="22"/>
              </w:rPr>
              <w:t xml:space="preserve"> 7</w:t>
            </w:r>
            <w:r w:rsidRPr="009B7C90">
              <w:rPr>
                <w:rFonts w:eastAsia="楷体"/>
                <w:color w:val="000000"/>
                <w:kern w:val="0"/>
                <w:sz w:val="22"/>
              </w:rPr>
              <w:t>万</w:t>
            </w:r>
            <w:r w:rsidRPr="009B7C90">
              <w:rPr>
                <w:rFonts w:eastAsia="楷体"/>
                <w:color w:val="000000"/>
                <w:kern w:val="0"/>
                <w:sz w:val="22"/>
              </w:rPr>
              <w:t>km.</w:t>
            </w:r>
          </w:p>
        </w:tc>
        <w:tc>
          <w:tcPr>
            <w:tcW w:w="1343" w:type="pct"/>
            <w:tcBorders>
              <w:top w:val="nil"/>
              <w:left w:val="nil"/>
              <w:bottom w:val="single" w:sz="4" w:space="0" w:color="auto"/>
              <w:right w:val="single" w:sz="4" w:space="0" w:color="auto"/>
            </w:tcBorders>
            <w:shd w:val="clear" w:color="auto" w:fill="auto"/>
            <w:vAlign w:val="center"/>
            <w:hideMark/>
          </w:tcPr>
          <w:p w14:paraId="2F7781A4"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公交车数量</w:t>
            </w:r>
            <w:r w:rsidRPr="009B7C90">
              <w:rPr>
                <w:rFonts w:eastAsia="楷体"/>
                <w:color w:val="000000"/>
                <w:kern w:val="0"/>
                <w:sz w:val="22"/>
              </w:rPr>
              <w:t xml:space="preserve"> :</w:t>
            </w:r>
            <w:r w:rsidRPr="009B7C90">
              <w:rPr>
                <w:rFonts w:eastAsia="楷体"/>
                <w:color w:val="000000"/>
                <w:kern w:val="0"/>
                <w:sz w:val="22"/>
              </w:rPr>
              <w:br/>
              <w:t>2025</w:t>
            </w:r>
            <w:r w:rsidRPr="009B7C90">
              <w:rPr>
                <w:rFonts w:eastAsia="楷体"/>
                <w:color w:val="000000"/>
                <w:kern w:val="0"/>
                <w:sz w:val="22"/>
              </w:rPr>
              <w:t>年</w:t>
            </w:r>
            <w:r w:rsidRPr="009B7C90">
              <w:rPr>
                <w:rFonts w:eastAsia="楷体"/>
                <w:color w:val="000000"/>
                <w:kern w:val="0"/>
                <w:sz w:val="22"/>
              </w:rPr>
              <w:t>79</w:t>
            </w:r>
            <w:r w:rsidRPr="009B7C90">
              <w:rPr>
                <w:rFonts w:eastAsia="楷体"/>
                <w:color w:val="000000"/>
                <w:kern w:val="0"/>
                <w:sz w:val="22"/>
              </w:rPr>
              <w:t>万辆</w:t>
            </w:r>
            <w:r w:rsidRPr="009B7C90">
              <w:rPr>
                <w:rFonts w:eastAsia="楷体"/>
                <w:color w:val="000000"/>
                <w:kern w:val="0"/>
                <w:sz w:val="22"/>
              </w:rPr>
              <w:t xml:space="preserve">, </w:t>
            </w:r>
            <w:r w:rsidRPr="009B7C90">
              <w:rPr>
                <w:rFonts w:eastAsia="楷体"/>
                <w:color w:val="000000"/>
                <w:kern w:val="0"/>
                <w:sz w:val="22"/>
              </w:rPr>
              <w:br/>
              <w:t>2030</w:t>
            </w:r>
            <w:r w:rsidRPr="009B7C90">
              <w:rPr>
                <w:rFonts w:eastAsia="楷体"/>
                <w:color w:val="000000"/>
                <w:kern w:val="0"/>
                <w:sz w:val="22"/>
              </w:rPr>
              <w:t>年</w:t>
            </w:r>
            <w:r w:rsidRPr="009B7C90">
              <w:rPr>
                <w:rFonts w:eastAsia="楷体"/>
                <w:color w:val="000000"/>
                <w:kern w:val="0"/>
                <w:sz w:val="22"/>
              </w:rPr>
              <w:t>85</w:t>
            </w:r>
            <w:r w:rsidRPr="009B7C90">
              <w:rPr>
                <w:rFonts w:eastAsia="楷体"/>
                <w:color w:val="000000"/>
                <w:kern w:val="0"/>
                <w:sz w:val="22"/>
              </w:rPr>
              <w:t>万辆</w:t>
            </w:r>
            <w:r w:rsidRPr="009B7C90">
              <w:rPr>
                <w:rFonts w:eastAsia="楷体"/>
                <w:color w:val="000000"/>
                <w:kern w:val="0"/>
                <w:sz w:val="22"/>
              </w:rPr>
              <w:t xml:space="preserve">, </w:t>
            </w:r>
            <w:r w:rsidRPr="009B7C90">
              <w:rPr>
                <w:rFonts w:eastAsia="楷体"/>
                <w:color w:val="000000"/>
                <w:kern w:val="0"/>
                <w:sz w:val="22"/>
              </w:rPr>
              <w:br/>
              <w:t>2060</w:t>
            </w:r>
            <w:r w:rsidRPr="009B7C90">
              <w:rPr>
                <w:rFonts w:eastAsia="楷体"/>
                <w:color w:val="000000"/>
                <w:kern w:val="0"/>
                <w:sz w:val="22"/>
              </w:rPr>
              <w:t>年</w:t>
            </w:r>
            <w:r w:rsidRPr="009B7C90">
              <w:rPr>
                <w:rFonts w:eastAsia="楷体"/>
                <w:color w:val="000000"/>
                <w:kern w:val="0"/>
                <w:sz w:val="22"/>
              </w:rPr>
              <w:t>80</w:t>
            </w:r>
            <w:r w:rsidRPr="009B7C90">
              <w:rPr>
                <w:rFonts w:eastAsia="楷体"/>
                <w:color w:val="000000"/>
                <w:kern w:val="0"/>
                <w:sz w:val="22"/>
              </w:rPr>
              <w:t>万辆</w:t>
            </w:r>
            <w:r w:rsidRPr="009B7C90">
              <w:rPr>
                <w:rFonts w:eastAsia="楷体"/>
                <w:color w:val="000000"/>
                <w:kern w:val="0"/>
                <w:sz w:val="22"/>
              </w:rPr>
              <w:t>;</w:t>
            </w:r>
            <w:r w:rsidRPr="009B7C90">
              <w:rPr>
                <w:rFonts w:eastAsia="楷体"/>
                <w:color w:val="000000"/>
                <w:kern w:val="0"/>
                <w:sz w:val="22"/>
              </w:rPr>
              <w:br/>
            </w:r>
            <w:r w:rsidRPr="009B7C90">
              <w:rPr>
                <w:rFonts w:eastAsia="楷体"/>
                <w:color w:val="000000"/>
                <w:kern w:val="0"/>
                <w:sz w:val="22"/>
              </w:rPr>
              <w:t>公交车线路长度</w:t>
            </w:r>
            <w:r w:rsidRPr="009B7C90">
              <w:rPr>
                <w:rFonts w:eastAsia="楷体"/>
                <w:color w:val="000000"/>
                <w:kern w:val="0"/>
                <w:sz w:val="22"/>
              </w:rPr>
              <w:t>:</w:t>
            </w:r>
            <w:r w:rsidRPr="009B7C90">
              <w:rPr>
                <w:rFonts w:eastAsia="楷体"/>
                <w:color w:val="000000"/>
                <w:kern w:val="0"/>
                <w:sz w:val="22"/>
              </w:rPr>
              <w:br/>
              <w:t>2025</w:t>
            </w:r>
            <w:r w:rsidRPr="009B7C90">
              <w:rPr>
                <w:rFonts w:eastAsia="楷体"/>
                <w:color w:val="000000"/>
                <w:kern w:val="0"/>
                <w:sz w:val="22"/>
              </w:rPr>
              <w:t>年</w:t>
            </w:r>
            <w:r w:rsidRPr="009B7C90">
              <w:rPr>
                <w:rFonts w:eastAsia="楷体"/>
                <w:color w:val="000000"/>
                <w:kern w:val="0"/>
                <w:sz w:val="22"/>
              </w:rPr>
              <w:t>6.7</w:t>
            </w:r>
            <w:r w:rsidRPr="009B7C90">
              <w:rPr>
                <w:rFonts w:eastAsia="楷体"/>
                <w:color w:val="000000"/>
                <w:kern w:val="0"/>
                <w:sz w:val="22"/>
              </w:rPr>
              <w:t>万</w:t>
            </w:r>
            <w:r w:rsidRPr="009B7C90">
              <w:rPr>
                <w:rFonts w:eastAsia="楷体"/>
                <w:color w:val="000000"/>
                <w:kern w:val="0"/>
                <w:sz w:val="22"/>
              </w:rPr>
              <w:t xml:space="preserve">km, </w:t>
            </w:r>
            <w:r w:rsidRPr="009B7C90">
              <w:rPr>
                <w:rFonts w:eastAsia="楷体"/>
                <w:color w:val="000000"/>
                <w:kern w:val="0"/>
                <w:sz w:val="22"/>
              </w:rPr>
              <w:br/>
              <w:t>2030</w:t>
            </w:r>
            <w:r w:rsidRPr="009B7C90">
              <w:rPr>
                <w:rFonts w:eastAsia="楷体"/>
                <w:color w:val="000000"/>
                <w:kern w:val="0"/>
                <w:sz w:val="22"/>
              </w:rPr>
              <w:t>年</w:t>
            </w:r>
            <w:r w:rsidRPr="009B7C90">
              <w:rPr>
                <w:rFonts w:eastAsia="楷体"/>
                <w:color w:val="000000"/>
                <w:kern w:val="0"/>
                <w:sz w:val="22"/>
              </w:rPr>
              <w:t>6.9</w:t>
            </w:r>
            <w:r w:rsidRPr="009B7C90">
              <w:rPr>
                <w:rFonts w:eastAsia="楷体"/>
                <w:color w:val="000000"/>
                <w:kern w:val="0"/>
                <w:sz w:val="22"/>
              </w:rPr>
              <w:t>万</w:t>
            </w:r>
            <w:r w:rsidRPr="009B7C90">
              <w:rPr>
                <w:rFonts w:eastAsia="楷体"/>
                <w:color w:val="000000"/>
                <w:kern w:val="0"/>
                <w:sz w:val="22"/>
              </w:rPr>
              <w:t xml:space="preserve">km, </w:t>
            </w:r>
            <w:r w:rsidRPr="009B7C90">
              <w:rPr>
                <w:rFonts w:eastAsia="楷体"/>
                <w:color w:val="000000"/>
                <w:kern w:val="0"/>
                <w:sz w:val="22"/>
              </w:rPr>
              <w:br/>
              <w:t>2060</w:t>
            </w:r>
            <w:r w:rsidRPr="009B7C90">
              <w:rPr>
                <w:rFonts w:eastAsia="楷体"/>
                <w:color w:val="000000"/>
                <w:kern w:val="0"/>
                <w:sz w:val="22"/>
              </w:rPr>
              <w:t>年</w:t>
            </w:r>
            <w:r w:rsidRPr="009B7C90">
              <w:rPr>
                <w:rFonts w:eastAsia="楷体"/>
                <w:color w:val="000000"/>
                <w:kern w:val="0"/>
                <w:sz w:val="22"/>
              </w:rPr>
              <w:t xml:space="preserve"> 7.5</w:t>
            </w:r>
            <w:r w:rsidRPr="009B7C90">
              <w:rPr>
                <w:rFonts w:eastAsia="楷体"/>
                <w:color w:val="000000"/>
                <w:kern w:val="0"/>
                <w:sz w:val="22"/>
              </w:rPr>
              <w:t>万</w:t>
            </w:r>
            <w:r w:rsidRPr="009B7C90">
              <w:rPr>
                <w:rFonts w:eastAsia="楷体"/>
                <w:color w:val="000000"/>
                <w:kern w:val="0"/>
                <w:sz w:val="22"/>
              </w:rPr>
              <w:t>km.</w:t>
            </w:r>
          </w:p>
        </w:tc>
      </w:tr>
      <w:tr w:rsidR="009B7C90" w:rsidRPr="009B7C90" w14:paraId="61E9269A" w14:textId="77777777" w:rsidTr="00495167">
        <w:trPr>
          <w:trHeight w:val="1152"/>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4256CF2B"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2.2.2</w:t>
            </w:r>
          </w:p>
        </w:tc>
        <w:tc>
          <w:tcPr>
            <w:tcW w:w="857" w:type="pct"/>
            <w:tcBorders>
              <w:top w:val="nil"/>
              <w:left w:val="nil"/>
              <w:bottom w:val="single" w:sz="4" w:space="0" w:color="auto"/>
              <w:right w:val="single" w:sz="4" w:space="0" w:color="auto"/>
            </w:tcBorders>
            <w:shd w:val="clear" w:color="auto" w:fill="auto"/>
            <w:vAlign w:val="center"/>
            <w:hideMark/>
          </w:tcPr>
          <w:p w14:paraId="175669A2"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BRT</w:t>
            </w:r>
            <w:r w:rsidRPr="009B7C90">
              <w:rPr>
                <w:rFonts w:eastAsia="楷体"/>
                <w:color w:val="000000"/>
                <w:kern w:val="0"/>
                <w:sz w:val="22"/>
              </w:rPr>
              <w:t>系统的扩展</w:t>
            </w:r>
          </w:p>
        </w:tc>
        <w:tc>
          <w:tcPr>
            <w:tcW w:w="1271" w:type="pct"/>
            <w:tcBorders>
              <w:top w:val="nil"/>
              <w:left w:val="nil"/>
              <w:bottom w:val="single" w:sz="4" w:space="0" w:color="auto"/>
              <w:right w:val="single" w:sz="4" w:space="0" w:color="auto"/>
            </w:tcBorders>
            <w:shd w:val="clear" w:color="auto" w:fill="auto"/>
            <w:noWrap/>
            <w:vAlign w:val="center"/>
            <w:hideMark/>
          </w:tcPr>
          <w:p w14:paraId="691F2A7D"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BRT</w:t>
            </w:r>
            <w:r w:rsidRPr="009B7C90">
              <w:rPr>
                <w:rFonts w:eastAsia="楷体"/>
                <w:color w:val="000000"/>
                <w:kern w:val="0"/>
                <w:sz w:val="22"/>
              </w:rPr>
              <w:t>线路稳定在</w:t>
            </w:r>
            <w:r w:rsidRPr="009B7C90">
              <w:rPr>
                <w:rFonts w:eastAsia="楷体"/>
                <w:color w:val="000000"/>
                <w:kern w:val="0"/>
                <w:sz w:val="22"/>
              </w:rPr>
              <w:t xml:space="preserve"> 6150 km</w:t>
            </w:r>
          </w:p>
        </w:tc>
        <w:tc>
          <w:tcPr>
            <w:tcW w:w="1270" w:type="pct"/>
            <w:tcBorders>
              <w:top w:val="nil"/>
              <w:left w:val="nil"/>
              <w:bottom w:val="single" w:sz="4" w:space="0" w:color="auto"/>
              <w:right w:val="single" w:sz="4" w:space="0" w:color="auto"/>
            </w:tcBorders>
            <w:shd w:val="clear" w:color="auto" w:fill="auto"/>
            <w:vAlign w:val="center"/>
            <w:hideMark/>
          </w:tcPr>
          <w:p w14:paraId="6BADF7EA" w14:textId="3421BB6E"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BRT</w:t>
            </w:r>
            <w:r w:rsidRPr="009B7C90">
              <w:rPr>
                <w:rFonts w:eastAsia="楷体"/>
                <w:color w:val="000000"/>
                <w:kern w:val="0"/>
                <w:sz w:val="22"/>
              </w:rPr>
              <w:t>线路长度</w:t>
            </w:r>
            <w:r w:rsidRPr="009B7C90">
              <w:rPr>
                <w:rFonts w:eastAsia="楷体"/>
                <w:color w:val="000000"/>
                <w:kern w:val="0"/>
                <w:sz w:val="22"/>
              </w:rPr>
              <w:t>:</w:t>
            </w:r>
            <w:r w:rsidRPr="009B7C90">
              <w:rPr>
                <w:rFonts w:eastAsia="楷体"/>
                <w:color w:val="000000"/>
                <w:kern w:val="0"/>
                <w:sz w:val="22"/>
              </w:rPr>
              <w:br/>
              <w:t>2025</w:t>
            </w:r>
            <w:r w:rsidRPr="009B7C90">
              <w:rPr>
                <w:rFonts w:eastAsia="楷体"/>
                <w:color w:val="000000"/>
                <w:kern w:val="0"/>
                <w:sz w:val="22"/>
              </w:rPr>
              <w:t>年</w:t>
            </w:r>
            <w:r w:rsidRPr="009B7C90">
              <w:rPr>
                <w:rFonts w:eastAsia="楷体"/>
                <w:color w:val="000000"/>
                <w:kern w:val="0"/>
                <w:sz w:val="22"/>
              </w:rPr>
              <w:t xml:space="preserve">6300km, </w:t>
            </w:r>
            <w:r w:rsidRPr="009B7C90">
              <w:rPr>
                <w:rFonts w:eastAsia="楷体"/>
                <w:color w:val="000000"/>
                <w:kern w:val="0"/>
                <w:sz w:val="22"/>
              </w:rPr>
              <w:br/>
              <w:t>2030</w:t>
            </w:r>
            <w:r w:rsidRPr="009B7C90">
              <w:rPr>
                <w:rFonts w:eastAsia="楷体"/>
                <w:color w:val="000000"/>
                <w:kern w:val="0"/>
                <w:sz w:val="22"/>
              </w:rPr>
              <w:t>年</w:t>
            </w:r>
            <w:r w:rsidRPr="009B7C90">
              <w:rPr>
                <w:rFonts w:eastAsia="楷体"/>
                <w:color w:val="000000"/>
                <w:kern w:val="0"/>
                <w:sz w:val="22"/>
              </w:rPr>
              <w:t xml:space="preserve">6500km, </w:t>
            </w:r>
            <w:r w:rsidRPr="009B7C90">
              <w:rPr>
                <w:rFonts w:eastAsia="楷体"/>
                <w:color w:val="000000"/>
                <w:kern w:val="0"/>
                <w:sz w:val="22"/>
              </w:rPr>
              <w:br/>
              <w:t>2060</w:t>
            </w:r>
            <w:r w:rsidRPr="009B7C90">
              <w:rPr>
                <w:rFonts w:eastAsia="楷体"/>
                <w:color w:val="000000"/>
                <w:kern w:val="0"/>
                <w:sz w:val="22"/>
              </w:rPr>
              <w:t>年</w:t>
            </w:r>
            <w:r w:rsidRPr="009B7C90">
              <w:rPr>
                <w:rFonts w:eastAsia="楷体"/>
                <w:color w:val="000000"/>
                <w:kern w:val="0"/>
                <w:sz w:val="22"/>
              </w:rPr>
              <w:t xml:space="preserve"> </w:t>
            </w:r>
            <w:r w:rsidR="00DC6733">
              <w:rPr>
                <w:rFonts w:eastAsia="楷体"/>
                <w:color w:val="000000"/>
                <w:kern w:val="0"/>
                <w:sz w:val="22"/>
              </w:rPr>
              <w:t>70</w:t>
            </w:r>
            <w:r w:rsidRPr="009B7C90">
              <w:rPr>
                <w:rFonts w:eastAsia="楷体"/>
                <w:color w:val="000000"/>
                <w:kern w:val="0"/>
                <w:sz w:val="22"/>
              </w:rPr>
              <w:t>00km.</w:t>
            </w:r>
          </w:p>
        </w:tc>
        <w:tc>
          <w:tcPr>
            <w:tcW w:w="1343" w:type="pct"/>
            <w:tcBorders>
              <w:top w:val="nil"/>
              <w:left w:val="nil"/>
              <w:bottom w:val="single" w:sz="4" w:space="0" w:color="auto"/>
              <w:right w:val="single" w:sz="4" w:space="0" w:color="auto"/>
            </w:tcBorders>
            <w:shd w:val="clear" w:color="auto" w:fill="auto"/>
            <w:vAlign w:val="center"/>
            <w:hideMark/>
          </w:tcPr>
          <w:p w14:paraId="0C0CCB8A" w14:textId="0DFB79F9"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BRT</w:t>
            </w:r>
            <w:r w:rsidRPr="009B7C90">
              <w:rPr>
                <w:rFonts w:eastAsia="楷体"/>
                <w:color w:val="000000"/>
                <w:kern w:val="0"/>
                <w:sz w:val="22"/>
              </w:rPr>
              <w:t>线路长度</w:t>
            </w:r>
            <w:r w:rsidRPr="009B7C90">
              <w:rPr>
                <w:rFonts w:eastAsia="楷体"/>
                <w:color w:val="000000"/>
                <w:kern w:val="0"/>
                <w:sz w:val="22"/>
              </w:rPr>
              <w:t>:</w:t>
            </w:r>
            <w:r w:rsidRPr="009B7C90">
              <w:rPr>
                <w:rFonts w:eastAsia="楷体"/>
                <w:color w:val="000000"/>
                <w:kern w:val="0"/>
                <w:sz w:val="22"/>
              </w:rPr>
              <w:br/>
              <w:t>2025</w:t>
            </w:r>
            <w:r w:rsidRPr="009B7C90">
              <w:rPr>
                <w:rFonts w:eastAsia="楷体"/>
                <w:color w:val="000000"/>
                <w:kern w:val="0"/>
                <w:sz w:val="22"/>
              </w:rPr>
              <w:t>年</w:t>
            </w:r>
            <w:r w:rsidRPr="009B7C90">
              <w:rPr>
                <w:rFonts w:eastAsia="楷体"/>
                <w:color w:val="000000"/>
                <w:kern w:val="0"/>
                <w:sz w:val="22"/>
              </w:rPr>
              <w:t xml:space="preserve">6400km, </w:t>
            </w:r>
            <w:r w:rsidRPr="009B7C90">
              <w:rPr>
                <w:rFonts w:eastAsia="楷体"/>
                <w:color w:val="000000"/>
                <w:kern w:val="0"/>
                <w:sz w:val="22"/>
              </w:rPr>
              <w:br/>
              <w:t>2030</w:t>
            </w:r>
            <w:r w:rsidRPr="009B7C90">
              <w:rPr>
                <w:rFonts w:eastAsia="楷体"/>
                <w:color w:val="000000"/>
                <w:kern w:val="0"/>
                <w:sz w:val="22"/>
              </w:rPr>
              <w:t>年</w:t>
            </w:r>
            <w:r w:rsidRPr="009B7C90">
              <w:rPr>
                <w:rFonts w:eastAsia="楷体"/>
                <w:color w:val="000000"/>
                <w:kern w:val="0"/>
                <w:sz w:val="22"/>
              </w:rPr>
              <w:t xml:space="preserve">6600km, </w:t>
            </w:r>
            <w:r w:rsidRPr="009B7C90">
              <w:rPr>
                <w:rFonts w:eastAsia="楷体"/>
                <w:color w:val="000000"/>
                <w:kern w:val="0"/>
                <w:sz w:val="22"/>
              </w:rPr>
              <w:br/>
              <w:t>2060</w:t>
            </w:r>
            <w:r w:rsidRPr="009B7C90">
              <w:rPr>
                <w:rFonts w:eastAsia="楷体"/>
                <w:color w:val="000000"/>
                <w:kern w:val="0"/>
                <w:sz w:val="22"/>
              </w:rPr>
              <w:t>年</w:t>
            </w:r>
            <w:r w:rsidRPr="009B7C90">
              <w:rPr>
                <w:rFonts w:eastAsia="楷体"/>
                <w:color w:val="000000"/>
                <w:kern w:val="0"/>
                <w:sz w:val="22"/>
              </w:rPr>
              <w:t xml:space="preserve"> 7</w:t>
            </w:r>
            <w:r w:rsidR="00DC6733">
              <w:rPr>
                <w:rFonts w:eastAsia="楷体"/>
                <w:color w:val="000000"/>
                <w:kern w:val="0"/>
                <w:sz w:val="22"/>
              </w:rPr>
              <w:t>5</w:t>
            </w:r>
            <w:r w:rsidRPr="009B7C90">
              <w:rPr>
                <w:rFonts w:eastAsia="楷体"/>
                <w:color w:val="000000"/>
                <w:kern w:val="0"/>
                <w:sz w:val="22"/>
              </w:rPr>
              <w:t>00km.</w:t>
            </w:r>
          </w:p>
        </w:tc>
      </w:tr>
      <w:tr w:rsidR="009B7C90" w:rsidRPr="009B7C90" w14:paraId="5D9E03FC" w14:textId="77777777" w:rsidTr="00495167">
        <w:trPr>
          <w:trHeight w:val="2304"/>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487AC7FF"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lastRenderedPageBreak/>
              <w:t>2.2.3</w:t>
            </w:r>
          </w:p>
        </w:tc>
        <w:tc>
          <w:tcPr>
            <w:tcW w:w="857" w:type="pct"/>
            <w:tcBorders>
              <w:top w:val="nil"/>
              <w:left w:val="nil"/>
              <w:bottom w:val="single" w:sz="4" w:space="0" w:color="auto"/>
              <w:right w:val="single" w:sz="4" w:space="0" w:color="auto"/>
            </w:tcBorders>
            <w:shd w:val="clear" w:color="auto" w:fill="auto"/>
            <w:noWrap/>
            <w:vAlign w:val="center"/>
            <w:hideMark/>
          </w:tcPr>
          <w:p w14:paraId="29576A9D"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城市轨道交通的发展</w:t>
            </w:r>
          </w:p>
        </w:tc>
        <w:tc>
          <w:tcPr>
            <w:tcW w:w="1271" w:type="pct"/>
            <w:tcBorders>
              <w:top w:val="nil"/>
              <w:left w:val="nil"/>
              <w:bottom w:val="single" w:sz="4" w:space="0" w:color="auto"/>
              <w:right w:val="single" w:sz="4" w:space="0" w:color="auto"/>
            </w:tcBorders>
            <w:shd w:val="clear" w:color="auto" w:fill="auto"/>
            <w:noWrap/>
            <w:vAlign w:val="center"/>
            <w:hideMark/>
          </w:tcPr>
          <w:p w14:paraId="19A1CEDF"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地铁线路稳定在</w:t>
            </w:r>
            <w:r w:rsidRPr="009B7C90">
              <w:rPr>
                <w:rFonts w:eastAsia="楷体"/>
                <w:color w:val="000000"/>
                <w:kern w:val="0"/>
                <w:sz w:val="22"/>
              </w:rPr>
              <w:t xml:space="preserve"> 6280 km</w:t>
            </w:r>
          </w:p>
        </w:tc>
        <w:tc>
          <w:tcPr>
            <w:tcW w:w="1270" w:type="pct"/>
            <w:tcBorders>
              <w:top w:val="nil"/>
              <w:left w:val="nil"/>
              <w:bottom w:val="single" w:sz="4" w:space="0" w:color="auto"/>
              <w:right w:val="single" w:sz="4" w:space="0" w:color="auto"/>
            </w:tcBorders>
            <w:shd w:val="clear" w:color="auto" w:fill="auto"/>
            <w:vAlign w:val="center"/>
            <w:hideMark/>
          </w:tcPr>
          <w:p w14:paraId="6F89FF93" w14:textId="3C51EA30"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建设地铁的城市的条件：一般公共财政预算收入应在</w:t>
            </w:r>
            <w:r w:rsidRPr="009B7C90">
              <w:rPr>
                <w:rFonts w:eastAsia="楷体"/>
                <w:color w:val="000000"/>
                <w:kern w:val="0"/>
                <w:sz w:val="22"/>
              </w:rPr>
              <w:t>300</w:t>
            </w:r>
            <w:r w:rsidRPr="009B7C90">
              <w:rPr>
                <w:rFonts w:eastAsia="楷体"/>
                <w:color w:val="000000"/>
                <w:kern w:val="0"/>
                <w:sz w:val="22"/>
              </w:rPr>
              <w:t>亿元以上，地区生产总值在</w:t>
            </w:r>
            <w:r w:rsidRPr="009B7C90">
              <w:rPr>
                <w:rFonts w:eastAsia="楷体"/>
                <w:color w:val="000000"/>
                <w:kern w:val="0"/>
                <w:sz w:val="22"/>
              </w:rPr>
              <w:t>3000</w:t>
            </w:r>
            <w:r w:rsidRPr="009B7C90">
              <w:rPr>
                <w:rFonts w:eastAsia="楷体"/>
                <w:color w:val="000000"/>
                <w:kern w:val="0"/>
                <w:sz w:val="22"/>
              </w:rPr>
              <w:t>亿元以上，市区常住人口在</w:t>
            </w:r>
            <w:r w:rsidRPr="009B7C90">
              <w:rPr>
                <w:rFonts w:eastAsia="楷体"/>
                <w:color w:val="000000"/>
                <w:kern w:val="0"/>
                <w:sz w:val="22"/>
              </w:rPr>
              <w:t>300</w:t>
            </w:r>
            <w:r w:rsidRPr="009B7C90">
              <w:rPr>
                <w:rFonts w:eastAsia="楷体"/>
                <w:color w:val="000000"/>
                <w:kern w:val="0"/>
                <w:sz w:val="22"/>
              </w:rPr>
              <w:t>万人以上。</w:t>
            </w:r>
            <w:r w:rsidRPr="009B7C90">
              <w:rPr>
                <w:rFonts w:eastAsia="楷体"/>
                <w:color w:val="000000"/>
                <w:kern w:val="0"/>
                <w:sz w:val="22"/>
              </w:rPr>
              <w:br/>
            </w:r>
            <w:r w:rsidRPr="009B7C90">
              <w:rPr>
                <w:rFonts w:eastAsia="楷体"/>
                <w:color w:val="000000"/>
                <w:kern w:val="0"/>
                <w:sz w:val="22"/>
              </w:rPr>
              <w:t>地铁线路长度</w:t>
            </w:r>
            <w:r w:rsidRPr="009B7C90">
              <w:rPr>
                <w:rFonts w:eastAsia="楷体"/>
                <w:color w:val="000000"/>
                <w:kern w:val="0"/>
                <w:sz w:val="22"/>
              </w:rPr>
              <w:t>:</w:t>
            </w:r>
            <w:r w:rsidRPr="009B7C90">
              <w:rPr>
                <w:rFonts w:eastAsia="楷体"/>
                <w:color w:val="000000"/>
                <w:kern w:val="0"/>
                <w:sz w:val="22"/>
              </w:rPr>
              <w:br/>
              <w:t>2025</w:t>
            </w:r>
            <w:r w:rsidRPr="009B7C90">
              <w:rPr>
                <w:rFonts w:eastAsia="楷体"/>
                <w:color w:val="000000"/>
                <w:kern w:val="0"/>
                <w:sz w:val="22"/>
              </w:rPr>
              <w:t>年</w:t>
            </w:r>
            <w:r w:rsidRPr="009B7C90">
              <w:rPr>
                <w:rFonts w:eastAsia="楷体"/>
                <w:color w:val="000000"/>
                <w:kern w:val="0"/>
                <w:sz w:val="22"/>
              </w:rPr>
              <w:t xml:space="preserve">7000km, </w:t>
            </w:r>
            <w:r w:rsidRPr="009B7C90">
              <w:rPr>
                <w:rFonts w:eastAsia="楷体"/>
                <w:color w:val="000000"/>
                <w:kern w:val="0"/>
                <w:sz w:val="22"/>
              </w:rPr>
              <w:br/>
              <w:t>2030</w:t>
            </w:r>
            <w:r w:rsidRPr="009B7C90">
              <w:rPr>
                <w:rFonts w:eastAsia="楷体"/>
                <w:color w:val="000000"/>
                <w:kern w:val="0"/>
                <w:sz w:val="22"/>
              </w:rPr>
              <w:t>年</w:t>
            </w:r>
            <w:r w:rsidRPr="009B7C90">
              <w:rPr>
                <w:rFonts w:eastAsia="楷体"/>
                <w:color w:val="000000"/>
                <w:kern w:val="0"/>
                <w:sz w:val="22"/>
              </w:rPr>
              <w:t xml:space="preserve">8000km, </w:t>
            </w:r>
            <w:r w:rsidRPr="009B7C90">
              <w:rPr>
                <w:rFonts w:eastAsia="楷体"/>
                <w:color w:val="000000"/>
                <w:kern w:val="0"/>
                <w:sz w:val="22"/>
              </w:rPr>
              <w:br/>
              <w:t>2060</w:t>
            </w:r>
            <w:r w:rsidRPr="009B7C90">
              <w:rPr>
                <w:rFonts w:eastAsia="楷体"/>
                <w:color w:val="000000"/>
                <w:kern w:val="0"/>
                <w:sz w:val="22"/>
              </w:rPr>
              <w:t>年</w:t>
            </w:r>
            <w:r w:rsidR="00DC6733">
              <w:rPr>
                <w:rFonts w:eastAsia="楷体"/>
                <w:color w:val="000000"/>
                <w:kern w:val="0"/>
                <w:sz w:val="22"/>
              </w:rPr>
              <w:t>10</w:t>
            </w:r>
            <w:r w:rsidRPr="009B7C90">
              <w:rPr>
                <w:rFonts w:eastAsia="楷体"/>
                <w:color w:val="000000"/>
                <w:kern w:val="0"/>
                <w:sz w:val="22"/>
              </w:rPr>
              <w:t>000km</w:t>
            </w:r>
            <w:r w:rsidR="00BC69CF">
              <w:rPr>
                <w:rFonts w:eastAsia="楷体" w:hint="eastAsia"/>
                <w:color w:val="000000"/>
                <w:kern w:val="0"/>
                <w:sz w:val="22"/>
              </w:rPr>
              <w:t>。</w:t>
            </w:r>
          </w:p>
        </w:tc>
        <w:tc>
          <w:tcPr>
            <w:tcW w:w="1343" w:type="pct"/>
            <w:tcBorders>
              <w:top w:val="nil"/>
              <w:left w:val="nil"/>
              <w:bottom w:val="single" w:sz="4" w:space="0" w:color="auto"/>
              <w:right w:val="single" w:sz="4" w:space="0" w:color="auto"/>
            </w:tcBorders>
            <w:shd w:val="clear" w:color="auto" w:fill="auto"/>
            <w:vAlign w:val="center"/>
            <w:hideMark/>
          </w:tcPr>
          <w:p w14:paraId="1C1E9DF2" w14:textId="567055D6"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建设地铁的城市的条件：一般公共财政预算收入应在</w:t>
            </w:r>
            <w:r w:rsidRPr="009B7C90">
              <w:rPr>
                <w:rFonts w:eastAsia="楷体"/>
                <w:color w:val="000000"/>
                <w:kern w:val="0"/>
                <w:sz w:val="22"/>
              </w:rPr>
              <w:t>300</w:t>
            </w:r>
            <w:r w:rsidRPr="009B7C90">
              <w:rPr>
                <w:rFonts w:eastAsia="楷体"/>
                <w:color w:val="000000"/>
                <w:kern w:val="0"/>
                <w:sz w:val="22"/>
              </w:rPr>
              <w:t>亿元以上，地区生产总值在</w:t>
            </w:r>
            <w:r w:rsidRPr="009B7C90">
              <w:rPr>
                <w:rFonts w:eastAsia="楷体"/>
                <w:color w:val="000000"/>
                <w:kern w:val="0"/>
                <w:sz w:val="22"/>
              </w:rPr>
              <w:t>3000</w:t>
            </w:r>
            <w:r w:rsidRPr="009B7C90">
              <w:rPr>
                <w:rFonts w:eastAsia="楷体"/>
                <w:color w:val="000000"/>
                <w:kern w:val="0"/>
                <w:sz w:val="22"/>
              </w:rPr>
              <w:t>亿元以上，市区常住人口在</w:t>
            </w:r>
            <w:r w:rsidRPr="009B7C90">
              <w:rPr>
                <w:rFonts w:eastAsia="楷体"/>
                <w:color w:val="000000"/>
                <w:kern w:val="0"/>
                <w:sz w:val="22"/>
              </w:rPr>
              <w:t>300</w:t>
            </w:r>
            <w:r w:rsidRPr="009B7C90">
              <w:rPr>
                <w:rFonts w:eastAsia="楷体"/>
                <w:color w:val="000000"/>
                <w:kern w:val="0"/>
                <w:sz w:val="22"/>
              </w:rPr>
              <w:t>万人以上。</w:t>
            </w:r>
            <w:r w:rsidRPr="009B7C90">
              <w:rPr>
                <w:rFonts w:eastAsia="楷体"/>
                <w:color w:val="000000"/>
                <w:kern w:val="0"/>
                <w:sz w:val="22"/>
              </w:rPr>
              <w:br/>
            </w:r>
            <w:r w:rsidRPr="009B7C90">
              <w:rPr>
                <w:rFonts w:eastAsia="楷体"/>
                <w:color w:val="000000"/>
                <w:kern w:val="0"/>
                <w:sz w:val="22"/>
              </w:rPr>
              <w:t>地铁线路长度</w:t>
            </w:r>
            <w:r w:rsidRPr="009B7C90">
              <w:rPr>
                <w:rFonts w:eastAsia="楷体"/>
                <w:color w:val="000000"/>
                <w:kern w:val="0"/>
                <w:sz w:val="22"/>
              </w:rPr>
              <w:t>:</w:t>
            </w:r>
            <w:r w:rsidRPr="009B7C90">
              <w:rPr>
                <w:rFonts w:eastAsia="楷体"/>
                <w:color w:val="000000"/>
                <w:kern w:val="0"/>
                <w:sz w:val="22"/>
              </w:rPr>
              <w:br/>
              <w:t>2025</w:t>
            </w:r>
            <w:r w:rsidRPr="009B7C90">
              <w:rPr>
                <w:rFonts w:eastAsia="楷体"/>
                <w:color w:val="000000"/>
                <w:kern w:val="0"/>
                <w:sz w:val="22"/>
              </w:rPr>
              <w:t>年</w:t>
            </w:r>
            <w:r w:rsidRPr="009B7C90">
              <w:rPr>
                <w:rFonts w:eastAsia="楷体"/>
                <w:color w:val="000000"/>
                <w:kern w:val="0"/>
                <w:sz w:val="22"/>
              </w:rPr>
              <w:t xml:space="preserve">8000km, </w:t>
            </w:r>
            <w:r w:rsidRPr="009B7C90">
              <w:rPr>
                <w:rFonts w:eastAsia="楷体"/>
                <w:color w:val="000000"/>
                <w:kern w:val="0"/>
                <w:sz w:val="22"/>
              </w:rPr>
              <w:br/>
              <w:t>2030</w:t>
            </w:r>
            <w:r w:rsidRPr="009B7C90">
              <w:rPr>
                <w:rFonts w:eastAsia="楷体"/>
                <w:color w:val="000000"/>
                <w:kern w:val="0"/>
                <w:sz w:val="22"/>
              </w:rPr>
              <w:t>年</w:t>
            </w:r>
            <w:r w:rsidRPr="009B7C90">
              <w:rPr>
                <w:rFonts w:eastAsia="楷体"/>
                <w:color w:val="000000"/>
                <w:kern w:val="0"/>
                <w:sz w:val="22"/>
              </w:rPr>
              <w:t xml:space="preserve">9000km, </w:t>
            </w:r>
            <w:r w:rsidRPr="009B7C90">
              <w:rPr>
                <w:rFonts w:eastAsia="楷体"/>
                <w:color w:val="000000"/>
                <w:kern w:val="0"/>
                <w:sz w:val="22"/>
              </w:rPr>
              <w:br/>
              <w:t>2060</w:t>
            </w:r>
            <w:r w:rsidRPr="009B7C90">
              <w:rPr>
                <w:rFonts w:eastAsia="楷体"/>
                <w:color w:val="000000"/>
                <w:kern w:val="0"/>
                <w:sz w:val="22"/>
              </w:rPr>
              <w:t>年</w:t>
            </w:r>
            <w:r w:rsidRPr="009B7C90">
              <w:rPr>
                <w:rFonts w:eastAsia="楷体"/>
                <w:color w:val="000000"/>
                <w:kern w:val="0"/>
                <w:sz w:val="22"/>
              </w:rPr>
              <w:t>1</w:t>
            </w:r>
            <w:r w:rsidR="00DC6733">
              <w:rPr>
                <w:rFonts w:eastAsia="楷体"/>
                <w:color w:val="000000"/>
                <w:kern w:val="0"/>
                <w:sz w:val="22"/>
              </w:rPr>
              <w:t>2</w:t>
            </w:r>
            <w:r w:rsidRPr="009B7C90">
              <w:rPr>
                <w:rFonts w:eastAsia="楷体"/>
                <w:color w:val="000000"/>
                <w:kern w:val="0"/>
                <w:sz w:val="22"/>
              </w:rPr>
              <w:t>000km</w:t>
            </w:r>
            <w:r w:rsidR="00BC69CF">
              <w:rPr>
                <w:rFonts w:eastAsia="楷体" w:hint="eastAsia"/>
                <w:color w:val="000000"/>
                <w:kern w:val="0"/>
                <w:sz w:val="22"/>
              </w:rPr>
              <w:t>。</w:t>
            </w:r>
          </w:p>
        </w:tc>
      </w:tr>
      <w:tr w:rsidR="009B7C90" w:rsidRPr="009B7C90" w14:paraId="286A5994" w14:textId="77777777" w:rsidTr="00495167">
        <w:trPr>
          <w:trHeight w:val="1152"/>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120BC7CC"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2.2.4</w:t>
            </w:r>
          </w:p>
        </w:tc>
        <w:tc>
          <w:tcPr>
            <w:tcW w:w="857" w:type="pct"/>
            <w:tcBorders>
              <w:top w:val="nil"/>
              <w:left w:val="nil"/>
              <w:bottom w:val="single" w:sz="4" w:space="0" w:color="auto"/>
              <w:right w:val="single" w:sz="4" w:space="0" w:color="auto"/>
            </w:tcBorders>
            <w:shd w:val="clear" w:color="auto" w:fill="auto"/>
            <w:noWrap/>
            <w:vAlign w:val="center"/>
            <w:hideMark/>
          </w:tcPr>
          <w:p w14:paraId="68FC8A24"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共享单车的普及</w:t>
            </w:r>
          </w:p>
        </w:tc>
        <w:tc>
          <w:tcPr>
            <w:tcW w:w="1271" w:type="pct"/>
            <w:tcBorders>
              <w:top w:val="nil"/>
              <w:left w:val="nil"/>
              <w:bottom w:val="single" w:sz="4" w:space="0" w:color="auto"/>
              <w:right w:val="single" w:sz="4" w:space="0" w:color="auto"/>
            </w:tcBorders>
            <w:shd w:val="clear" w:color="auto" w:fill="auto"/>
            <w:vAlign w:val="center"/>
            <w:hideMark/>
          </w:tcPr>
          <w:p w14:paraId="3B4C6749"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共享单车数量稳定在</w:t>
            </w:r>
            <w:r w:rsidRPr="009B7C90">
              <w:rPr>
                <w:rFonts w:eastAsia="楷体"/>
                <w:color w:val="000000"/>
                <w:kern w:val="0"/>
                <w:sz w:val="22"/>
              </w:rPr>
              <w:t>1830</w:t>
            </w:r>
            <w:r w:rsidRPr="009B7C90">
              <w:rPr>
                <w:rFonts w:eastAsia="楷体"/>
                <w:color w:val="000000"/>
                <w:kern w:val="0"/>
                <w:sz w:val="22"/>
              </w:rPr>
              <w:t>万辆。</w:t>
            </w:r>
          </w:p>
        </w:tc>
        <w:tc>
          <w:tcPr>
            <w:tcW w:w="1270" w:type="pct"/>
            <w:tcBorders>
              <w:top w:val="nil"/>
              <w:left w:val="nil"/>
              <w:bottom w:val="single" w:sz="4" w:space="0" w:color="auto"/>
              <w:right w:val="single" w:sz="4" w:space="0" w:color="auto"/>
            </w:tcBorders>
            <w:shd w:val="clear" w:color="auto" w:fill="auto"/>
            <w:vAlign w:val="center"/>
            <w:hideMark/>
          </w:tcPr>
          <w:p w14:paraId="7D233E0C" w14:textId="18B92D40"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共享单车数量</w:t>
            </w:r>
            <w:r w:rsidRPr="009B7C90">
              <w:rPr>
                <w:rFonts w:eastAsia="楷体"/>
                <w:color w:val="000000"/>
                <w:kern w:val="0"/>
                <w:sz w:val="22"/>
              </w:rPr>
              <w:t>:</w:t>
            </w:r>
            <w:r w:rsidRPr="009B7C90">
              <w:rPr>
                <w:rFonts w:eastAsia="楷体"/>
                <w:color w:val="000000"/>
                <w:kern w:val="0"/>
                <w:sz w:val="22"/>
              </w:rPr>
              <w:br/>
              <w:t>2025</w:t>
            </w:r>
            <w:r w:rsidRPr="009B7C90">
              <w:rPr>
                <w:rFonts w:eastAsia="楷体"/>
                <w:color w:val="000000"/>
                <w:kern w:val="0"/>
                <w:sz w:val="22"/>
              </w:rPr>
              <w:t>年</w:t>
            </w:r>
            <w:r w:rsidRPr="009B7C90">
              <w:rPr>
                <w:rFonts w:eastAsia="楷体"/>
                <w:color w:val="000000"/>
                <w:kern w:val="0"/>
                <w:sz w:val="22"/>
              </w:rPr>
              <w:t>1900</w:t>
            </w:r>
            <w:r w:rsidRPr="009B7C90">
              <w:rPr>
                <w:rFonts w:eastAsia="楷体"/>
                <w:color w:val="000000"/>
                <w:kern w:val="0"/>
                <w:sz w:val="22"/>
              </w:rPr>
              <w:t>万辆</w:t>
            </w:r>
            <w:r w:rsidRPr="009B7C90">
              <w:rPr>
                <w:rFonts w:eastAsia="楷体"/>
                <w:color w:val="000000"/>
                <w:kern w:val="0"/>
                <w:sz w:val="22"/>
              </w:rPr>
              <w:t xml:space="preserve">, </w:t>
            </w:r>
            <w:r w:rsidRPr="009B7C90">
              <w:rPr>
                <w:rFonts w:eastAsia="楷体"/>
                <w:color w:val="000000"/>
                <w:kern w:val="0"/>
                <w:sz w:val="22"/>
              </w:rPr>
              <w:br/>
              <w:t>2030</w:t>
            </w:r>
            <w:r w:rsidRPr="009B7C90">
              <w:rPr>
                <w:rFonts w:eastAsia="楷体"/>
                <w:color w:val="000000"/>
                <w:kern w:val="0"/>
                <w:sz w:val="22"/>
              </w:rPr>
              <w:t>年</w:t>
            </w:r>
            <w:r w:rsidRPr="009B7C90">
              <w:rPr>
                <w:rFonts w:eastAsia="楷体"/>
                <w:color w:val="000000"/>
                <w:kern w:val="0"/>
                <w:sz w:val="22"/>
              </w:rPr>
              <w:t>2500</w:t>
            </w:r>
            <w:r w:rsidRPr="009B7C90">
              <w:rPr>
                <w:rFonts w:eastAsia="楷体"/>
                <w:color w:val="000000"/>
                <w:kern w:val="0"/>
                <w:sz w:val="22"/>
              </w:rPr>
              <w:t>万辆</w:t>
            </w:r>
            <w:r w:rsidRPr="009B7C90">
              <w:rPr>
                <w:rFonts w:eastAsia="楷体"/>
                <w:color w:val="000000"/>
                <w:kern w:val="0"/>
                <w:sz w:val="22"/>
              </w:rPr>
              <w:t xml:space="preserve">, </w:t>
            </w:r>
            <w:r w:rsidRPr="009B7C90">
              <w:rPr>
                <w:rFonts w:eastAsia="楷体"/>
                <w:color w:val="000000"/>
                <w:kern w:val="0"/>
                <w:sz w:val="22"/>
              </w:rPr>
              <w:br/>
              <w:t>2060</w:t>
            </w:r>
            <w:r w:rsidRPr="009B7C90">
              <w:rPr>
                <w:rFonts w:eastAsia="楷体"/>
                <w:color w:val="000000"/>
                <w:kern w:val="0"/>
                <w:sz w:val="22"/>
              </w:rPr>
              <w:t>年</w:t>
            </w:r>
            <w:r w:rsidR="00AF5809">
              <w:rPr>
                <w:rFonts w:eastAsia="楷体"/>
                <w:color w:val="000000"/>
                <w:kern w:val="0"/>
                <w:sz w:val="22"/>
              </w:rPr>
              <w:t>5000</w:t>
            </w:r>
            <w:r w:rsidR="00AF5809">
              <w:rPr>
                <w:rFonts w:eastAsia="楷体" w:hint="eastAsia"/>
                <w:color w:val="000000"/>
                <w:kern w:val="0"/>
                <w:sz w:val="22"/>
              </w:rPr>
              <w:t>万</w:t>
            </w:r>
            <w:r w:rsidRPr="009B7C90">
              <w:rPr>
                <w:rFonts w:eastAsia="楷体"/>
                <w:color w:val="000000"/>
                <w:kern w:val="0"/>
                <w:sz w:val="22"/>
              </w:rPr>
              <w:t>辆</w:t>
            </w:r>
            <w:r w:rsidR="00BC69CF">
              <w:rPr>
                <w:rFonts w:eastAsia="楷体" w:hint="eastAsia"/>
                <w:color w:val="000000"/>
                <w:kern w:val="0"/>
                <w:sz w:val="22"/>
              </w:rPr>
              <w:t>。</w:t>
            </w:r>
          </w:p>
        </w:tc>
        <w:tc>
          <w:tcPr>
            <w:tcW w:w="1343" w:type="pct"/>
            <w:tcBorders>
              <w:top w:val="nil"/>
              <w:left w:val="nil"/>
              <w:bottom w:val="single" w:sz="4" w:space="0" w:color="auto"/>
              <w:right w:val="single" w:sz="4" w:space="0" w:color="auto"/>
            </w:tcBorders>
            <w:shd w:val="clear" w:color="auto" w:fill="auto"/>
            <w:vAlign w:val="center"/>
            <w:hideMark/>
          </w:tcPr>
          <w:p w14:paraId="4C104D17" w14:textId="00540C51"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共享单车数量</w:t>
            </w:r>
            <w:r w:rsidRPr="009B7C90">
              <w:rPr>
                <w:rFonts w:eastAsia="楷体"/>
                <w:color w:val="000000"/>
                <w:kern w:val="0"/>
                <w:sz w:val="22"/>
              </w:rPr>
              <w:t>:</w:t>
            </w:r>
            <w:r w:rsidRPr="009B7C90">
              <w:rPr>
                <w:rFonts w:eastAsia="楷体"/>
                <w:color w:val="000000"/>
                <w:kern w:val="0"/>
                <w:sz w:val="22"/>
              </w:rPr>
              <w:br/>
              <w:t>2025</w:t>
            </w:r>
            <w:r w:rsidRPr="009B7C90">
              <w:rPr>
                <w:rFonts w:eastAsia="楷体"/>
                <w:color w:val="000000"/>
                <w:kern w:val="0"/>
                <w:sz w:val="22"/>
              </w:rPr>
              <w:t>年</w:t>
            </w:r>
            <w:r w:rsidRPr="009B7C90">
              <w:rPr>
                <w:rFonts w:eastAsia="楷体"/>
                <w:color w:val="000000"/>
                <w:kern w:val="0"/>
                <w:sz w:val="22"/>
              </w:rPr>
              <w:t>2000</w:t>
            </w:r>
            <w:r w:rsidRPr="009B7C90">
              <w:rPr>
                <w:rFonts w:eastAsia="楷体"/>
                <w:color w:val="000000"/>
                <w:kern w:val="0"/>
                <w:sz w:val="22"/>
              </w:rPr>
              <w:t>万辆</w:t>
            </w:r>
            <w:r w:rsidRPr="009B7C90">
              <w:rPr>
                <w:rFonts w:eastAsia="楷体"/>
                <w:color w:val="000000"/>
                <w:kern w:val="0"/>
                <w:sz w:val="22"/>
              </w:rPr>
              <w:t xml:space="preserve">, </w:t>
            </w:r>
            <w:r w:rsidRPr="009B7C90">
              <w:rPr>
                <w:rFonts w:eastAsia="楷体"/>
                <w:color w:val="000000"/>
                <w:kern w:val="0"/>
                <w:sz w:val="22"/>
              </w:rPr>
              <w:br/>
              <w:t>2030</w:t>
            </w:r>
            <w:r w:rsidRPr="009B7C90">
              <w:rPr>
                <w:rFonts w:eastAsia="楷体"/>
                <w:color w:val="000000"/>
                <w:kern w:val="0"/>
                <w:sz w:val="22"/>
              </w:rPr>
              <w:t>年</w:t>
            </w:r>
            <w:r w:rsidRPr="009B7C90">
              <w:rPr>
                <w:rFonts w:eastAsia="楷体"/>
                <w:color w:val="000000"/>
                <w:kern w:val="0"/>
                <w:sz w:val="22"/>
              </w:rPr>
              <w:t>3</w:t>
            </w:r>
            <w:r w:rsidR="001800AD">
              <w:rPr>
                <w:rFonts w:eastAsia="楷体"/>
                <w:color w:val="000000"/>
                <w:kern w:val="0"/>
                <w:sz w:val="22"/>
              </w:rPr>
              <w:t>6</w:t>
            </w:r>
            <w:r w:rsidRPr="009B7C90">
              <w:rPr>
                <w:rFonts w:eastAsia="楷体"/>
                <w:color w:val="000000"/>
                <w:kern w:val="0"/>
                <w:sz w:val="22"/>
              </w:rPr>
              <w:t>00</w:t>
            </w:r>
            <w:r w:rsidRPr="009B7C90">
              <w:rPr>
                <w:rFonts w:eastAsia="楷体"/>
                <w:color w:val="000000"/>
                <w:kern w:val="0"/>
                <w:sz w:val="22"/>
              </w:rPr>
              <w:t>万辆</w:t>
            </w:r>
            <w:r w:rsidRPr="009B7C90">
              <w:rPr>
                <w:rFonts w:eastAsia="楷体"/>
                <w:color w:val="000000"/>
                <w:kern w:val="0"/>
                <w:sz w:val="22"/>
              </w:rPr>
              <w:t xml:space="preserve">, </w:t>
            </w:r>
            <w:r w:rsidRPr="009B7C90">
              <w:rPr>
                <w:rFonts w:eastAsia="楷体"/>
                <w:color w:val="000000"/>
                <w:kern w:val="0"/>
                <w:sz w:val="22"/>
              </w:rPr>
              <w:br/>
              <w:t>2060</w:t>
            </w:r>
            <w:r w:rsidRPr="009B7C90">
              <w:rPr>
                <w:rFonts w:eastAsia="楷体"/>
                <w:color w:val="000000"/>
                <w:kern w:val="0"/>
                <w:sz w:val="22"/>
              </w:rPr>
              <w:t>年</w:t>
            </w:r>
            <w:r w:rsidR="00DC6733">
              <w:rPr>
                <w:rFonts w:eastAsia="楷体"/>
                <w:color w:val="000000"/>
                <w:kern w:val="0"/>
                <w:sz w:val="22"/>
              </w:rPr>
              <w:t>7</w:t>
            </w:r>
            <w:r w:rsidR="00AF5809">
              <w:rPr>
                <w:rFonts w:eastAsia="楷体"/>
                <w:color w:val="000000"/>
                <w:kern w:val="0"/>
                <w:sz w:val="22"/>
              </w:rPr>
              <w:t>000</w:t>
            </w:r>
            <w:r w:rsidR="00AF5809">
              <w:rPr>
                <w:rFonts w:eastAsia="楷体" w:hint="eastAsia"/>
                <w:color w:val="000000"/>
                <w:kern w:val="0"/>
                <w:sz w:val="22"/>
              </w:rPr>
              <w:t>万</w:t>
            </w:r>
            <w:r w:rsidRPr="009B7C90">
              <w:rPr>
                <w:rFonts w:eastAsia="楷体"/>
                <w:color w:val="000000"/>
                <w:kern w:val="0"/>
                <w:sz w:val="22"/>
              </w:rPr>
              <w:t>辆</w:t>
            </w:r>
            <w:r w:rsidR="00BC69CF">
              <w:rPr>
                <w:rFonts w:eastAsia="楷体" w:hint="eastAsia"/>
                <w:color w:val="000000"/>
                <w:kern w:val="0"/>
                <w:sz w:val="22"/>
              </w:rPr>
              <w:t>。</w:t>
            </w:r>
          </w:p>
        </w:tc>
      </w:tr>
      <w:tr w:rsidR="009B7C90" w:rsidRPr="009B7C90" w14:paraId="079ADCBC" w14:textId="77777777" w:rsidTr="00AB2B66">
        <w:trPr>
          <w:trHeight w:val="288"/>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12FB3DAA"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2.3</w:t>
            </w:r>
          </w:p>
        </w:tc>
        <w:tc>
          <w:tcPr>
            <w:tcW w:w="4741"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4B794D64" w14:textId="77777777" w:rsidR="009B7C90" w:rsidRPr="009B7C90" w:rsidRDefault="009B7C90" w:rsidP="009B7C90">
            <w:pPr>
              <w:widowControl/>
              <w:spacing w:line="240" w:lineRule="auto"/>
              <w:ind w:firstLineChars="0" w:firstLine="0"/>
              <w:jc w:val="left"/>
              <w:rPr>
                <w:rFonts w:eastAsia="楷体"/>
                <w:b/>
                <w:bCs/>
                <w:color w:val="000000"/>
                <w:kern w:val="0"/>
                <w:sz w:val="22"/>
              </w:rPr>
            </w:pPr>
            <w:r w:rsidRPr="009B7C90">
              <w:rPr>
                <w:rFonts w:eastAsia="楷体"/>
                <w:b/>
                <w:bCs/>
                <w:color w:val="000000"/>
                <w:kern w:val="0"/>
                <w:sz w:val="22"/>
              </w:rPr>
              <w:t>城间客运模式转变</w:t>
            </w:r>
          </w:p>
        </w:tc>
      </w:tr>
      <w:tr w:rsidR="009B7C90" w:rsidRPr="009B7C90" w14:paraId="0B8D794C" w14:textId="77777777" w:rsidTr="00495167">
        <w:trPr>
          <w:trHeight w:val="1152"/>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5B12BEE2"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2.31</w:t>
            </w:r>
          </w:p>
        </w:tc>
        <w:tc>
          <w:tcPr>
            <w:tcW w:w="857" w:type="pct"/>
            <w:tcBorders>
              <w:top w:val="nil"/>
              <w:left w:val="nil"/>
              <w:bottom w:val="single" w:sz="4" w:space="0" w:color="auto"/>
              <w:right w:val="single" w:sz="4" w:space="0" w:color="auto"/>
            </w:tcBorders>
            <w:shd w:val="clear" w:color="auto" w:fill="auto"/>
            <w:noWrap/>
            <w:vAlign w:val="center"/>
            <w:hideMark/>
          </w:tcPr>
          <w:p w14:paraId="7931D2D8"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高铁快速发展</w:t>
            </w:r>
          </w:p>
        </w:tc>
        <w:tc>
          <w:tcPr>
            <w:tcW w:w="1271" w:type="pct"/>
            <w:tcBorders>
              <w:top w:val="nil"/>
              <w:left w:val="nil"/>
              <w:bottom w:val="single" w:sz="4" w:space="0" w:color="auto"/>
              <w:right w:val="single" w:sz="4" w:space="0" w:color="auto"/>
            </w:tcBorders>
            <w:shd w:val="clear" w:color="auto" w:fill="auto"/>
            <w:vAlign w:val="center"/>
            <w:hideMark/>
          </w:tcPr>
          <w:p w14:paraId="07729425"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高铁里程稳定在</w:t>
            </w:r>
            <w:r w:rsidRPr="009B7C90">
              <w:rPr>
                <w:rFonts w:eastAsia="楷体"/>
                <w:color w:val="000000"/>
                <w:kern w:val="0"/>
                <w:sz w:val="22"/>
              </w:rPr>
              <w:t>3.8</w:t>
            </w:r>
            <w:r w:rsidRPr="009B7C90">
              <w:rPr>
                <w:rFonts w:eastAsia="楷体"/>
                <w:color w:val="000000"/>
                <w:kern w:val="0"/>
                <w:sz w:val="22"/>
              </w:rPr>
              <w:t>万公里。</w:t>
            </w:r>
          </w:p>
        </w:tc>
        <w:tc>
          <w:tcPr>
            <w:tcW w:w="1270" w:type="pct"/>
            <w:tcBorders>
              <w:top w:val="nil"/>
              <w:left w:val="nil"/>
              <w:bottom w:val="single" w:sz="4" w:space="0" w:color="auto"/>
              <w:right w:val="single" w:sz="4" w:space="0" w:color="auto"/>
            </w:tcBorders>
            <w:shd w:val="clear" w:color="auto" w:fill="auto"/>
            <w:vAlign w:val="center"/>
            <w:hideMark/>
          </w:tcPr>
          <w:p w14:paraId="51AA03AA" w14:textId="46CAD1E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高铁里程</w:t>
            </w:r>
            <w:r w:rsidRPr="009B7C90">
              <w:rPr>
                <w:rFonts w:eastAsia="楷体"/>
                <w:color w:val="000000"/>
                <w:kern w:val="0"/>
                <w:sz w:val="22"/>
              </w:rPr>
              <w:t>:</w:t>
            </w:r>
            <w:r w:rsidRPr="009B7C90">
              <w:rPr>
                <w:rFonts w:eastAsia="楷体"/>
                <w:color w:val="000000"/>
                <w:kern w:val="0"/>
                <w:sz w:val="22"/>
              </w:rPr>
              <w:br/>
              <w:t>2025</w:t>
            </w:r>
            <w:r w:rsidRPr="009B7C90">
              <w:rPr>
                <w:rFonts w:eastAsia="楷体"/>
                <w:color w:val="000000"/>
                <w:kern w:val="0"/>
                <w:sz w:val="22"/>
              </w:rPr>
              <w:t>年</w:t>
            </w:r>
            <w:r w:rsidRPr="009B7C90">
              <w:rPr>
                <w:rFonts w:eastAsia="楷体"/>
                <w:color w:val="000000"/>
                <w:kern w:val="0"/>
                <w:sz w:val="22"/>
              </w:rPr>
              <w:t>4.2</w:t>
            </w:r>
            <w:r w:rsidRPr="009B7C90">
              <w:rPr>
                <w:rFonts w:eastAsia="楷体"/>
                <w:color w:val="000000"/>
                <w:kern w:val="0"/>
                <w:sz w:val="22"/>
              </w:rPr>
              <w:t>万</w:t>
            </w:r>
            <w:r w:rsidRPr="009B7C90">
              <w:rPr>
                <w:rFonts w:eastAsia="楷体"/>
                <w:color w:val="000000"/>
                <w:kern w:val="0"/>
                <w:sz w:val="22"/>
              </w:rPr>
              <w:t xml:space="preserve">km, </w:t>
            </w:r>
            <w:r w:rsidRPr="009B7C90">
              <w:rPr>
                <w:rFonts w:eastAsia="楷体"/>
                <w:color w:val="000000"/>
                <w:kern w:val="0"/>
                <w:sz w:val="22"/>
              </w:rPr>
              <w:br/>
              <w:t>2030</w:t>
            </w:r>
            <w:r w:rsidRPr="009B7C90">
              <w:rPr>
                <w:rFonts w:eastAsia="楷体"/>
                <w:color w:val="000000"/>
                <w:kern w:val="0"/>
                <w:sz w:val="22"/>
              </w:rPr>
              <w:t>年</w:t>
            </w:r>
            <w:r w:rsidRPr="009B7C90">
              <w:rPr>
                <w:rFonts w:eastAsia="楷体"/>
                <w:color w:val="000000"/>
                <w:kern w:val="0"/>
                <w:sz w:val="22"/>
              </w:rPr>
              <w:t>4.5</w:t>
            </w:r>
            <w:r w:rsidRPr="009B7C90">
              <w:rPr>
                <w:rFonts w:eastAsia="楷体"/>
                <w:color w:val="000000"/>
                <w:kern w:val="0"/>
                <w:sz w:val="22"/>
              </w:rPr>
              <w:t>万</w:t>
            </w:r>
            <w:r w:rsidRPr="009B7C90">
              <w:rPr>
                <w:rFonts w:eastAsia="楷体"/>
                <w:color w:val="000000"/>
                <w:kern w:val="0"/>
                <w:sz w:val="22"/>
              </w:rPr>
              <w:t xml:space="preserve">km, </w:t>
            </w:r>
            <w:r w:rsidRPr="009B7C90">
              <w:rPr>
                <w:rFonts w:eastAsia="楷体"/>
                <w:color w:val="000000"/>
                <w:kern w:val="0"/>
                <w:sz w:val="22"/>
              </w:rPr>
              <w:br/>
              <w:t>2060</w:t>
            </w:r>
            <w:r w:rsidRPr="009B7C90">
              <w:rPr>
                <w:rFonts w:eastAsia="楷体"/>
                <w:color w:val="000000"/>
                <w:kern w:val="0"/>
                <w:sz w:val="22"/>
              </w:rPr>
              <w:t>年</w:t>
            </w:r>
            <w:r w:rsidRPr="009B7C90">
              <w:rPr>
                <w:rFonts w:eastAsia="楷体"/>
                <w:color w:val="000000"/>
                <w:kern w:val="0"/>
                <w:sz w:val="22"/>
              </w:rPr>
              <w:t xml:space="preserve"> 6</w:t>
            </w:r>
            <w:r w:rsidRPr="009B7C90">
              <w:rPr>
                <w:rFonts w:eastAsia="楷体"/>
                <w:color w:val="000000"/>
                <w:kern w:val="0"/>
                <w:sz w:val="22"/>
              </w:rPr>
              <w:t>万</w:t>
            </w:r>
            <w:r w:rsidRPr="009B7C90">
              <w:rPr>
                <w:rFonts w:eastAsia="楷体"/>
                <w:color w:val="000000"/>
                <w:kern w:val="0"/>
                <w:sz w:val="22"/>
              </w:rPr>
              <w:t>km</w:t>
            </w:r>
            <w:r w:rsidR="003108A3">
              <w:rPr>
                <w:rFonts w:eastAsia="楷体" w:hint="eastAsia"/>
                <w:color w:val="000000"/>
                <w:kern w:val="0"/>
                <w:sz w:val="22"/>
              </w:rPr>
              <w:t>。</w:t>
            </w:r>
          </w:p>
        </w:tc>
        <w:tc>
          <w:tcPr>
            <w:tcW w:w="1343" w:type="pct"/>
            <w:tcBorders>
              <w:top w:val="nil"/>
              <w:left w:val="nil"/>
              <w:bottom w:val="single" w:sz="4" w:space="0" w:color="auto"/>
              <w:right w:val="single" w:sz="4" w:space="0" w:color="auto"/>
            </w:tcBorders>
            <w:shd w:val="clear" w:color="auto" w:fill="auto"/>
            <w:vAlign w:val="center"/>
            <w:hideMark/>
          </w:tcPr>
          <w:p w14:paraId="025B81C1" w14:textId="6DE3570B"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高铁里程</w:t>
            </w:r>
            <w:r w:rsidRPr="009B7C90">
              <w:rPr>
                <w:rFonts w:eastAsia="楷体"/>
                <w:color w:val="000000"/>
                <w:kern w:val="0"/>
                <w:sz w:val="22"/>
              </w:rPr>
              <w:t>:</w:t>
            </w:r>
            <w:r w:rsidRPr="009B7C90">
              <w:rPr>
                <w:rFonts w:eastAsia="楷体"/>
                <w:color w:val="000000"/>
                <w:kern w:val="0"/>
                <w:sz w:val="22"/>
              </w:rPr>
              <w:br/>
              <w:t>2025</w:t>
            </w:r>
            <w:r w:rsidRPr="009B7C90">
              <w:rPr>
                <w:rFonts w:eastAsia="楷体"/>
                <w:color w:val="000000"/>
                <w:kern w:val="0"/>
                <w:sz w:val="22"/>
              </w:rPr>
              <w:t>年</w:t>
            </w:r>
            <w:r w:rsidRPr="009B7C90">
              <w:rPr>
                <w:rFonts w:eastAsia="楷体"/>
                <w:color w:val="000000"/>
                <w:kern w:val="0"/>
                <w:sz w:val="22"/>
              </w:rPr>
              <w:t>4.5</w:t>
            </w:r>
            <w:r w:rsidRPr="009B7C90">
              <w:rPr>
                <w:rFonts w:eastAsia="楷体"/>
                <w:color w:val="000000"/>
                <w:kern w:val="0"/>
                <w:sz w:val="22"/>
              </w:rPr>
              <w:t>万</w:t>
            </w:r>
            <w:r w:rsidRPr="009B7C90">
              <w:rPr>
                <w:rFonts w:eastAsia="楷体"/>
                <w:color w:val="000000"/>
                <w:kern w:val="0"/>
                <w:sz w:val="22"/>
              </w:rPr>
              <w:t xml:space="preserve">km, </w:t>
            </w:r>
            <w:r w:rsidRPr="009B7C90">
              <w:rPr>
                <w:rFonts w:eastAsia="楷体"/>
                <w:color w:val="000000"/>
                <w:kern w:val="0"/>
                <w:sz w:val="22"/>
              </w:rPr>
              <w:br/>
              <w:t>2030</w:t>
            </w:r>
            <w:r w:rsidRPr="009B7C90">
              <w:rPr>
                <w:rFonts w:eastAsia="楷体"/>
                <w:color w:val="000000"/>
                <w:kern w:val="0"/>
                <w:sz w:val="22"/>
              </w:rPr>
              <w:t>年</w:t>
            </w:r>
            <w:r w:rsidRPr="009B7C90">
              <w:rPr>
                <w:rFonts w:eastAsia="楷体"/>
                <w:color w:val="000000"/>
                <w:kern w:val="0"/>
                <w:sz w:val="22"/>
              </w:rPr>
              <w:t>5</w:t>
            </w:r>
            <w:r w:rsidRPr="009B7C90">
              <w:rPr>
                <w:rFonts w:eastAsia="楷体"/>
                <w:color w:val="000000"/>
                <w:kern w:val="0"/>
                <w:sz w:val="22"/>
              </w:rPr>
              <w:t>万</w:t>
            </w:r>
            <w:r w:rsidRPr="009B7C90">
              <w:rPr>
                <w:rFonts w:eastAsia="楷体"/>
                <w:color w:val="000000"/>
                <w:kern w:val="0"/>
                <w:sz w:val="22"/>
              </w:rPr>
              <w:t xml:space="preserve">km, </w:t>
            </w:r>
            <w:r w:rsidRPr="009B7C90">
              <w:rPr>
                <w:rFonts w:eastAsia="楷体"/>
                <w:color w:val="000000"/>
                <w:kern w:val="0"/>
                <w:sz w:val="22"/>
              </w:rPr>
              <w:br/>
              <w:t>2060</w:t>
            </w:r>
            <w:r w:rsidRPr="009B7C90">
              <w:rPr>
                <w:rFonts w:eastAsia="楷体"/>
                <w:color w:val="000000"/>
                <w:kern w:val="0"/>
                <w:sz w:val="22"/>
              </w:rPr>
              <w:t>年</w:t>
            </w:r>
            <w:r w:rsidRPr="009B7C90">
              <w:rPr>
                <w:rFonts w:eastAsia="楷体"/>
                <w:color w:val="000000"/>
                <w:kern w:val="0"/>
                <w:sz w:val="22"/>
              </w:rPr>
              <w:t>7</w:t>
            </w:r>
            <w:r w:rsidRPr="009B7C90">
              <w:rPr>
                <w:rFonts w:eastAsia="楷体"/>
                <w:color w:val="000000"/>
                <w:kern w:val="0"/>
                <w:sz w:val="22"/>
              </w:rPr>
              <w:t>万</w:t>
            </w:r>
            <w:r w:rsidRPr="009B7C90">
              <w:rPr>
                <w:rFonts w:eastAsia="楷体"/>
                <w:color w:val="000000"/>
                <w:kern w:val="0"/>
                <w:sz w:val="22"/>
              </w:rPr>
              <w:t>km</w:t>
            </w:r>
            <w:r w:rsidR="003108A3">
              <w:rPr>
                <w:rFonts w:eastAsia="楷体" w:hint="eastAsia"/>
                <w:color w:val="000000"/>
                <w:kern w:val="0"/>
                <w:sz w:val="22"/>
              </w:rPr>
              <w:t>。</w:t>
            </w:r>
          </w:p>
        </w:tc>
      </w:tr>
      <w:tr w:rsidR="009B7C90" w:rsidRPr="009B7C90" w14:paraId="500FF5E9" w14:textId="77777777" w:rsidTr="00AB2B66">
        <w:trPr>
          <w:trHeight w:val="288"/>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4D730438" w14:textId="77777777" w:rsidR="009B7C90" w:rsidRPr="009B7C90" w:rsidRDefault="009B7C90" w:rsidP="009B7C90">
            <w:pPr>
              <w:widowControl/>
              <w:spacing w:line="240" w:lineRule="auto"/>
              <w:ind w:firstLineChars="0" w:firstLine="0"/>
              <w:jc w:val="center"/>
              <w:rPr>
                <w:rFonts w:eastAsia="楷体"/>
                <w:b/>
                <w:bCs/>
                <w:color w:val="000000"/>
                <w:kern w:val="0"/>
                <w:sz w:val="22"/>
              </w:rPr>
            </w:pPr>
            <w:r w:rsidRPr="009B7C90">
              <w:rPr>
                <w:rFonts w:eastAsia="楷体"/>
                <w:b/>
                <w:bCs/>
                <w:color w:val="000000"/>
                <w:kern w:val="0"/>
                <w:sz w:val="22"/>
              </w:rPr>
              <w:t>3</w:t>
            </w:r>
          </w:p>
        </w:tc>
        <w:tc>
          <w:tcPr>
            <w:tcW w:w="4741"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5075BE3C" w14:textId="77777777" w:rsidR="009B7C90" w:rsidRPr="009B7C90" w:rsidRDefault="009B7C90" w:rsidP="009B7C90">
            <w:pPr>
              <w:widowControl/>
              <w:spacing w:line="240" w:lineRule="auto"/>
              <w:ind w:firstLineChars="0" w:firstLine="0"/>
              <w:jc w:val="left"/>
              <w:rPr>
                <w:rFonts w:eastAsia="楷体"/>
                <w:b/>
                <w:bCs/>
                <w:color w:val="000000"/>
                <w:kern w:val="0"/>
                <w:sz w:val="22"/>
              </w:rPr>
            </w:pPr>
            <w:r w:rsidRPr="009B7C90">
              <w:rPr>
                <w:rFonts w:eastAsia="楷体"/>
                <w:b/>
                <w:bCs/>
                <w:color w:val="000000"/>
                <w:kern w:val="0"/>
                <w:sz w:val="22"/>
              </w:rPr>
              <w:t>能效提升</w:t>
            </w:r>
          </w:p>
        </w:tc>
      </w:tr>
      <w:tr w:rsidR="009B7C90" w:rsidRPr="009B7C90" w14:paraId="31664F35" w14:textId="77777777" w:rsidTr="00495167">
        <w:trPr>
          <w:trHeight w:val="840"/>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0F59DDFD"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lastRenderedPageBreak/>
              <w:t>3.1</w:t>
            </w:r>
          </w:p>
        </w:tc>
        <w:tc>
          <w:tcPr>
            <w:tcW w:w="857" w:type="pct"/>
            <w:tcBorders>
              <w:top w:val="nil"/>
              <w:left w:val="nil"/>
              <w:bottom w:val="single" w:sz="4" w:space="0" w:color="auto"/>
              <w:right w:val="single" w:sz="4" w:space="0" w:color="auto"/>
            </w:tcBorders>
            <w:shd w:val="clear" w:color="auto" w:fill="auto"/>
            <w:noWrap/>
            <w:vAlign w:val="center"/>
            <w:hideMark/>
          </w:tcPr>
          <w:p w14:paraId="05A5ED6F"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铁路运输能效提升</w:t>
            </w:r>
          </w:p>
        </w:tc>
        <w:tc>
          <w:tcPr>
            <w:tcW w:w="1271" w:type="pct"/>
            <w:tcBorders>
              <w:top w:val="nil"/>
              <w:left w:val="nil"/>
              <w:bottom w:val="single" w:sz="4" w:space="0" w:color="auto"/>
              <w:right w:val="single" w:sz="4" w:space="0" w:color="auto"/>
            </w:tcBorders>
            <w:shd w:val="clear" w:color="auto" w:fill="auto"/>
            <w:hideMark/>
          </w:tcPr>
          <w:p w14:paraId="4992697B" w14:textId="16ED30EF" w:rsidR="009B7C90" w:rsidRPr="009B7C90" w:rsidRDefault="00C54076" w:rsidP="00331183">
            <w:pPr>
              <w:widowControl/>
              <w:spacing w:line="240" w:lineRule="auto"/>
              <w:ind w:firstLineChars="0" w:firstLine="0"/>
              <w:jc w:val="left"/>
              <w:rPr>
                <w:rFonts w:eastAsia="楷体"/>
                <w:color w:val="000000"/>
                <w:kern w:val="0"/>
                <w:sz w:val="22"/>
              </w:rPr>
            </w:pPr>
            <w:r>
              <w:rPr>
                <w:rFonts w:eastAsia="楷体"/>
                <w:color w:val="000000"/>
                <w:kern w:val="0"/>
                <w:sz w:val="22"/>
              </w:rPr>
              <w:t>单位周转量能耗量</w:t>
            </w:r>
            <w:r w:rsidR="009B7C90" w:rsidRPr="009B7C90">
              <w:rPr>
                <w:rFonts w:eastAsia="楷体"/>
                <w:color w:val="000000"/>
                <w:kern w:val="0"/>
                <w:sz w:val="22"/>
              </w:rPr>
              <w:t>下降率</w:t>
            </w:r>
            <w:r w:rsidR="009B7C90" w:rsidRPr="009B7C90">
              <w:rPr>
                <w:rFonts w:eastAsia="楷体"/>
                <w:color w:val="000000"/>
                <w:kern w:val="0"/>
                <w:sz w:val="22"/>
              </w:rPr>
              <w:t>:</w:t>
            </w:r>
            <w:r w:rsidR="0065407E" w:rsidRPr="009B7C90">
              <w:rPr>
                <w:rFonts w:eastAsia="楷体"/>
                <w:color w:val="000000"/>
                <w:kern w:val="0"/>
                <w:sz w:val="22"/>
              </w:rPr>
              <w:t xml:space="preserve"> </w:t>
            </w:r>
            <w:r w:rsidR="0065407E">
              <w:rPr>
                <w:rFonts w:eastAsia="楷体" w:hint="eastAsia"/>
                <w:color w:val="000000"/>
                <w:kern w:val="0"/>
                <w:sz w:val="22"/>
              </w:rPr>
              <w:t>到</w:t>
            </w:r>
            <w:r w:rsidR="0065407E">
              <w:rPr>
                <w:rFonts w:eastAsia="楷体" w:hint="eastAsia"/>
                <w:color w:val="000000"/>
                <w:kern w:val="0"/>
                <w:sz w:val="22"/>
              </w:rPr>
              <w:t>2</w:t>
            </w:r>
            <w:r w:rsidR="0065407E">
              <w:rPr>
                <w:rFonts w:eastAsia="楷体"/>
                <w:color w:val="000000"/>
                <w:kern w:val="0"/>
                <w:sz w:val="22"/>
              </w:rPr>
              <w:t>025</w:t>
            </w:r>
            <w:r w:rsidR="0065407E">
              <w:rPr>
                <w:rFonts w:eastAsia="楷体" w:hint="eastAsia"/>
                <w:color w:val="000000"/>
                <w:kern w:val="0"/>
                <w:sz w:val="22"/>
              </w:rPr>
              <w:t>年</w:t>
            </w:r>
            <w:r w:rsidR="00C843BE">
              <w:rPr>
                <w:rFonts w:eastAsia="楷体" w:hint="eastAsia"/>
                <w:color w:val="000000"/>
                <w:kern w:val="0"/>
                <w:sz w:val="22"/>
              </w:rPr>
              <w:t>相比</w:t>
            </w:r>
            <w:r w:rsidR="00C843BE">
              <w:rPr>
                <w:rFonts w:eastAsia="楷体" w:hint="eastAsia"/>
                <w:color w:val="000000"/>
                <w:kern w:val="0"/>
                <w:sz w:val="22"/>
              </w:rPr>
              <w:t>2</w:t>
            </w:r>
            <w:r w:rsidR="00C843BE">
              <w:rPr>
                <w:rFonts w:eastAsia="楷体"/>
                <w:color w:val="000000"/>
                <w:kern w:val="0"/>
                <w:sz w:val="22"/>
              </w:rPr>
              <w:t>020</w:t>
            </w:r>
            <w:r w:rsidR="00C843BE">
              <w:rPr>
                <w:rFonts w:eastAsia="楷体" w:hint="eastAsia"/>
                <w:color w:val="000000"/>
                <w:kern w:val="0"/>
                <w:sz w:val="22"/>
              </w:rPr>
              <w:t>年</w:t>
            </w:r>
            <w:r w:rsidR="0065407E">
              <w:rPr>
                <w:rFonts w:eastAsia="楷体" w:hint="eastAsia"/>
                <w:color w:val="000000"/>
                <w:kern w:val="0"/>
                <w:sz w:val="22"/>
              </w:rPr>
              <w:t>下降</w:t>
            </w:r>
            <w:r w:rsidR="009B7C90" w:rsidRPr="009B7C90">
              <w:rPr>
                <w:rFonts w:eastAsia="楷体"/>
                <w:color w:val="000000"/>
                <w:kern w:val="0"/>
                <w:sz w:val="22"/>
              </w:rPr>
              <w:t xml:space="preserve">2% </w:t>
            </w:r>
            <w:r w:rsidR="00720211">
              <w:rPr>
                <w:rFonts w:eastAsia="楷体" w:hint="eastAsia"/>
                <w:color w:val="000000"/>
                <w:kern w:val="0"/>
                <w:sz w:val="22"/>
              </w:rPr>
              <w:t>，到</w:t>
            </w:r>
            <w:r w:rsidR="00720211">
              <w:rPr>
                <w:rFonts w:eastAsia="楷体" w:hint="eastAsia"/>
                <w:color w:val="000000"/>
                <w:kern w:val="0"/>
                <w:sz w:val="22"/>
              </w:rPr>
              <w:t>2</w:t>
            </w:r>
            <w:r w:rsidR="00720211">
              <w:rPr>
                <w:rFonts w:eastAsia="楷体"/>
                <w:color w:val="000000"/>
                <w:kern w:val="0"/>
                <w:sz w:val="22"/>
              </w:rPr>
              <w:t>030</w:t>
            </w:r>
            <w:r w:rsidR="00720211">
              <w:rPr>
                <w:rFonts w:eastAsia="楷体" w:hint="eastAsia"/>
                <w:color w:val="000000"/>
                <w:kern w:val="0"/>
                <w:sz w:val="22"/>
              </w:rPr>
              <w:t>年相比</w:t>
            </w:r>
            <w:r w:rsidR="00720211">
              <w:rPr>
                <w:rFonts w:eastAsia="楷体" w:hint="eastAsia"/>
                <w:color w:val="000000"/>
                <w:kern w:val="0"/>
                <w:sz w:val="22"/>
              </w:rPr>
              <w:t>2</w:t>
            </w:r>
            <w:r w:rsidR="00720211">
              <w:rPr>
                <w:rFonts w:eastAsia="楷体"/>
                <w:color w:val="000000"/>
                <w:kern w:val="0"/>
                <w:sz w:val="22"/>
              </w:rPr>
              <w:t>025</w:t>
            </w:r>
            <w:r w:rsidR="00720211">
              <w:rPr>
                <w:rFonts w:eastAsia="楷体" w:hint="eastAsia"/>
                <w:color w:val="000000"/>
                <w:kern w:val="0"/>
                <w:sz w:val="22"/>
              </w:rPr>
              <w:t>年下降</w:t>
            </w:r>
            <w:r w:rsidR="009B7C90" w:rsidRPr="009B7C90">
              <w:rPr>
                <w:rFonts w:eastAsia="楷体"/>
                <w:color w:val="000000"/>
                <w:kern w:val="0"/>
                <w:sz w:val="22"/>
              </w:rPr>
              <w:t>1%</w:t>
            </w:r>
            <w:r w:rsidR="00720211">
              <w:rPr>
                <w:rFonts w:eastAsia="楷体" w:hint="eastAsia"/>
                <w:color w:val="000000"/>
                <w:kern w:val="0"/>
                <w:sz w:val="22"/>
              </w:rPr>
              <w:t>。</w:t>
            </w:r>
          </w:p>
        </w:tc>
        <w:tc>
          <w:tcPr>
            <w:tcW w:w="1270" w:type="pct"/>
            <w:tcBorders>
              <w:top w:val="nil"/>
              <w:left w:val="nil"/>
              <w:bottom w:val="single" w:sz="4" w:space="0" w:color="auto"/>
              <w:right w:val="single" w:sz="4" w:space="0" w:color="auto"/>
            </w:tcBorders>
            <w:shd w:val="clear" w:color="auto" w:fill="auto"/>
            <w:hideMark/>
          </w:tcPr>
          <w:p w14:paraId="01F1DC2E" w14:textId="247AFA4C" w:rsidR="0049707F" w:rsidRDefault="00C54076" w:rsidP="009B7C90">
            <w:pPr>
              <w:widowControl/>
              <w:spacing w:line="240" w:lineRule="auto"/>
              <w:ind w:firstLineChars="0" w:firstLine="0"/>
              <w:jc w:val="left"/>
              <w:rPr>
                <w:rFonts w:eastAsia="楷体"/>
                <w:color w:val="000000"/>
                <w:kern w:val="0"/>
                <w:sz w:val="22"/>
              </w:rPr>
            </w:pPr>
            <w:r>
              <w:rPr>
                <w:rFonts w:eastAsia="楷体"/>
                <w:color w:val="000000"/>
                <w:kern w:val="0"/>
                <w:sz w:val="22"/>
              </w:rPr>
              <w:t>单位周转量能耗量</w:t>
            </w:r>
            <w:r w:rsidR="009B7C90" w:rsidRPr="009B7C90">
              <w:rPr>
                <w:rFonts w:eastAsia="楷体"/>
                <w:color w:val="000000"/>
                <w:kern w:val="0"/>
                <w:sz w:val="22"/>
              </w:rPr>
              <w:t>下降率</w:t>
            </w:r>
            <w:r w:rsidR="009B7C90" w:rsidRPr="009B7C90">
              <w:rPr>
                <w:rFonts w:eastAsia="楷体"/>
                <w:color w:val="000000"/>
                <w:kern w:val="0"/>
                <w:sz w:val="22"/>
              </w:rPr>
              <w:t xml:space="preserve">: </w:t>
            </w:r>
          </w:p>
          <w:p w14:paraId="10E56954" w14:textId="7D2F4D95" w:rsidR="009B7C90" w:rsidRPr="009B7C90" w:rsidRDefault="0049707F" w:rsidP="00331183">
            <w:pPr>
              <w:widowControl/>
              <w:spacing w:line="240" w:lineRule="auto"/>
              <w:ind w:firstLineChars="0" w:firstLine="0"/>
              <w:jc w:val="left"/>
              <w:rPr>
                <w:rFonts w:eastAsia="楷体"/>
                <w:color w:val="000000"/>
                <w:kern w:val="0"/>
                <w:sz w:val="22"/>
              </w:rPr>
            </w:pPr>
            <w:r>
              <w:rPr>
                <w:rFonts w:eastAsia="楷体" w:hint="eastAsia"/>
                <w:color w:val="000000"/>
                <w:kern w:val="0"/>
                <w:sz w:val="22"/>
              </w:rPr>
              <w:t>2</w:t>
            </w:r>
            <w:r>
              <w:rPr>
                <w:rFonts w:eastAsia="楷体"/>
                <w:color w:val="000000"/>
                <w:kern w:val="0"/>
                <w:sz w:val="22"/>
              </w:rPr>
              <w:t>025</w:t>
            </w:r>
            <w:r>
              <w:rPr>
                <w:rFonts w:eastAsia="楷体" w:hint="eastAsia"/>
                <w:color w:val="000000"/>
                <w:kern w:val="0"/>
                <w:sz w:val="22"/>
              </w:rPr>
              <w:t>年相比</w:t>
            </w:r>
            <w:r>
              <w:rPr>
                <w:rFonts w:eastAsia="楷体" w:hint="eastAsia"/>
                <w:color w:val="000000"/>
                <w:kern w:val="0"/>
                <w:sz w:val="22"/>
              </w:rPr>
              <w:t>2</w:t>
            </w:r>
            <w:r>
              <w:rPr>
                <w:rFonts w:eastAsia="楷体"/>
                <w:color w:val="000000"/>
                <w:kern w:val="0"/>
                <w:sz w:val="22"/>
              </w:rPr>
              <w:t>020</w:t>
            </w:r>
            <w:r>
              <w:rPr>
                <w:rFonts w:eastAsia="楷体" w:hint="eastAsia"/>
                <w:color w:val="000000"/>
                <w:kern w:val="0"/>
                <w:sz w:val="22"/>
              </w:rPr>
              <w:t>年下降</w:t>
            </w:r>
            <w:r>
              <w:rPr>
                <w:rFonts w:eastAsia="楷体"/>
                <w:color w:val="000000"/>
                <w:kern w:val="0"/>
                <w:sz w:val="22"/>
              </w:rPr>
              <w:t>3</w:t>
            </w:r>
            <w:r w:rsidRPr="009B7C90">
              <w:rPr>
                <w:rFonts w:eastAsia="楷体"/>
                <w:color w:val="000000"/>
                <w:kern w:val="0"/>
                <w:sz w:val="22"/>
              </w:rPr>
              <w:t xml:space="preserve">% </w:t>
            </w:r>
            <w:r>
              <w:rPr>
                <w:rFonts w:eastAsia="楷体" w:hint="eastAsia"/>
                <w:color w:val="000000"/>
                <w:kern w:val="0"/>
                <w:sz w:val="22"/>
              </w:rPr>
              <w:t>，到</w:t>
            </w:r>
            <w:r>
              <w:rPr>
                <w:rFonts w:eastAsia="楷体" w:hint="eastAsia"/>
                <w:color w:val="000000"/>
                <w:kern w:val="0"/>
                <w:sz w:val="22"/>
              </w:rPr>
              <w:t>2</w:t>
            </w:r>
            <w:r>
              <w:rPr>
                <w:rFonts w:eastAsia="楷体"/>
                <w:color w:val="000000"/>
                <w:kern w:val="0"/>
                <w:sz w:val="22"/>
              </w:rPr>
              <w:t>030</w:t>
            </w:r>
            <w:r>
              <w:rPr>
                <w:rFonts w:eastAsia="楷体" w:hint="eastAsia"/>
                <w:color w:val="000000"/>
                <w:kern w:val="0"/>
                <w:sz w:val="22"/>
              </w:rPr>
              <w:t>年相比</w:t>
            </w:r>
            <w:r>
              <w:rPr>
                <w:rFonts w:eastAsia="楷体" w:hint="eastAsia"/>
                <w:color w:val="000000"/>
                <w:kern w:val="0"/>
                <w:sz w:val="22"/>
              </w:rPr>
              <w:t>2</w:t>
            </w:r>
            <w:r>
              <w:rPr>
                <w:rFonts w:eastAsia="楷体"/>
                <w:color w:val="000000"/>
                <w:kern w:val="0"/>
                <w:sz w:val="22"/>
              </w:rPr>
              <w:t>025</w:t>
            </w:r>
            <w:r>
              <w:rPr>
                <w:rFonts w:eastAsia="楷体" w:hint="eastAsia"/>
                <w:color w:val="000000"/>
                <w:kern w:val="0"/>
                <w:sz w:val="22"/>
              </w:rPr>
              <w:t>年下降</w:t>
            </w:r>
            <w:r>
              <w:rPr>
                <w:rFonts w:eastAsia="楷体"/>
                <w:color w:val="000000"/>
                <w:kern w:val="0"/>
                <w:sz w:val="22"/>
              </w:rPr>
              <w:t>2</w:t>
            </w:r>
            <w:r w:rsidRPr="009B7C90">
              <w:rPr>
                <w:rFonts w:eastAsia="楷体"/>
                <w:color w:val="000000"/>
                <w:kern w:val="0"/>
                <w:sz w:val="22"/>
              </w:rPr>
              <w:t>%</w:t>
            </w:r>
            <w:r>
              <w:rPr>
                <w:rFonts w:eastAsia="楷体" w:hint="eastAsia"/>
                <w:color w:val="000000"/>
                <w:kern w:val="0"/>
                <w:sz w:val="22"/>
              </w:rPr>
              <w:t>。</w:t>
            </w:r>
          </w:p>
        </w:tc>
        <w:tc>
          <w:tcPr>
            <w:tcW w:w="1343" w:type="pct"/>
            <w:tcBorders>
              <w:top w:val="nil"/>
              <w:left w:val="nil"/>
              <w:bottom w:val="single" w:sz="4" w:space="0" w:color="auto"/>
              <w:right w:val="single" w:sz="4" w:space="0" w:color="auto"/>
            </w:tcBorders>
            <w:shd w:val="clear" w:color="auto" w:fill="auto"/>
            <w:hideMark/>
          </w:tcPr>
          <w:p w14:paraId="00EEA905" w14:textId="1AC03954" w:rsidR="0049707F" w:rsidRDefault="00C54076" w:rsidP="009B7C90">
            <w:pPr>
              <w:widowControl/>
              <w:spacing w:line="240" w:lineRule="auto"/>
              <w:ind w:firstLineChars="0" w:firstLine="0"/>
              <w:jc w:val="left"/>
              <w:rPr>
                <w:rFonts w:eastAsia="楷体"/>
                <w:color w:val="000000"/>
                <w:kern w:val="0"/>
                <w:sz w:val="22"/>
              </w:rPr>
            </w:pPr>
            <w:r>
              <w:rPr>
                <w:rFonts w:eastAsia="楷体"/>
                <w:color w:val="000000"/>
                <w:kern w:val="0"/>
                <w:sz w:val="22"/>
              </w:rPr>
              <w:t>单位周转量能耗量</w:t>
            </w:r>
            <w:r w:rsidR="009B7C90" w:rsidRPr="009B7C90">
              <w:rPr>
                <w:rFonts w:eastAsia="楷体"/>
                <w:color w:val="000000"/>
                <w:kern w:val="0"/>
                <w:sz w:val="22"/>
              </w:rPr>
              <w:t>下降率</w:t>
            </w:r>
            <w:r w:rsidR="009B7C90" w:rsidRPr="009B7C90">
              <w:rPr>
                <w:rFonts w:eastAsia="楷体"/>
                <w:color w:val="000000"/>
                <w:kern w:val="0"/>
                <w:sz w:val="22"/>
              </w:rPr>
              <w:t xml:space="preserve">: </w:t>
            </w:r>
          </w:p>
          <w:p w14:paraId="4C068698" w14:textId="60D0801F" w:rsidR="009B7C90" w:rsidRPr="009B7C90" w:rsidRDefault="0049707F" w:rsidP="00331183">
            <w:pPr>
              <w:widowControl/>
              <w:spacing w:line="240" w:lineRule="auto"/>
              <w:ind w:firstLineChars="0" w:firstLine="0"/>
              <w:jc w:val="left"/>
              <w:rPr>
                <w:rFonts w:eastAsia="楷体"/>
                <w:color w:val="000000"/>
                <w:kern w:val="0"/>
                <w:sz w:val="22"/>
              </w:rPr>
            </w:pPr>
            <w:r>
              <w:rPr>
                <w:rFonts w:eastAsia="楷体" w:hint="eastAsia"/>
                <w:color w:val="000000"/>
                <w:kern w:val="0"/>
                <w:sz w:val="22"/>
              </w:rPr>
              <w:t>2</w:t>
            </w:r>
            <w:r>
              <w:rPr>
                <w:rFonts w:eastAsia="楷体"/>
                <w:color w:val="000000"/>
                <w:kern w:val="0"/>
                <w:sz w:val="22"/>
              </w:rPr>
              <w:t>025</w:t>
            </w:r>
            <w:r>
              <w:rPr>
                <w:rFonts w:eastAsia="楷体" w:hint="eastAsia"/>
                <w:color w:val="000000"/>
                <w:kern w:val="0"/>
                <w:sz w:val="22"/>
              </w:rPr>
              <w:t>年相比</w:t>
            </w:r>
            <w:r>
              <w:rPr>
                <w:rFonts w:eastAsia="楷体" w:hint="eastAsia"/>
                <w:color w:val="000000"/>
                <w:kern w:val="0"/>
                <w:sz w:val="22"/>
              </w:rPr>
              <w:t>2</w:t>
            </w:r>
            <w:r>
              <w:rPr>
                <w:rFonts w:eastAsia="楷体"/>
                <w:color w:val="000000"/>
                <w:kern w:val="0"/>
                <w:sz w:val="22"/>
              </w:rPr>
              <w:t>020</w:t>
            </w:r>
            <w:r>
              <w:rPr>
                <w:rFonts w:eastAsia="楷体" w:hint="eastAsia"/>
                <w:color w:val="000000"/>
                <w:kern w:val="0"/>
                <w:sz w:val="22"/>
              </w:rPr>
              <w:t>年下降</w:t>
            </w:r>
            <w:r>
              <w:rPr>
                <w:rFonts w:eastAsia="楷体"/>
                <w:color w:val="000000"/>
                <w:kern w:val="0"/>
                <w:sz w:val="22"/>
              </w:rPr>
              <w:t>5</w:t>
            </w:r>
            <w:r w:rsidRPr="009B7C90">
              <w:rPr>
                <w:rFonts w:eastAsia="楷体"/>
                <w:color w:val="000000"/>
                <w:kern w:val="0"/>
                <w:sz w:val="22"/>
              </w:rPr>
              <w:t xml:space="preserve">% </w:t>
            </w:r>
            <w:r>
              <w:rPr>
                <w:rFonts w:eastAsia="楷体" w:hint="eastAsia"/>
                <w:color w:val="000000"/>
                <w:kern w:val="0"/>
                <w:sz w:val="22"/>
              </w:rPr>
              <w:t>，到</w:t>
            </w:r>
            <w:r>
              <w:rPr>
                <w:rFonts w:eastAsia="楷体" w:hint="eastAsia"/>
                <w:color w:val="000000"/>
                <w:kern w:val="0"/>
                <w:sz w:val="22"/>
              </w:rPr>
              <w:t>2</w:t>
            </w:r>
            <w:r>
              <w:rPr>
                <w:rFonts w:eastAsia="楷体"/>
                <w:color w:val="000000"/>
                <w:kern w:val="0"/>
                <w:sz w:val="22"/>
              </w:rPr>
              <w:t>030</w:t>
            </w:r>
            <w:r>
              <w:rPr>
                <w:rFonts w:eastAsia="楷体" w:hint="eastAsia"/>
                <w:color w:val="000000"/>
                <w:kern w:val="0"/>
                <w:sz w:val="22"/>
              </w:rPr>
              <w:t>年相比</w:t>
            </w:r>
            <w:r>
              <w:rPr>
                <w:rFonts w:eastAsia="楷体" w:hint="eastAsia"/>
                <w:color w:val="000000"/>
                <w:kern w:val="0"/>
                <w:sz w:val="22"/>
              </w:rPr>
              <w:t>2</w:t>
            </w:r>
            <w:r>
              <w:rPr>
                <w:rFonts w:eastAsia="楷体"/>
                <w:color w:val="000000"/>
                <w:kern w:val="0"/>
                <w:sz w:val="22"/>
              </w:rPr>
              <w:t>025</w:t>
            </w:r>
            <w:r>
              <w:rPr>
                <w:rFonts w:eastAsia="楷体" w:hint="eastAsia"/>
                <w:color w:val="000000"/>
                <w:kern w:val="0"/>
                <w:sz w:val="22"/>
              </w:rPr>
              <w:t>年下降</w:t>
            </w:r>
            <w:r>
              <w:rPr>
                <w:rFonts w:eastAsia="楷体"/>
                <w:color w:val="000000"/>
                <w:kern w:val="0"/>
                <w:sz w:val="22"/>
              </w:rPr>
              <w:t>4</w:t>
            </w:r>
            <w:r w:rsidRPr="009B7C90">
              <w:rPr>
                <w:rFonts w:eastAsia="楷体"/>
                <w:color w:val="000000"/>
                <w:kern w:val="0"/>
                <w:sz w:val="22"/>
              </w:rPr>
              <w:t>%</w:t>
            </w:r>
            <w:r>
              <w:rPr>
                <w:rFonts w:eastAsia="楷体" w:hint="eastAsia"/>
                <w:color w:val="000000"/>
                <w:kern w:val="0"/>
                <w:sz w:val="22"/>
              </w:rPr>
              <w:t>。</w:t>
            </w:r>
          </w:p>
        </w:tc>
      </w:tr>
      <w:tr w:rsidR="009B7C90" w:rsidRPr="009B7C90" w14:paraId="1C017106" w14:textId="77777777" w:rsidTr="00495167">
        <w:trPr>
          <w:trHeight w:val="2268"/>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3CF983DD"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3.2</w:t>
            </w:r>
          </w:p>
        </w:tc>
        <w:tc>
          <w:tcPr>
            <w:tcW w:w="857" w:type="pct"/>
            <w:tcBorders>
              <w:top w:val="nil"/>
              <w:left w:val="nil"/>
              <w:bottom w:val="single" w:sz="4" w:space="0" w:color="auto"/>
              <w:right w:val="single" w:sz="4" w:space="0" w:color="auto"/>
            </w:tcBorders>
            <w:shd w:val="clear" w:color="auto" w:fill="auto"/>
            <w:noWrap/>
            <w:vAlign w:val="center"/>
            <w:hideMark/>
          </w:tcPr>
          <w:p w14:paraId="4B44866F"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水路运输能效提升</w:t>
            </w:r>
          </w:p>
        </w:tc>
        <w:tc>
          <w:tcPr>
            <w:tcW w:w="1271" w:type="pct"/>
            <w:tcBorders>
              <w:top w:val="nil"/>
              <w:left w:val="nil"/>
              <w:bottom w:val="single" w:sz="4" w:space="0" w:color="auto"/>
              <w:right w:val="single" w:sz="4" w:space="0" w:color="auto"/>
            </w:tcBorders>
            <w:shd w:val="clear" w:color="auto" w:fill="auto"/>
            <w:hideMark/>
          </w:tcPr>
          <w:p w14:paraId="7CA2B6A1" w14:textId="39D00492" w:rsidR="0049707F" w:rsidRDefault="00C54076" w:rsidP="009B7C90">
            <w:pPr>
              <w:widowControl/>
              <w:spacing w:line="240" w:lineRule="auto"/>
              <w:ind w:firstLineChars="0" w:firstLine="0"/>
              <w:jc w:val="left"/>
              <w:rPr>
                <w:rFonts w:eastAsia="楷体"/>
                <w:color w:val="000000"/>
                <w:kern w:val="0"/>
                <w:sz w:val="22"/>
              </w:rPr>
            </w:pPr>
            <w:r>
              <w:rPr>
                <w:rFonts w:eastAsia="楷体"/>
                <w:color w:val="000000"/>
                <w:kern w:val="0"/>
                <w:sz w:val="22"/>
              </w:rPr>
              <w:t>单位周转量能耗量</w:t>
            </w:r>
            <w:r w:rsidR="009B7C90" w:rsidRPr="009B7C90">
              <w:rPr>
                <w:rFonts w:eastAsia="楷体"/>
                <w:color w:val="000000"/>
                <w:kern w:val="0"/>
                <w:sz w:val="22"/>
              </w:rPr>
              <w:t>下降率</w:t>
            </w:r>
            <w:r w:rsidR="009B7C90" w:rsidRPr="009B7C90">
              <w:rPr>
                <w:rFonts w:eastAsia="楷体"/>
                <w:color w:val="000000"/>
                <w:kern w:val="0"/>
                <w:sz w:val="22"/>
              </w:rPr>
              <w:t xml:space="preserve">: </w:t>
            </w:r>
          </w:p>
          <w:p w14:paraId="6CE9805E" w14:textId="1CE26CF6" w:rsidR="0049707F" w:rsidRDefault="0049707F" w:rsidP="009B7C90">
            <w:pPr>
              <w:widowControl/>
              <w:spacing w:line="240" w:lineRule="auto"/>
              <w:ind w:firstLineChars="0" w:firstLine="0"/>
              <w:jc w:val="left"/>
              <w:rPr>
                <w:rFonts w:eastAsia="楷体"/>
                <w:color w:val="000000"/>
                <w:kern w:val="0"/>
                <w:sz w:val="22"/>
              </w:rPr>
            </w:pPr>
            <w:r>
              <w:rPr>
                <w:rFonts w:eastAsia="楷体" w:hint="eastAsia"/>
                <w:color w:val="000000"/>
                <w:kern w:val="0"/>
                <w:sz w:val="22"/>
              </w:rPr>
              <w:t>2</w:t>
            </w:r>
            <w:r>
              <w:rPr>
                <w:rFonts w:eastAsia="楷体"/>
                <w:color w:val="000000"/>
                <w:kern w:val="0"/>
                <w:sz w:val="22"/>
              </w:rPr>
              <w:t>025</w:t>
            </w:r>
            <w:r>
              <w:rPr>
                <w:rFonts w:eastAsia="楷体" w:hint="eastAsia"/>
                <w:color w:val="000000"/>
                <w:kern w:val="0"/>
                <w:sz w:val="22"/>
              </w:rPr>
              <w:t>年相比</w:t>
            </w:r>
            <w:r>
              <w:rPr>
                <w:rFonts w:eastAsia="楷体" w:hint="eastAsia"/>
                <w:color w:val="000000"/>
                <w:kern w:val="0"/>
                <w:sz w:val="22"/>
              </w:rPr>
              <w:t>2</w:t>
            </w:r>
            <w:r>
              <w:rPr>
                <w:rFonts w:eastAsia="楷体"/>
                <w:color w:val="000000"/>
                <w:kern w:val="0"/>
                <w:sz w:val="22"/>
              </w:rPr>
              <w:t>020</w:t>
            </w:r>
            <w:r>
              <w:rPr>
                <w:rFonts w:eastAsia="楷体" w:hint="eastAsia"/>
                <w:color w:val="000000"/>
                <w:kern w:val="0"/>
                <w:sz w:val="22"/>
              </w:rPr>
              <w:t>年下降</w:t>
            </w:r>
            <w:r>
              <w:rPr>
                <w:rFonts w:eastAsia="楷体"/>
                <w:color w:val="000000"/>
                <w:kern w:val="0"/>
                <w:sz w:val="22"/>
              </w:rPr>
              <w:t>1</w:t>
            </w:r>
            <w:r w:rsidRPr="009B7C90">
              <w:rPr>
                <w:rFonts w:eastAsia="楷体"/>
                <w:color w:val="000000"/>
                <w:kern w:val="0"/>
                <w:sz w:val="22"/>
              </w:rPr>
              <w:t xml:space="preserve">% </w:t>
            </w:r>
            <w:r>
              <w:rPr>
                <w:rFonts w:eastAsia="楷体" w:hint="eastAsia"/>
                <w:color w:val="000000"/>
                <w:kern w:val="0"/>
                <w:sz w:val="22"/>
              </w:rPr>
              <w:t>，到</w:t>
            </w:r>
            <w:r>
              <w:rPr>
                <w:rFonts w:eastAsia="楷体" w:hint="eastAsia"/>
                <w:color w:val="000000"/>
                <w:kern w:val="0"/>
                <w:sz w:val="22"/>
              </w:rPr>
              <w:t>2</w:t>
            </w:r>
            <w:r>
              <w:rPr>
                <w:rFonts w:eastAsia="楷体"/>
                <w:color w:val="000000"/>
                <w:kern w:val="0"/>
                <w:sz w:val="22"/>
              </w:rPr>
              <w:t>030</w:t>
            </w:r>
            <w:r>
              <w:rPr>
                <w:rFonts w:eastAsia="楷体" w:hint="eastAsia"/>
                <w:color w:val="000000"/>
                <w:kern w:val="0"/>
                <w:sz w:val="22"/>
              </w:rPr>
              <w:t>年相比</w:t>
            </w:r>
            <w:r>
              <w:rPr>
                <w:rFonts w:eastAsia="楷体" w:hint="eastAsia"/>
                <w:color w:val="000000"/>
                <w:kern w:val="0"/>
                <w:sz w:val="22"/>
              </w:rPr>
              <w:t>2</w:t>
            </w:r>
            <w:r>
              <w:rPr>
                <w:rFonts w:eastAsia="楷体"/>
                <w:color w:val="000000"/>
                <w:kern w:val="0"/>
                <w:sz w:val="22"/>
              </w:rPr>
              <w:t>025</w:t>
            </w:r>
            <w:r>
              <w:rPr>
                <w:rFonts w:eastAsia="楷体" w:hint="eastAsia"/>
                <w:color w:val="000000"/>
                <w:kern w:val="0"/>
                <w:sz w:val="22"/>
              </w:rPr>
              <w:t>年下降</w:t>
            </w:r>
            <w:r w:rsidRPr="009B7C90">
              <w:rPr>
                <w:rFonts w:eastAsia="楷体"/>
                <w:color w:val="000000"/>
                <w:kern w:val="0"/>
                <w:sz w:val="22"/>
              </w:rPr>
              <w:t>1%</w:t>
            </w:r>
            <w:r>
              <w:rPr>
                <w:rFonts w:eastAsia="楷体" w:hint="eastAsia"/>
                <w:color w:val="000000"/>
                <w:kern w:val="0"/>
                <w:sz w:val="22"/>
              </w:rPr>
              <w:t>。</w:t>
            </w:r>
          </w:p>
          <w:p w14:paraId="0190FDC2" w14:textId="7C4C30AC" w:rsidR="004502FA" w:rsidRDefault="009B7C90" w:rsidP="00331183">
            <w:pPr>
              <w:widowControl/>
              <w:spacing w:line="240" w:lineRule="auto"/>
              <w:ind w:firstLineChars="0" w:firstLine="0"/>
              <w:jc w:val="left"/>
              <w:rPr>
                <w:rFonts w:eastAsia="楷体"/>
                <w:color w:val="000000"/>
                <w:kern w:val="0"/>
                <w:sz w:val="22"/>
              </w:rPr>
            </w:pPr>
            <w:r w:rsidRPr="009B7C90">
              <w:rPr>
                <w:rFonts w:eastAsia="楷体"/>
                <w:color w:val="000000"/>
                <w:kern w:val="0"/>
                <w:sz w:val="22"/>
              </w:rPr>
              <w:t>具体措施</w:t>
            </w:r>
            <w:r w:rsidRPr="009B7C90">
              <w:rPr>
                <w:rFonts w:eastAsia="楷体"/>
                <w:color w:val="000000"/>
                <w:kern w:val="0"/>
                <w:sz w:val="22"/>
              </w:rPr>
              <w:t>:</w:t>
            </w:r>
            <w:r w:rsidRPr="009B7C90">
              <w:rPr>
                <w:rFonts w:eastAsia="楷体"/>
                <w:color w:val="000000"/>
                <w:kern w:val="0"/>
                <w:sz w:val="22"/>
              </w:rPr>
              <w:br/>
              <w:t>1.</w:t>
            </w:r>
            <w:r w:rsidRPr="009B7C90">
              <w:rPr>
                <w:rFonts w:eastAsia="楷体"/>
                <w:color w:val="000000"/>
                <w:kern w:val="0"/>
                <w:sz w:val="22"/>
              </w:rPr>
              <w:t>大型化船舶比例</w:t>
            </w:r>
            <w:r w:rsidRPr="009B7C90">
              <w:rPr>
                <w:rFonts w:eastAsia="楷体"/>
                <w:color w:val="000000"/>
                <w:kern w:val="0"/>
                <w:sz w:val="22"/>
              </w:rPr>
              <w:t xml:space="preserve">, </w:t>
            </w:r>
          </w:p>
          <w:p w14:paraId="1EE61F4D" w14:textId="73731EA9" w:rsidR="009B7C90" w:rsidRPr="009B7C90" w:rsidRDefault="004502FA">
            <w:pPr>
              <w:widowControl/>
              <w:spacing w:line="240" w:lineRule="auto"/>
              <w:ind w:firstLineChars="0" w:firstLine="0"/>
              <w:jc w:val="left"/>
              <w:rPr>
                <w:rFonts w:eastAsia="楷体"/>
                <w:color w:val="000000"/>
                <w:kern w:val="0"/>
                <w:sz w:val="22"/>
              </w:rPr>
            </w:pPr>
            <w:r>
              <w:rPr>
                <w:rFonts w:eastAsia="楷体" w:hint="eastAsia"/>
                <w:color w:val="000000"/>
                <w:kern w:val="0"/>
                <w:sz w:val="22"/>
              </w:rPr>
              <w:t>2</w:t>
            </w:r>
            <w:r>
              <w:rPr>
                <w:rFonts w:eastAsia="楷体"/>
                <w:color w:val="000000"/>
                <w:kern w:val="0"/>
                <w:sz w:val="22"/>
              </w:rPr>
              <w:t>025</w:t>
            </w:r>
            <w:r>
              <w:rPr>
                <w:rFonts w:eastAsia="楷体" w:hint="eastAsia"/>
                <w:color w:val="000000"/>
                <w:kern w:val="0"/>
                <w:sz w:val="22"/>
              </w:rPr>
              <w:t>年相比</w:t>
            </w:r>
            <w:r>
              <w:rPr>
                <w:rFonts w:eastAsia="楷体" w:hint="eastAsia"/>
                <w:color w:val="000000"/>
                <w:kern w:val="0"/>
                <w:sz w:val="22"/>
              </w:rPr>
              <w:t>2</w:t>
            </w:r>
            <w:r>
              <w:rPr>
                <w:rFonts w:eastAsia="楷体"/>
                <w:color w:val="000000"/>
                <w:kern w:val="0"/>
                <w:sz w:val="22"/>
              </w:rPr>
              <w:t>020</w:t>
            </w:r>
            <w:r>
              <w:rPr>
                <w:rFonts w:eastAsia="楷体" w:hint="eastAsia"/>
                <w:color w:val="000000"/>
                <w:kern w:val="0"/>
                <w:sz w:val="22"/>
              </w:rPr>
              <w:t>年下降</w:t>
            </w:r>
            <w:r w:rsidR="0089198D">
              <w:rPr>
                <w:rFonts w:eastAsia="楷体"/>
                <w:color w:val="000000"/>
                <w:kern w:val="0"/>
                <w:sz w:val="22"/>
              </w:rPr>
              <w:t>34</w:t>
            </w:r>
            <w:r w:rsidRPr="009B7C90">
              <w:rPr>
                <w:rFonts w:eastAsia="楷体"/>
                <w:color w:val="000000"/>
                <w:kern w:val="0"/>
                <w:sz w:val="22"/>
              </w:rPr>
              <w:t xml:space="preserve">% </w:t>
            </w:r>
            <w:r>
              <w:rPr>
                <w:rFonts w:eastAsia="楷体" w:hint="eastAsia"/>
                <w:color w:val="000000"/>
                <w:kern w:val="0"/>
                <w:sz w:val="22"/>
              </w:rPr>
              <w:t>，到</w:t>
            </w:r>
            <w:r>
              <w:rPr>
                <w:rFonts w:eastAsia="楷体" w:hint="eastAsia"/>
                <w:color w:val="000000"/>
                <w:kern w:val="0"/>
                <w:sz w:val="22"/>
              </w:rPr>
              <w:t>2</w:t>
            </w:r>
            <w:r>
              <w:rPr>
                <w:rFonts w:eastAsia="楷体"/>
                <w:color w:val="000000"/>
                <w:kern w:val="0"/>
                <w:sz w:val="22"/>
              </w:rPr>
              <w:t>030</w:t>
            </w:r>
            <w:r>
              <w:rPr>
                <w:rFonts w:eastAsia="楷体" w:hint="eastAsia"/>
                <w:color w:val="000000"/>
                <w:kern w:val="0"/>
                <w:sz w:val="22"/>
              </w:rPr>
              <w:t>年相比</w:t>
            </w:r>
            <w:r>
              <w:rPr>
                <w:rFonts w:eastAsia="楷体" w:hint="eastAsia"/>
                <w:color w:val="000000"/>
                <w:kern w:val="0"/>
                <w:sz w:val="22"/>
              </w:rPr>
              <w:t>2</w:t>
            </w:r>
            <w:r>
              <w:rPr>
                <w:rFonts w:eastAsia="楷体"/>
                <w:color w:val="000000"/>
                <w:kern w:val="0"/>
                <w:sz w:val="22"/>
              </w:rPr>
              <w:t>025</w:t>
            </w:r>
            <w:r>
              <w:rPr>
                <w:rFonts w:eastAsia="楷体" w:hint="eastAsia"/>
                <w:color w:val="000000"/>
                <w:kern w:val="0"/>
                <w:sz w:val="22"/>
              </w:rPr>
              <w:t>年下降</w:t>
            </w:r>
            <w:r w:rsidR="0089198D">
              <w:rPr>
                <w:rFonts w:eastAsia="楷体"/>
                <w:color w:val="000000"/>
                <w:kern w:val="0"/>
                <w:sz w:val="22"/>
              </w:rPr>
              <w:t>38</w:t>
            </w:r>
            <w:r w:rsidRPr="009B7C90">
              <w:rPr>
                <w:rFonts w:eastAsia="楷体"/>
                <w:color w:val="000000"/>
                <w:kern w:val="0"/>
                <w:sz w:val="22"/>
              </w:rPr>
              <w:t>%</w:t>
            </w:r>
            <w:r>
              <w:rPr>
                <w:rFonts w:eastAsia="楷体" w:hint="eastAsia"/>
                <w:color w:val="000000"/>
                <w:kern w:val="0"/>
                <w:sz w:val="22"/>
              </w:rPr>
              <w:t>。</w:t>
            </w:r>
            <w:r w:rsidR="009B7C90" w:rsidRPr="009B7C90">
              <w:rPr>
                <w:rFonts w:eastAsia="楷体"/>
                <w:color w:val="000000"/>
                <w:kern w:val="0"/>
                <w:sz w:val="22"/>
              </w:rPr>
              <w:br/>
              <w:t>2.</w:t>
            </w:r>
            <w:r w:rsidR="009B7C90" w:rsidRPr="009B7C90">
              <w:rPr>
                <w:rFonts w:eastAsia="楷体"/>
                <w:color w:val="000000"/>
                <w:kern w:val="0"/>
                <w:sz w:val="22"/>
              </w:rPr>
              <w:t>岸电使用率</w:t>
            </w:r>
            <w:r w:rsidR="009B7C90" w:rsidRPr="009B7C90">
              <w:rPr>
                <w:rFonts w:eastAsia="楷体"/>
                <w:color w:val="000000"/>
                <w:kern w:val="0"/>
                <w:sz w:val="22"/>
              </w:rPr>
              <w:t xml:space="preserve"> </w:t>
            </w:r>
            <w:r w:rsidR="001D3698">
              <w:rPr>
                <w:rFonts w:eastAsia="楷体"/>
                <w:color w:val="000000"/>
                <w:kern w:val="0"/>
                <w:sz w:val="22"/>
              </w:rPr>
              <w:t>2025</w:t>
            </w:r>
            <w:r w:rsidR="001D3698">
              <w:rPr>
                <w:rFonts w:eastAsia="楷体" w:hint="eastAsia"/>
                <w:color w:val="000000"/>
                <w:kern w:val="0"/>
                <w:sz w:val="22"/>
              </w:rPr>
              <w:t>年达到</w:t>
            </w:r>
            <w:r w:rsidR="009B7C90" w:rsidRPr="009B7C90">
              <w:rPr>
                <w:rFonts w:eastAsia="楷体"/>
                <w:color w:val="000000"/>
                <w:kern w:val="0"/>
                <w:sz w:val="22"/>
              </w:rPr>
              <w:t xml:space="preserve">36%  2025, </w:t>
            </w:r>
            <w:r w:rsidR="001D3698">
              <w:rPr>
                <w:rFonts w:eastAsia="楷体"/>
                <w:color w:val="000000"/>
                <w:kern w:val="0"/>
                <w:sz w:val="22"/>
              </w:rPr>
              <w:t>2030</w:t>
            </w:r>
            <w:r w:rsidR="001D3698">
              <w:rPr>
                <w:rFonts w:eastAsia="楷体" w:hint="eastAsia"/>
                <w:color w:val="000000"/>
                <w:kern w:val="0"/>
                <w:sz w:val="22"/>
              </w:rPr>
              <w:t>年达到</w:t>
            </w:r>
            <w:r w:rsidR="009B7C90" w:rsidRPr="009B7C90">
              <w:rPr>
                <w:rFonts w:eastAsia="楷体"/>
                <w:color w:val="000000"/>
                <w:kern w:val="0"/>
                <w:sz w:val="22"/>
              </w:rPr>
              <w:t>40%</w:t>
            </w:r>
            <w:r w:rsidR="001D3698">
              <w:rPr>
                <w:rFonts w:eastAsia="楷体" w:hint="eastAsia"/>
                <w:color w:val="000000"/>
                <w:kern w:val="0"/>
                <w:sz w:val="22"/>
              </w:rPr>
              <w:t>。</w:t>
            </w:r>
            <w:r w:rsidR="009B7C90" w:rsidRPr="009B7C90">
              <w:rPr>
                <w:rFonts w:eastAsia="楷体"/>
                <w:color w:val="000000"/>
                <w:kern w:val="0"/>
                <w:sz w:val="22"/>
              </w:rPr>
              <w:br/>
              <w:t>3.</w:t>
            </w:r>
            <w:r w:rsidR="009B7C90" w:rsidRPr="009B7C90">
              <w:rPr>
                <w:rFonts w:eastAsia="楷体"/>
                <w:color w:val="000000"/>
                <w:kern w:val="0"/>
                <w:sz w:val="22"/>
              </w:rPr>
              <w:t>智能船舶操作系统应用比例</w:t>
            </w:r>
            <w:r w:rsidR="009B7C90" w:rsidRPr="009B7C90">
              <w:rPr>
                <w:rFonts w:eastAsia="楷体"/>
                <w:color w:val="000000"/>
                <w:kern w:val="0"/>
                <w:sz w:val="22"/>
              </w:rPr>
              <w:t>,</w:t>
            </w:r>
            <w:r w:rsidR="00FA2999">
              <w:rPr>
                <w:rFonts w:eastAsia="楷体" w:hint="eastAsia"/>
                <w:color w:val="000000"/>
                <w:kern w:val="0"/>
                <w:sz w:val="22"/>
              </w:rPr>
              <w:t>到</w:t>
            </w:r>
            <w:r w:rsidR="00FA2999">
              <w:rPr>
                <w:rFonts w:eastAsia="楷体" w:hint="eastAsia"/>
                <w:color w:val="000000"/>
                <w:kern w:val="0"/>
                <w:sz w:val="22"/>
              </w:rPr>
              <w:t>2</w:t>
            </w:r>
            <w:r w:rsidR="00FA2999">
              <w:rPr>
                <w:rFonts w:eastAsia="楷体"/>
                <w:color w:val="000000"/>
                <w:kern w:val="0"/>
                <w:sz w:val="22"/>
              </w:rPr>
              <w:t>025</w:t>
            </w:r>
            <w:r w:rsidR="00FA2999">
              <w:rPr>
                <w:rFonts w:eastAsia="楷体" w:hint="eastAsia"/>
                <w:color w:val="000000"/>
                <w:kern w:val="0"/>
                <w:sz w:val="22"/>
              </w:rPr>
              <w:t>年</w:t>
            </w:r>
            <w:r w:rsidR="00E728E4">
              <w:rPr>
                <w:rFonts w:eastAsia="楷体" w:hint="eastAsia"/>
                <w:color w:val="000000"/>
                <w:kern w:val="0"/>
                <w:sz w:val="22"/>
              </w:rPr>
              <w:t>达到</w:t>
            </w:r>
            <w:r w:rsidR="009B7C90" w:rsidRPr="009B7C90">
              <w:rPr>
                <w:rFonts w:eastAsia="楷体"/>
                <w:color w:val="000000"/>
                <w:kern w:val="0"/>
                <w:sz w:val="22"/>
              </w:rPr>
              <w:t xml:space="preserve">16%, </w:t>
            </w:r>
            <w:r w:rsidR="003C6C74">
              <w:rPr>
                <w:rFonts w:eastAsia="楷体" w:hint="eastAsia"/>
                <w:color w:val="000000"/>
                <w:kern w:val="0"/>
                <w:sz w:val="22"/>
              </w:rPr>
              <w:t>到</w:t>
            </w:r>
            <w:r w:rsidR="003C6C74">
              <w:rPr>
                <w:rFonts w:eastAsia="楷体" w:hint="eastAsia"/>
                <w:color w:val="000000"/>
                <w:kern w:val="0"/>
                <w:sz w:val="22"/>
              </w:rPr>
              <w:t>2</w:t>
            </w:r>
            <w:r w:rsidR="003C6C74">
              <w:rPr>
                <w:rFonts w:eastAsia="楷体"/>
                <w:color w:val="000000"/>
                <w:kern w:val="0"/>
                <w:sz w:val="22"/>
              </w:rPr>
              <w:t>030</w:t>
            </w:r>
            <w:r w:rsidR="003C6C74">
              <w:rPr>
                <w:rFonts w:eastAsia="楷体" w:hint="eastAsia"/>
                <w:color w:val="000000"/>
                <w:kern w:val="0"/>
                <w:sz w:val="22"/>
              </w:rPr>
              <w:t>年</w:t>
            </w:r>
            <w:r w:rsidR="00BA40FC">
              <w:rPr>
                <w:rFonts w:eastAsia="楷体" w:hint="eastAsia"/>
                <w:color w:val="000000"/>
                <w:kern w:val="0"/>
                <w:sz w:val="22"/>
              </w:rPr>
              <w:t>达</w:t>
            </w:r>
            <w:r w:rsidR="003C6C74">
              <w:rPr>
                <w:rFonts w:eastAsia="楷体" w:hint="eastAsia"/>
                <w:color w:val="000000"/>
                <w:kern w:val="0"/>
                <w:sz w:val="22"/>
              </w:rPr>
              <w:t>到</w:t>
            </w:r>
            <w:r w:rsidR="009B7C90" w:rsidRPr="009B7C90">
              <w:rPr>
                <w:rFonts w:eastAsia="楷体"/>
                <w:color w:val="000000"/>
                <w:kern w:val="0"/>
                <w:sz w:val="22"/>
              </w:rPr>
              <w:t>20%</w:t>
            </w:r>
            <w:r w:rsidR="003C6C74">
              <w:rPr>
                <w:rFonts w:eastAsia="楷体" w:hint="eastAsia"/>
                <w:color w:val="000000"/>
                <w:kern w:val="0"/>
                <w:sz w:val="22"/>
              </w:rPr>
              <w:t>。</w:t>
            </w:r>
            <w:r w:rsidR="009B7C90" w:rsidRPr="009B7C90">
              <w:rPr>
                <w:rFonts w:eastAsia="楷体"/>
                <w:color w:val="000000"/>
                <w:kern w:val="0"/>
                <w:sz w:val="22"/>
              </w:rPr>
              <w:t xml:space="preserve"> </w:t>
            </w:r>
          </w:p>
        </w:tc>
        <w:tc>
          <w:tcPr>
            <w:tcW w:w="1270" w:type="pct"/>
            <w:tcBorders>
              <w:top w:val="nil"/>
              <w:left w:val="nil"/>
              <w:bottom w:val="single" w:sz="4" w:space="0" w:color="auto"/>
              <w:right w:val="single" w:sz="4" w:space="0" w:color="auto"/>
            </w:tcBorders>
            <w:shd w:val="clear" w:color="auto" w:fill="auto"/>
            <w:hideMark/>
          </w:tcPr>
          <w:p w14:paraId="5D5557F0" w14:textId="226C30D5" w:rsidR="0049707F" w:rsidRDefault="00C54076" w:rsidP="009B7C90">
            <w:pPr>
              <w:widowControl/>
              <w:spacing w:line="240" w:lineRule="auto"/>
              <w:ind w:firstLineChars="0" w:firstLine="0"/>
              <w:jc w:val="left"/>
              <w:rPr>
                <w:rFonts w:eastAsia="楷体"/>
                <w:color w:val="000000"/>
                <w:kern w:val="0"/>
                <w:sz w:val="22"/>
              </w:rPr>
            </w:pPr>
            <w:r>
              <w:rPr>
                <w:rFonts w:eastAsia="楷体"/>
                <w:color w:val="000000"/>
                <w:kern w:val="0"/>
                <w:sz w:val="22"/>
              </w:rPr>
              <w:t>单位周转量能耗量</w:t>
            </w:r>
            <w:r w:rsidR="009B7C90" w:rsidRPr="009B7C90">
              <w:rPr>
                <w:rFonts w:eastAsia="楷体"/>
                <w:color w:val="000000"/>
                <w:kern w:val="0"/>
                <w:sz w:val="22"/>
              </w:rPr>
              <w:t>下降率</w:t>
            </w:r>
            <w:r w:rsidR="009B7C90" w:rsidRPr="009B7C90">
              <w:rPr>
                <w:rFonts w:eastAsia="楷体"/>
                <w:color w:val="000000"/>
                <w:kern w:val="0"/>
                <w:sz w:val="22"/>
              </w:rPr>
              <w:t xml:space="preserve">: </w:t>
            </w:r>
          </w:p>
          <w:p w14:paraId="11D37109" w14:textId="658F6925" w:rsidR="00770DEC" w:rsidRDefault="0049707F" w:rsidP="009B7C90">
            <w:pPr>
              <w:widowControl/>
              <w:spacing w:line="240" w:lineRule="auto"/>
              <w:ind w:firstLineChars="0" w:firstLine="0"/>
              <w:jc w:val="left"/>
              <w:rPr>
                <w:rFonts w:eastAsia="楷体"/>
                <w:color w:val="000000"/>
                <w:kern w:val="0"/>
                <w:sz w:val="22"/>
              </w:rPr>
            </w:pPr>
            <w:r>
              <w:rPr>
                <w:rFonts w:eastAsia="楷体" w:hint="eastAsia"/>
                <w:color w:val="000000"/>
                <w:kern w:val="0"/>
                <w:sz w:val="22"/>
              </w:rPr>
              <w:t>2</w:t>
            </w:r>
            <w:r>
              <w:rPr>
                <w:rFonts w:eastAsia="楷体"/>
                <w:color w:val="000000"/>
                <w:kern w:val="0"/>
                <w:sz w:val="22"/>
              </w:rPr>
              <w:t>025</w:t>
            </w:r>
            <w:r>
              <w:rPr>
                <w:rFonts w:eastAsia="楷体" w:hint="eastAsia"/>
                <w:color w:val="000000"/>
                <w:kern w:val="0"/>
                <w:sz w:val="22"/>
              </w:rPr>
              <w:t>年相比</w:t>
            </w:r>
            <w:r>
              <w:rPr>
                <w:rFonts w:eastAsia="楷体" w:hint="eastAsia"/>
                <w:color w:val="000000"/>
                <w:kern w:val="0"/>
                <w:sz w:val="22"/>
              </w:rPr>
              <w:t>2</w:t>
            </w:r>
            <w:r>
              <w:rPr>
                <w:rFonts w:eastAsia="楷体"/>
                <w:color w:val="000000"/>
                <w:kern w:val="0"/>
                <w:sz w:val="22"/>
              </w:rPr>
              <w:t>020</w:t>
            </w:r>
            <w:r>
              <w:rPr>
                <w:rFonts w:eastAsia="楷体" w:hint="eastAsia"/>
                <w:color w:val="000000"/>
                <w:kern w:val="0"/>
                <w:sz w:val="22"/>
              </w:rPr>
              <w:t>年下降</w:t>
            </w:r>
            <w:r w:rsidR="00A009D2">
              <w:rPr>
                <w:rFonts w:eastAsia="楷体"/>
                <w:color w:val="000000"/>
                <w:kern w:val="0"/>
                <w:sz w:val="22"/>
              </w:rPr>
              <w:t>3.5</w:t>
            </w:r>
            <w:r w:rsidR="006C43F0">
              <w:rPr>
                <w:rFonts w:eastAsia="楷体"/>
                <w:color w:val="000000"/>
                <w:kern w:val="0"/>
                <w:sz w:val="22"/>
              </w:rPr>
              <w:t>%</w:t>
            </w:r>
            <w:r>
              <w:rPr>
                <w:rFonts w:eastAsia="楷体" w:hint="eastAsia"/>
                <w:color w:val="000000"/>
                <w:kern w:val="0"/>
                <w:sz w:val="22"/>
              </w:rPr>
              <w:t>，到</w:t>
            </w:r>
            <w:r>
              <w:rPr>
                <w:rFonts w:eastAsia="楷体" w:hint="eastAsia"/>
                <w:color w:val="000000"/>
                <w:kern w:val="0"/>
                <w:sz w:val="22"/>
              </w:rPr>
              <w:t>2</w:t>
            </w:r>
            <w:r>
              <w:rPr>
                <w:rFonts w:eastAsia="楷体"/>
                <w:color w:val="000000"/>
                <w:kern w:val="0"/>
                <w:sz w:val="22"/>
              </w:rPr>
              <w:t>030</w:t>
            </w:r>
            <w:r>
              <w:rPr>
                <w:rFonts w:eastAsia="楷体" w:hint="eastAsia"/>
                <w:color w:val="000000"/>
                <w:kern w:val="0"/>
                <w:sz w:val="22"/>
              </w:rPr>
              <w:t>年相比</w:t>
            </w:r>
            <w:r>
              <w:rPr>
                <w:rFonts w:eastAsia="楷体" w:hint="eastAsia"/>
                <w:color w:val="000000"/>
                <w:kern w:val="0"/>
                <w:sz w:val="22"/>
              </w:rPr>
              <w:t>2</w:t>
            </w:r>
            <w:r>
              <w:rPr>
                <w:rFonts w:eastAsia="楷体"/>
                <w:color w:val="000000"/>
                <w:kern w:val="0"/>
                <w:sz w:val="22"/>
              </w:rPr>
              <w:t>025</w:t>
            </w:r>
            <w:r>
              <w:rPr>
                <w:rFonts w:eastAsia="楷体" w:hint="eastAsia"/>
                <w:color w:val="000000"/>
                <w:kern w:val="0"/>
                <w:sz w:val="22"/>
              </w:rPr>
              <w:t>年下降</w:t>
            </w:r>
            <w:r w:rsidR="00A009D2">
              <w:rPr>
                <w:rFonts w:eastAsia="楷体"/>
                <w:color w:val="000000"/>
                <w:kern w:val="0"/>
                <w:sz w:val="22"/>
              </w:rPr>
              <w:t>5</w:t>
            </w:r>
            <w:r w:rsidRPr="009B7C90">
              <w:rPr>
                <w:rFonts w:eastAsia="楷体"/>
                <w:color w:val="000000"/>
                <w:kern w:val="0"/>
                <w:sz w:val="22"/>
              </w:rPr>
              <w:t>%</w:t>
            </w:r>
            <w:r>
              <w:rPr>
                <w:rFonts w:eastAsia="楷体" w:hint="eastAsia"/>
                <w:color w:val="000000"/>
                <w:kern w:val="0"/>
                <w:sz w:val="22"/>
              </w:rPr>
              <w:t>。</w:t>
            </w:r>
            <w:r w:rsidR="009B7C90" w:rsidRPr="009B7C90">
              <w:rPr>
                <w:rFonts w:eastAsia="楷体"/>
                <w:color w:val="000000"/>
                <w:kern w:val="0"/>
                <w:sz w:val="22"/>
              </w:rPr>
              <w:br/>
            </w:r>
            <w:r w:rsidR="009B7C90" w:rsidRPr="009B7C90">
              <w:rPr>
                <w:rFonts w:eastAsia="楷体"/>
                <w:color w:val="000000"/>
                <w:kern w:val="0"/>
                <w:sz w:val="22"/>
              </w:rPr>
              <w:t>具体措施</w:t>
            </w:r>
            <w:r w:rsidR="009B7C90" w:rsidRPr="009B7C90">
              <w:rPr>
                <w:rFonts w:eastAsia="楷体"/>
                <w:color w:val="000000"/>
                <w:kern w:val="0"/>
                <w:sz w:val="22"/>
              </w:rPr>
              <w:t>:</w:t>
            </w:r>
            <w:r w:rsidR="009B7C90" w:rsidRPr="009B7C90">
              <w:rPr>
                <w:rFonts w:eastAsia="楷体"/>
                <w:color w:val="000000"/>
                <w:kern w:val="0"/>
                <w:sz w:val="22"/>
              </w:rPr>
              <w:br/>
              <w:t>1.</w:t>
            </w:r>
            <w:r w:rsidR="009B7C90" w:rsidRPr="009B7C90">
              <w:rPr>
                <w:rFonts w:eastAsia="楷体"/>
                <w:color w:val="000000"/>
                <w:kern w:val="0"/>
                <w:sz w:val="22"/>
              </w:rPr>
              <w:t>大型化船舶比例：</w:t>
            </w:r>
            <w:r w:rsidR="006363C0">
              <w:rPr>
                <w:rFonts w:eastAsia="楷体" w:hint="eastAsia"/>
                <w:color w:val="000000"/>
                <w:kern w:val="0"/>
                <w:sz w:val="22"/>
              </w:rPr>
              <w:t>到</w:t>
            </w:r>
            <w:r w:rsidR="006363C0">
              <w:rPr>
                <w:rFonts w:eastAsia="楷体" w:hint="eastAsia"/>
                <w:color w:val="000000"/>
                <w:kern w:val="0"/>
                <w:sz w:val="22"/>
              </w:rPr>
              <w:t>2</w:t>
            </w:r>
            <w:r w:rsidR="006363C0">
              <w:rPr>
                <w:rFonts w:eastAsia="楷体"/>
                <w:color w:val="000000"/>
                <w:kern w:val="0"/>
                <w:sz w:val="22"/>
              </w:rPr>
              <w:t>025</w:t>
            </w:r>
            <w:r w:rsidR="006363C0">
              <w:rPr>
                <w:rFonts w:eastAsia="楷体" w:hint="eastAsia"/>
                <w:color w:val="000000"/>
                <w:kern w:val="0"/>
                <w:sz w:val="22"/>
              </w:rPr>
              <w:t>年</w:t>
            </w:r>
            <w:r w:rsidR="009B7C90" w:rsidRPr="009B7C90">
              <w:rPr>
                <w:rFonts w:eastAsia="楷体"/>
                <w:color w:val="000000"/>
                <w:kern w:val="0"/>
                <w:sz w:val="22"/>
              </w:rPr>
              <w:t>37%,</w:t>
            </w:r>
            <w:r w:rsidR="006363C0">
              <w:rPr>
                <w:rFonts w:eastAsia="楷体" w:hint="eastAsia"/>
                <w:color w:val="000000"/>
                <w:kern w:val="0"/>
                <w:sz w:val="22"/>
              </w:rPr>
              <w:t>到</w:t>
            </w:r>
            <w:r w:rsidR="006363C0">
              <w:rPr>
                <w:rFonts w:eastAsia="楷体" w:hint="eastAsia"/>
                <w:color w:val="000000"/>
                <w:kern w:val="0"/>
                <w:sz w:val="22"/>
              </w:rPr>
              <w:t>2</w:t>
            </w:r>
            <w:r w:rsidR="006363C0">
              <w:rPr>
                <w:rFonts w:eastAsia="楷体"/>
                <w:color w:val="000000"/>
                <w:kern w:val="0"/>
                <w:sz w:val="22"/>
              </w:rPr>
              <w:t>030</w:t>
            </w:r>
            <w:r w:rsidR="006363C0">
              <w:rPr>
                <w:rFonts w:eastAsia="楷体" w:hint="eastAsia"/>
                <w:color w:val="000000"/>
                <w:kern w:val="0"/>
                <w:sz w:val="22"/>
              </w:rPr>
              <w:t>年</w:t>
            </w:r>
            <w:r w:rsidR="009B7C90" w:rsidRPr="009B7C90">
              <w:rPr>
                <w:rFonts w:eastAsia="楷体"/>
                <w:color w:val="000000"/>
                <w:kern w:val="0"/>
                <w:sz w:val="22"/>
              </w:rPr>
              <w:t xml:space="preserve"> 40%</w:t>
            </w:r>
            <w:r w:rsidR="006363C0">
              <w:rPr>
                <w:rFonts w:eastAsia="楷体" w:hint="eastAsia"/>
                <w:color w:val="000000"/>
                <w:kern w:val="0"/>
                <w:sz w:val="22"/>
              </w:rPr>
              <w:t>。</w:t>
            </w:r>
            <w:r w:rsidR="009B7C90" w:rsidRPr="009B7C90">
              <w:rPr>
                <w:rFonts w:eastAsia="楷体"/>
                <w:color w:val="000000"/>
                <w:kern w:val="0"/>
                <w:sz w:val="22"/>
              </w:rPr>
              <w:br/>
              <w:t>2.</w:t>
            </w:r>
            <w:r w:rsidR="009B7C90" w:rsidRPr="009B7C90">
              <w:rPr>
                <w:rFonts w:eastAsia="楷体"/>
                <w:color w:val="000000"/>
                <w:kern w:val="0"/>
                <w:sz w:val="22"/>
              </w:rPr>
              <w:t>岸电使用率：</w:t>
            </w:r>
            <w:r w:rsidR="00DD5236">
              <w:rPr>
                <w:rFonts w:eastAsia="楷体" w:hint="eastAsia"/>
                <w:color w:val="000000"/>
                <w:kern w:val="0"/>
                <w:sz w:val="22"/>
              </w:rPr>
              <w:t>到</w:t>
            </w:r>
            <w:r w:rsidR="00DD5236">
              <w:rPr>
                <w:rFonts w:eastAsia="楷体" w:hint="eastAsia"/>
                <w:color w:val="000000"/>
                <w:kern w:val="0"/>
                <w:sz w:val="22"/>
              </w:rPr>
              <w:t>2</w:t>
            </w:r>
            <w:r w:rsidR="00DD5236">
              <w:rPr>
                <w:rFonts w:eastAsia="楷体"/>
                <w:color w:val="000000"/>
                <w:kern w:val="0"/>
                <w:sz w:val="22"/>
              </w:rPr>
              <w:t>025</w:t>
            </w:r>
            <w:r w:rsidR="00DD5236">
              <w:rPr>
                <w:rFonts w:eastAsia="楷体" w:hint="eastAsia"/>
                <w:color w:val="000000"/>
                <w:kern w:val="0"/>
                <w:sz w:val="22"/>
              </w:rPr>
              <w:t>年</w:t>
            </w:r>
            <w:r w:rsidR="009B7C90" w:rsidRPr="009B7C90">
              <w:rPr>
                <w:rFonts w:eastAsia="楷体"/>
                <w:color w:val="000000"/>
                <w:kern w:val="0"/>
                <w:sz w:val="22"/>
              </w:rPr>
              <w:t>39% ,</w:t>
            </w:r>
            <w:r w:rsidR="003307F8">
              <w:rPr>
                <w:rFonts w:eastAsia="楷体" w:hint="eastAsia"/>
                <w:color w:val="000000"/>
                <w:kern w:val="0"/>
                <w:sz w:val="22"/>
              </w:rPr>
              <w:t>到</w:t>
            </w:r>
            <w:r w:rsidR="003307F8">
              <w:rPr>
                <w:rFonts w:eastAsia="楷体" w:hint="eastAsia"/>
                <w:color w:val="000000"/>
                <w:kern w:val="0"/>
                <w:sz w:val="22"/>
              </w:rPr>
              <w:t>2</w:t>
            </w:r>
            <w:r w:rsidR="003307F8">
              <w:rPr>
                <w:rFonts w:eastAsia="楷体"/>
                <w:color w:val="000000"/>
                <w:kern w:val="0"/>
                <w:sz w:val="22"/>
              </w:rPr>
              <w:t>030</w:t>
            </w:r>
            <w:r w:rsidR="003307F8">
              <w:rPr>
                <w:rFonts w:eastAsia="楷体" w:hint="eastAsia"/>
                <w:color w:val="000000"/>
                <w:kern w:val="0"/>
                <w:sz w:val="22"/>
              </w:rPr>
              <w:t>年</w:t>
            </w:r>
            <w:r w:rsidR="009B7C90" w:rsidRPr="009B7C90">
              <w:rPr>
                <w:rFonts w:eastAsia="楷体"/>
                <w:color w:val="000000"/>
                <w:kern w:val="0"/>
                <w:sz w:val="22"/>
              </w:rPr>
              <w:t xml:space="preserve"> 42%</w:t>
            </w:r>
            <w:r w:rsidR="007C7D87">
              <w:rPr>
                <w:rFonts w:eastAsia="楷体" w:hint="eastAsia"/>
                <w:color w:val="000000"/>
                <w:kern w:val="0"/>
                <w:sz w:val="22"/>
              </w:rPr>
              <w:t>。</w:t>
            </w:r>
            <w:r w:rsidR="009B7C90" w:rsidRPr="009B7C90">
              <w:rPr>
                <w:rFonts w:eastAsia="楷体"/>
                <w:color w:val="000000"/>
                <w:kern w:val="0"/>
                <w:sz w:val="22"/>
              </w:rPr>
              <w:br/>
              <w:t>3.</w:t>
            </w:r>
            <w:r w:rsidR="009B7C90" w:rsidRPr="009B7C90">
              <w:rPr>
                <w:rFonts w:eastAsia="楷体"/>
                <w:color w:val="000000"/>
                <w:kern w:val="0"/>
                <w:sz w:val="22"/>
              </w:rPr>
              <w:t>智能船舶操作系统应用比例：</w:t>
            </w:r>
          </w:p>
          <w:p w14:paraId="7D4B91AE" w14:textId="49C1A45B" w:rsidR="009B7C90" w:rsidRPr="009B7C90" w:rsidRDefault="00770DEC" w:rsidP="009B7C90">
            <w:pPr>
              <w:widowControl/>
              <w:spacing w:line="240" w:lineRule="auto"/>
              <w:ind w:firstLineChars="0" w:firstLine="0"/>
              <w:jc w:val="left"/>
              <w:rPr>
                <w:rFonts w:eastAsia="楷体"/>
                <w:color w:val="000000"/>
                <w:kern w:val="0"/>
                <w:sz w:val="22"/>
              </w:rPr>
            </w:pPr>
            <w:r w:rsidRPr="00770DEC">
              <w:rPr>
                <w:rFonts w:eastAsia="楷体" w:hint="eastAsia"/>
                <w:color w:val="000000"/>
                <w:kern w:val="0"/>
                <w:sz w:val="22"/>
              </w:rPr>
              <w:t>到</w:t>
            </w:r>
            <w:r w:rsidRPr="00770DEC">
              <w:rPr>
                <w:rFonts w:eastAsia="楷体" w:hint="eastAsia"/>
                <w:color w:val="000000"/>
                <w:kern w:val="0"/>
                <w:sz w:val="22"/>
              </w:rPr>
              <w:t>2025</w:t>
            </w:r>
            <w:r w:rsidRPr="00770DEC">
              <w:rPr>
                <w:rFonts w:eastAsia="楷体" w:hint="eastAsia"/>
                <w:color w:val="000000"/>
                <w:kern w:val="0"/>
                <w:sz w:val="22"/>
              </w:rPr>
              <w:t>年达到</w:t>
            </w:r>
            <w:r>
              <w:rPr>
                <w:rFonts w:eastAsia="楷体" w:hint="eastAsia"/>
                <w:color w:val="000000"/>
                <w:kern w:val="0"/>
                <w:sz w:val="22"/>
              </w:rPr>
              <w:t>1</w:t>
            </w:r>
            <w:r>
              <w:rPr>
                <w:rFonts w:eastAsia="楷体"/>
                <w:color w:val="000000"/>
                <w:kern w:val="0"/>
                <w:sz w:val="22"/>
              </w:rPr>
              <w:t>7</w:t>
            </w:r>
            <w:r w:rsidRPr="00770DEC">
              <w:rPr>
                <w:rFonts w:eastAsia="楷体" w:hint="eastAsia"/>
                <w:color w:val="000000"/>
                <w:kern w:val="0"/>
                <w:sz w:val="22"/>
              </w:rPr>
              <w:t xml:space="preserve">%, </w:t>
            </w:r>
            <w:r w:rsidRPr="00770DEC">
              <w:rPr>
                <w:rFonts w:eastAsia="楷体" w:hint="eastAsia"/>
                <w:color w:val="000000"/>
                <w:kern w:val="0"/>
                <w:sz w:val="22"/>
              </w:rPr>
              <w:t>到</w:t>
            </w:r>
            <w:r w:rsidRPr="00770DEC">
              <w:rPr>
                <w:rFonts w:eastAsia="楷体" w:hint="eastAsia"/>
                <w:color w:val="000000"/>
                <w:kern w:val="0"/>
                <w:sz w:val="22"/>
              </w:rPr>
              <w:t>2030</w:t>
            </w:r>
            <w:r w:rsidRPr="00770DEC">
              <w:rPr>
                <w:rFonts w:eastAsia="楷体" w:hint="eastAsia"/>
                <w:color w:val="000000"/>
                <w:kern w:val="0"/>
                <w:sz w:val="22"/>
              </w:rPr>
              <w:t>年达到</w:t>
            </w:r>
            <w:r>
              <w:rPr>
                <w:rFonts w:eastAsia="楷体" w:hint="eastAsia"/>
                <w:color w:val="000000"/>
                <w:kern w:val="0"/>
                <w:sz w:val="22"/>
              </w:rPr>
              <w:t>2</w:t>
            </w:r>
            <w:r>
              <w:rPr>
                <w:rFonts w:eastAsia="楷体"/>
                <w:color w:val="000000"/>
                <w:kern w:val="0"/>
                <w:sz w:val="22"/>
              </w:rPr>
              <w:t>5</w:t>
            </w:r>
            <w:r w:rsidRPr="00770DEC">
              <w:rPr>
                <w:rFonts w:eastAsia="楷体" w:hint="eastAsia"/>
                <w:color w:val="000000"/>
                <w:kern w:val="0"/>
                <w:sz w:val="22"/>
              </w:rPr>
              <w:t>%</w:t>
            </w:r>
            <w:r w:rsidRPr="00770DEC">
              <w:rPr>
                <w:rFonts w:eastAsia="楷体" w:hint="eastAsia"/>
                <w:color w:val="000000"/>
                <w:kern w:val="0"/>
                <w:sz w:val="22"/>
              </w:rPr>
              <w:t>。</w:t>
            </w:r>
          </w:p>
        </w:tc>
        <w:tc>
          <w:tcPr>
            <w:tcW w:w="1343" w:type="pct"/>
            <w:tcBorders>
              <w:top w:val="nil"/>
              <w:left w:val="nil"/>
              <w:bottom w:val="single" w:sz="4" w:space="0" w:color="auto"/>
              <w:right w:val="single" w:sz="4" w:space="0" w:color="auto"/>
            </w:tcBorders>
            <w:shd w:val="clear" w:color="auto" w:fill="auto"/>
            <w:hideMark/>
          </w:tcPr>
          <w:p w14:paraId="18650936" w14:textId="24CB10D3" w:rsidR="00BA14E2" w:rsidRDefault="00C54076" w:rsidP="009B7C90">
            <w:pPr>
              <w:widowControl/>
              <w:spacing w:line="240" w:lineRule="auto"/>
              <w:ind w:firstLineChars="0" w:firstLine="0"/>
              <w:jc w:val="left"/>
              <w:rPr>
                <w:rFonts w:eastAsia="楷体"/>
                <w:color w:val="000000"/>
                <w:kern w:val="0"/>
                <w:sz w:val="22"/>
              </w:rPr>
            </w:pPr>
            <w:r>
              <w:rPr>
                <w:rFonts w:eastAsia="楷体"/>
                <w:color w:val="000000"/>
                <w:kern w:val="0"/>
                <w:sz w:val="22"/>
              </w:rPr>
              <w:t>单位周转量能耗量</w:t>
            </w:r>
            <w:r w:rsidR="009B7C90" w:rsidRPr="009B7C90">
              <w:rPr>
                <w:rFonts w:eastAsia="楷体"/>
                <w:color w:val="000000"/>
                <w:kern w:val="0"/>
                <w:sz w:val="22"/>
              </w:rPr>
              <w:t>下降率</w:t>
            </w:r>
            <w:r w:rsidR="009B7C90" w:rsidRPr="009B7C90">
              <w:rPr>
                <w:rFonts w:eastAsia="楷体"/>
                <w:color w:val="000000"/>
                <w:kern w:val="0"/>
                <w:sz w:val="22"/>
              </w:rPr>
              <w:t xml:space="preserve">: </w:t>
            </w:r>
          </w:p>
          <w:p w14:paraId="0474B0DF" w14:textId="1D51395C" w:rsidR="006363C0" w:rsidRDefault="00BA14E2" w:rsidP="009B7C90">
            <w:pPr>
              <w:widowControl/>
              <w:spacing w:line="240" w:lineRule="auto"/>
              <w:ind w:firstLineChars="0" w:firstLine="0"/>
              <w:jc w:val="left"/>
              <w:rPr>
                <w:rFonts w:eastAsia="楷体"/>
                <w:color w:val="000000"/>
                <w:kern w:val="0"/>
                <w:sz w:val="22"/>
              </w:rPr>
            </w:pPr>
            <w:r>
              <w:rPr>
                <w:rFonts w:eastAsia="楷体" w:hint="eastAsia"/>
                <w:color w:val="000000"/>
                <w:kern w:val="0"/>
                <w:sz w:val="22"/>
              </w:rPr>
              <w:t>2</w:t>
            </w:r>
            <w:r>
              <w:rPr>
                <w:rFonts w:eastAsia="楷体"/>
                <w:color w:val="000000"/>
                <w:kern w:val="0"/>
                <w:sz w:val="22"/>
              </w:rPr>
              <w:t>025</w:t>
            </w:r>
            <w:r>
              <w:rPr>
                <w:rFonts w:eastAsia="楷体" w:hint="eastAsia"/>
                <w:color w:val="000000"/>
                <w:kern w:val="0"/>
                <w:sz w:val="22"/>
              </w:rPr>
              <w:t>年相比</w:t>
            </w:r>
            <w:r>
              <w:rPr>
                <w:rFonts w:eastAsia="楷体" w:hint="eastAsia"/>
                <w:color w:val="000000"/>
                <w:kern w:val="0"/>
                <w:sz w:val="22"/>
              </w:rPr>
              <w:t>2</w:t>
            </w:r>
            <w:r>
              <w:rPr>
                <w:rFonts w:eastAsia="楷体"/>
                <w:color w:val="000000"/>
                <w:kern w:val="0"/>
                <w:sz w:val="22"/>
              </w:rPr>
              <w:t>020</w:t>
            </w:r>
            <w:r>
              <w:rPr>
                <w:rFonts w:eastAsia="楷体" w:hint="eastAsia"/>
                <w:color w:val="000000"/>
                <w:kern w:val="0"/>
                <w:sz w:val="22"/>
              </w:rPr>
              <w:t>年下降</w:t>
            </w:r>
            <w:r w:rsidR="00057973">
              <w:rPr>
                <w:rFonts w:eastAsia="楷体"/>
                <w:color w:val="000000"/>
                <w:kern w:val="0"/>
                <w:sz w:val="22"/>
              </w:rPr>
              <w:t>4</w:t>
            </w:r>
            <w:r w:rsidRPr="009B7C90">
              <w:rPr>
                <w:rFonts w:eastAsia="楷体"/>
                <w:color w:val="000000"/>
                <w:kern w:val="0"/>
                <w:sz w:val="22"/>
              </w:rPr>
              <w:t xml:space="preserve">% </w:t>
            </w:r>
            <w:r>
              <w:rPr>
                <w:rFonts w:eastAsia="楷体" w:hint="eastAsia"/>
                <w:color w:val="000000"/>
                <w:kern w:val="0"/>
                <w:sz w:val="22"/>
              </w:rPr>
              <w:t>，到</w:t>
            </w:r>
            <w:r>
              <w:rPr>
                <w:rFonts w:eastAsia="楷体" w:hint="eastAsia"/>
                <w:color w:val="000000"/>
                <w:kern w:val="0"/>
                <w:sz w:val="22"/>
              </w:rPr>
              <w:t>2</w:t>
            </w:r>
            <w:r>
              <w:rPr>
                <w:rFonts w:eastAsia="楷体"/>
                <w:color w:val="000000"/>
                <w:kern w:val="0"/>
                <w:sz w:val="22"/>
              </w:rPr>
              <w:t>030</w:t>
            </w:r>
            <w:r>
              <w:rPr>
                <w:rFonts w:eastAsia="楷体" w:hint="eastAsia"/>
                <w:color w:val="000000"/>
                <w:kern w:val="0"/>
                <w:sz w:val="22"/>
              </w:rPr>
              <w:t>年相比</w:t>
            </w:r>
            <w:r>
              <w:rPr>
                <w:rFonts w:eastAsia="楷体" w:hint="eastAsia"/>
                <w:color w:val="000000"/>
                <w:kern w:val="0"/>
                <w:sz w:val="22"/>
              </w:rPr>
              <w:t>2</w:t>
            </w:r>
            <w:r>
              <w:rPr>
                <w:rFonts w:eastAsia="楷体"/>
                <w:color w:val="000000"/>
                <w:kern w:val="0"/>
                <w:sz w:val="22"/>
              </w:rPr>
              <w:t>025</w:t>
            </w:r>
            <w:r>
              <w:rPr>
                <w:rFonts w:eastAsia="楷体" w:hint="eastAsia"/>
                <w:color w:val="000000"/>
                <w:kern w:val="0"/>
                <w:sz w:val="22"/>
              </w:rPr>
              <w:t>年下降</w:t>
            </w:r>
            <w:r w:rsidR="00057973">
              <w:rPr>
                <w:rFonts w:eastAsia="楷体"/>
                <w:color w:val="000000"/>
                <w:kern w:val="0"/>
                <w:sz w:val="22"/>
              </w:rPr>
              <w:t>6</w:t>
            </w:r>
            <w:r w:rsidRPr="009B7C90">
              <w:rPr>
                <w:rFonts w:eastAsia="楷体"/>
                <w:color w:val="000000"/>
                <w:kern w:val="0"/>
                <w:sz w:val="22"/>
              </w:rPr>
              <w:t>%</w:t>
            </w:r>
            <w:r>
              <w:rPr>
                <w:rFonts w:eastAsia="楷体" w:hint="eastAsia"/>
                <w:color w:val="000000"/>
                <w:kern w:val="0"/>
                <w:sz w:val="22"/>
              </w:rPr>
              <w:t>。</w:t>
            </w:r>
            <w:r w:rsidR="009B7C90" w:rsidRPr="009B7C90">
              <w:rPr>
                <w:rFonts w:eastAsia="楷体"/>
                <w:color w:val="000000"/>
                <w:kern w:val="0"/>
                <w:sz w:val="22"/>
              </w:rPr>
              <w:br/>
            </w:r>
            <w:r w:rsidR="009B7C90" w:rsidRPr="009B7C90">
              <w:rPr>
                <w:rFonts w:eastAsia="楷体"/>
                <w:color w:val="000000"/>
                <w:kern w:val="0"/>
                <w:sz w:val="22"/>
              </w:rPr>
              <w:t>具体措施</w:t>
            </w:r>
            <w:r w:rsidR="009B7C90" w:rsidRPr="009B7C90">
              <w:rPr>
                <w:rFonts w:eastAsia="楷体"/>
                <w:color w:val="000000"/>
                <w:kern w:val="0"/>
                <w:sz w:val="22"/>
              </w:rPr>
              <w:t>:</w:t>
            </w:r>
            <w:r w:rsidR="009B7C90" w:rsidRPr="009B7C90">
              <w:rPr>
                <w:rFonts w:eastAsia="楷体"/>
                <w:color w:val="000000"/>
                <w:kern w:val="0"/>
                <w:sz w:val="22"/>
              </w:rPr>
              <w:br/>
              <w:t>1.</w:t>
            </w:r>
            <w:r w:rsidR="009B7C90" w:rsidRPr="009B7C90">
              <w:rPr>
                <w:rFonts w:eastAsia="楷体"/>
                <w:color w:val="000000"/>
                <w:kern w:val="0"/>
                <w:sz w:val="22"/>
              </w:rPr>
              <w:t>大型化船舶比例：</w:t>
            </w:r>
          </w:p>
          <w:p w14:paraId="5720AFB4" w14:textId="36AED978" w:rsidR="009B7C90" w:rsidRPr="009B7C90" w:rsidRDefault="006363C0" w:rsidP="00331183">
            <w:pPr>
              <w:widowControl/>
              <w:spacing w:line="240" w:lineRule="auto"/>
              <w:ind w:firstLineChars="0" w:firstLine="0"/>
              <w:jc w:val="left"/>
              <w:rPr>
                <w:rFonts w:eastAsia="楷体"/>
                <w:color w:val="000000"/>
                <w:kern w:val="0"/>
                <w:sz w:val="22"/>
              </w:rPr>
            </w:pPr>
            <w:r>
              <w:rPr>
                <w:rFonts w:eastAsia="楷体" w:hint="eastAsia"/>
                <w:color w:val="000000"/>
                <w:kern w:val="0"/>
                <w:sz w:val="22"/>
              </w:rPr>
              <w:t>到</w:t>
            </w:r>
            <w:r>
              <w:rPr>
                <w:rFonts w:eastAsia="楷体" w:hint="eastAsia"/>
                <w:color w:val="000000"/>
                <w:kern w:val="0"/>
                <w:sz w:val="22"/>
              </w:rPr>
              <w:t>2</w:t>
            </w:r>
            <w:r>
              <w:rPr>
                <w:rFonts w:eastAsia="楷体"/>
                <w:color w:val="000000"/>
                <w:kern w:val="0"/>
                <w:sz w:val="22"/>
              </w:rPr>
              <w:t>025</w:t>
            </w:r>
            <w:r>
              <w:rPr>
                <w:rFonts w:eastAsia="楷体" w:hint="eastAsia"/>
                <w:color w:val="000000"/>
                <w:kern w:val="0"/>
                <w:sz w:val="22"/>
              </w:rPr>
              <w:t>年</w:t>
            </w:r>
            <w:r w:rsidR="009B7C90" w:rsidRPr="009B7C90">
              <w:rPr>
                <w:rFonts w:eastAsia="楷体"/>
                <w:color w:val="000000"/>
                <w:kern w:val="0"/>
                <w:sz w:val="22"/>
              </w:rPr>
              <w:t>38%,</w:t>
            </w:r>
            <w:r>
              <w:rPr>
                <w:rFonts w:eastAsia="楷体" w:hint="eastAsia"/>
                <w:color w:val="000000"/>
                <w:kern w:val="0"/>
                <w:sz w:val="22"/>
              </w:rPr>
              <w:t>到</w:t>
            </w:r>
            <w:r>
              <w:rPr>
                <w:rFonts w:eastAsia="楷体" w:hint="eastAsia"/>
                <w:color w:val="000000"/>
                <w:kern w:val="0"/>
                <w:sz w:val="22"/>
              </w:rPr>
              <w:t>2</w:t>
            </w:r>
            <w:r>
              <w:rPr>
                <w:rFonts w:eastAsia="楷体"/>
                <w:color w:val="000000"/>
                <w:kern w:val="0"/>
                <w:sz w:val="22"/>
              </w:rPr>
              <w:t>030</w:t>
            </w:r>
            <w:r>
              <w:rPr>
                <w:rFonts w:eastAsia="楷体" w:hint="eastAsia"/>
                <w:color w:val="000000"/>
                <w:kern w:val="0"/>
                <w:sz w:val="22"/>
              </w:rPr>
              <w:t>年</w:t>
            </w:r>
            <w:r w:rsidR="009B7C90" w:rsidRPr="009B7C90">
              <w:rPr>
                <w:rFonts w:eastAsia="楷体"/>
                <w:color w:val="000000"/>
                <w:kern w:val="0"/>
                <w:sz w:val="22"/>
              </w:rPr>
              <w:t xml:space="preserve"> 41%</w:t>
            </w:r>
            <w:r>
              <w:rPr>
                <w:rFonts w:eastAsia="楷体" w:hint="eastAsia"/>
                <w:color w:val="000000"/>
                <w:kern w:val="0"/>
                <w:sz w:val="22"/>
              </w:rPr>
              <w:t>。</w:t>
            </w:r>
            <w:r w:rsidR="009B7C90" w:rsidRPr="009B7C90">
              <w:rPr>
                <w:rFonts w:eastAsia="楷体"/>
                <w:color w:val="000000"/>
                <w:kern w:val="0"/>
                <w:sz w:val="22"/>
              </w:rPr>
              <w:br/>
              <w:t>2.</w:t>
            </w:r>
            <w:r w:rsidR="009B7C90" w:rsidRPr="009B7C90">
              <w:rPr>
                <w:rFonts w:eastAsia="楷体"/>
                <w:color w:val="000000"/>
                <w:kern w:val="0"/>
                <w:sz w:val="22"/>
              </w:rPr>
              <w:t>岸电使用率：</w:t>
            </w:r>
            <w:r w:rsidR="00562E68">
              <w:rPr>
                <w:rFonts w:eastAsia="楷体" w:hint="eastAsia"/>
                <w:color w:val="000000"/>
                <w:kern w:val="0"/>
                <w:sz w:val="22"/>
              </w:rPr>
              <w:t>到</w:t>
            </w:r>
            <w:r w:rsidR="00562E68">
              <w:rPr>
                <w:rFonts w:eastAsia="楷体" w:hint="eastAsia"/>
                <w:color w:val="000000"/>
                <w:kern w:val="0"/>
                <w:sz w:val="22"/>
              </w:rPr>
              <w:t>2</w:t>
            </w:r>
            <w:r w:rsidR="00562E68">
              <w:rPr>
                <w:rFonts w:eastAsia="楷体"/>
                <w:color w:val="000000"/>
                <w:kern w:val="0"/>
                <w:sz w:val="22"/>
              </w:rPr>
              <w:t>025</w:t>
            </w:r>
            <w:r w:rsidR="00562E68">
              <w:rPr>
                <w:rFonts w:eastAsia="楷体" w:hint="eastAsia"/>
                <w:color w:val="000000"/>
                <w:kern w:val="0"/>
                <w:sz w:val="22"/>
              </w:rPr>
              <w:t>年</w:t>
            </w:r>
            <w:r w:rsidR="009B7C90" w:rsidRPr="009B7C90">
              <w:rPr>
                <w:rFonts w:eastAsia="楷体"/>
                <w:color w:val="000000"/>
                <w:kern w:val="0"/>
                <w:sz w:val="22"/>
              </w:rPr>
              <w:t>40%</w:t>
            </w:r>
            <w:r w:rsidR="00562E68">
              <w:rPr>
                <w:rFonts w:eastAsia="楷体" w:hint="eastAsia"/>
                <w:color w:val="000000"/>
                <w:kern w:val="0"/>
                <w:sz w:val="22"/>
              </w:rPr>
              <w:t>，到</w:t>
            </w:r>
            <w:r w:rsidR="00562E68">
              <w:rPr>
                <w:rFonts w:eastAsia="楷体" w:hint="eastAsia"/>
                <w:color w:val="000000"/>
                <w:kern w:val="0"/>
                <w:sz w:val="22"/>
              </w:rPr>
              <w:t>2</w:t>
            </w:r>
            <w:r w:rsidR="00562E68">
              <w:rPr>
                <w:rFonts w:eastAsia="楷体"/>
                <w:color w:val="000000"/>
                <w:kern w:val="0"/>
                <w:sz w:val="22"/>
              </w:rPr>
              <w:t>030</w:t>
            </w:r>
            <w:r w:rsidR="00562E68">
              <w:rPr>
                <w:rFonts w:eastAsia="楷体" w:hint="eastAsia"/>
                <w:color w:val="000000"/>
                <w:kern w:val="0"/>
                <w:sz w:val="22"/>
              </w:rPr>
              <w:t>年</w:t>
            </w:r>
            <w:r w:rsidR="009B7C90" w:rsidRPr="009B7C90">
              <w:rPr>
                <w:rFonts w:eastAsia="楷体"/>
                <w:color w:val="000000"/>
                <w:kern w:val="0"/>
                <w:sz w:val="22"/>
              </w:rPr>
              <w:t>45%</w:t>
            </w:r>
            <w:r w:rsidR="00562E68">
              <w:rPr>
                <w:rFonts w:eastAsia="楷体" w:hint="eastAsia"/>
                <w:color w:val="000000"/>
                <w:kern w:val="0"/>
                <w:sz w:val="22"/>
              </w:rPr>
              <w:t>。</w:t>
            </w:r>
            <w:r w:rsidR="009B7C90" w:rsidRPr="009B7C90">
              <w:rPr>
                <w:rFonts w:eastAsia="楷体"/>
                <w:color w:val="000000"/>
                <w:kern w:val="0"/>
                <w:sz w:val="22"/>
              </w:rPr>
              <w:br/>
              <w:t>3.</w:t>
            </w:r>
            <w:r w:rsidR="009B7C90" w:rsidRPr="009B7C90">
              <w:rPr>
                <w:rFonts w:eastAsia="楷体"/>
                <w:color w:val="000000"/>
                <w:kern w:val="0"/>
                <w:sz w:val="22"/>
              </w:rPr>
              <w:t>智能船舶操作系统应用比例：</w:t>
            </w:r>
            <w:r w:rsidR="001D7233">
              <w:rPr>
                <w:rFonts w:eastAsia="楷体" w:hint="eastAsia"/>
                <w:color w:val="000000"/>
                <w:kern w:val="0"/>
                <w:sz w:val="22"/>
              </w:rPr>
              <w:t>到</w:t>
            </w:r>
            <w:r w:rsidR="001D7233">
              <w:rPr>
                <w:rFonts w:eastAsia="楷体" w:hint="eastAsia"/>
                <w:color w:val="000000"/>
                <w:kern w:val="0"/>
                <w:sz w:val="22"/>
              </w:rPr>
              <w:t>2</w:t>
            </w:r>
            <w:r w:rsidR="001D7233">
              <w:rPr>
                <w:rFonts w:eastAsia="楷体"/>
                <w:color w:val="000000"/>
                <w:kern w:val="0"/>
                <w:sz w:val="22"/>
              </w:rPr>
              <w:t>025</w:t>
            </w:r>
            <w:r w:rsidR="001D7233">
              <w:rPr>
                <w:rFonts w:eastAsia="楷体" w:hint="eastAsia"/>
                <w:color w:val="000000"/>
                <w:kern w:val="0"/>
                <w:sz w:val="22"/>
              </w:rPr>
              <w:t>年</w:t>
            </w:r>
            <w:r w:rsidR="009B7C90" w:rsidRPr="009B7C90">
              <w:rPr>
                <w:rFonts w:eastAsia="楷体"/>
                <w:color w:val="000000"/>
                <w:kern w:val="0"/>
                <w:sz w:val="22"/>
              </w:rPr>
              <w:t xml:space="preserve">20%, </w:t>
            </w:r>
            <w:r w:rsidR="001D7233">
              <w:rPr>
                <w:rFonts w:eastAsia="楷体" w:hint="eastAsia"/>
                <w:color w:val="000000"/>
                <w:kern w:val="0"/>
                <w:sz w:val="22"/>
              </w:rPr>
              <w:t>到</w:t>
            </w:r>
            <w:r w:rsidR="001D7233">
              <w:rPr>
                <w:rFonts w:eastAsia="楷体" w:hint="eastAsia"/>
                <w:color w:val="000000"/>
                <w:kern w:val="0"/>
                <w:sz w:val="22"/>
              </w:rPr>
              <w:t>2</w:t>
            </w:r>
            <w:r w:rsidR="001D7233">
              <w:rPr>
                <w:rFonts w:eastAsia="楷体"/>
                <w:color w:val="000000"/>
                <w:kern w:val="0"/>
                <w:sz w:val="22"/>
              </w:rPr>
              <w:t>030</w:t>
            </w:r>
            <w:r w:rsidR="001D7233">
              <w:rPr>
                <w:rFonts w:eastAsia="楷体" w:hint="eastAsia"/>
                <w:color w:val="000000"/>
                <w:kern w:val="0"/>
                <w:sz w:val="22"/>
              </w:rPr>
              <w:t>年</w:t>
            </w:r>
            <w:r w:rsidR="009B7C90" w:rsidRPr="009B7C90">
              <w:rPr>
                <w:rFonts w:eastAsia="楷体"/>
                <w:color w:val="000000"/>
                <w:kern w:val="0"/>
                <w:sz w:val="22"/>
              </w:rPr>
              <w:t>30%</w:t>
            </w:r>
            <w:r w:rsidR="001D7233">
              <w:rPr>
                <w:rFonts w:eastAsia="楷体" w:hint="eastAsia"/>
                <w:color w:val="000000"/>
                <w:kern w:val="0"/>
                <w:sz w:val="22"/>
              </w:rPr>
              <w:t>。</w:t>
            </w:r>
          </w:p>
        </w:tc>
      </w:tr>
      <w:tr w:rsidR="009B7C90" w:rsidRPr="009B7C90" w14:paraId="6AA55A73" w14:textId="77777777" w:rsidTr="00495167">
        <w:trPr>
          <w:trHeight w:val="840"/>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7E59A47B"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3.3</w:t>
            </w:r>
          </w:p>
        </w:tc>
        <w:tc>
          <w:tcPr>
            <w:tcW w:w="857" w:type="pct"/>
            <w:tcBorders>
              <w:top w:val="nil"/>
              <w:left w:val="nil"/>
              <w:bottom w:val="single" w:sz="4" w:space="0" w:color="auto"/>
              <w:right w:val="single" w:sz="4" w:space="0" w:color="auto"/>
            </w:tcBorders>
            <w:shd w:val="clear" w:color="auto" w:fill="auto"/>
            <w:noWrap/>
            <w:vAlign w:val="center"/>
            <w:hideMark/>
          </w:tcPr>
          <w:p w14:paraId="5007F074"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民航运输能效提升</w:t>
            </w:r>
          </w:p>
        </w:tc>
        <w:tc>
          <w:tcPr>
            <w:tcW w:w="1271" w:type="pct"/>
            <w:tcBorders>
              <w:top w:val="nil"/>
              <w:left w:val="nil"/>
              <w:bottom w:val="single" w:sz="4" w:space="0" w:color="auto"/>
              <w:right w:val="single" w:sz="4" w:space="0" w:color="auto"/>
            </w:tcBorders>
            <w:shd w:val="clear" w:color="auto" w:fill="auto"/>
            <w:hideMark/>
          </w:tcPr>
          <w:p w14:paraId="5BA07006" w14:textId="758614D4"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单位周转量能耗</w:t>
            </w:r>
            <w:r w:rsidR="00591567">
              <w:rPr>
                <w:rFonts w:eastAsia="楷体" w:hint="eastAsia"/>
                <w:color w:val="000000"/>
                <w:kern w:val="0"/>
                <w:sz w:val="22"/>
              </w:rPr>
              <w:t>量</w:t>
            </w:r>
            <w:r w:rsidRPr="009B7C90">
              <w:rPr>
                <w:rFonts w:eastAsia="楷体"/>
                <w:color w:val="000000"/>
                <w:kern w:val="0"/>
                <w:sz w:val="22"/>
              </w:rPr>
              <w:t>下降率</w:t>
            </w:r>
            <w:r w:rsidRPr="009B7C90">
              <w:rPr>
                <w:rFonts w:eastAsia="楷体"/>
                <w:color w:val="000000"/>
                <w:kern w:val="0"/>
                <w:sz w:val="22"/>
              </w:rPr>
              <w:t xml:space="preserve">: </w:t>
            </w:r>
            <w:r w:rsidR="00591567">
              <w:rPr>
                <w:rFonts w:eastAsia="楷体" w:hint="eastAsia"/>
                <w:color w:val="000000"/>
                <w:kern w:val="0"/>
                <w:sz w:val="22"/>
              </w:rPr>
              <w:t>到</w:t>
            </w:r>
            <w:r w:rsidR="00591567">
              <w:rPr>
                <w:rFonts w:eastAsia="楷体" w:hint="eastAsia"/>
                <w:color w:val="000000"/>
                <w:kern w:val="0"/>
                <w:sz w:val="22"/>
              </w:rPr>
              <w:t>2</w:t>
            </w:r>
            <w:r w:rsidR="00591567">
              <w:rPr>
                <w:rFonts w:eastAsia="楷体"/>
                <w:color w:val="000000"/>
                <w:kern w:val="0"/>
                <w:sz w:val="22"/>
              </w:rPr>
              <w:t>025</w:t>
            </w:r>
            <w:r w:rsidR="00591567">
              <w:rPr>
                <w:rFonts w:eastAsia="楷体" w:hint="eastAsia"/>
                <w:color w:val="000000"/>
                <w:kern w:val="0"/>
                <w:sz w:val="22"/>
              </w:rPr>
              <w:t>年相比</w:t>
            </w:r>
            <w:r w:rsidR="00591567">
              <w:rPr>
                <w:rFonts w:eastAsia="楷体" w:hint="eastAsia"/>
                <w:color w:val="000000"/>
                <w:kern w:val="0"/>
                <w:sz w:val="22"/>
              </w:rPr>
              <w:t>2</w:t>
            </w:r>
            <w:r w:rsidR="00591567">
              <w:rPr>
                <w:rFonts w:eastAsia="楷体"/>
                <w:color w:val="000000"/>
                <w:kern w:val="0"/>
                <w:sz w:val="22"/>
              </w:rPr>
              <w:t>020</w:t>
            </w:r>
            <w:r w:rsidR="00591567">
              <w:rPr>
                <w:rFonts w:eastAsia="楷体" w:hint="eastAsia"/>
                <w:color w:val="000000"/>
                <w:kern w:val="0"/>
                <w:sz w:val="22"/>
              </w:rPr>
              <w:t>年下降</w:t>
            </w:r>
            <w:r w:rsidR="00591567">
              <w:rPr>
                <w:rFonts w:eastAsia="楷体"/>
                <w:color w:val="000000"/>
                <w:kern w:val="0"/>
                <w:sz w:val="22"/>
              </w:rPr>
              <w:t>2</w:t>
            </w:r>
            <w:r w:rsidR="00591567" w:rsidRPr="009B7C90">
              <w:rPr>
                <w:rFonts w:eastAsia="楷体"/>
                <w:color w:val="000000"/>
                <w:kern w:val="0"/>
                <w:sz w:val="22"/>
              </w:rPr>
              <w:t xml:space="preserve">%, </w:t>
            </w:r>
            <w:r w:rsidR="00591567">
              <w:rPr>
                <w:rFonts w:eastAsia="楷体" w:hint="eastAsia"/>
                <w:color w:val="000000"/>
                <w:kern w:val="0"/>
                <w:sz w:val="22"/>
              </w:rPr>
              <w:t>到</w:t>
            </w:r>
            <w:r w:rsidR="00591567">
              <w:rPr>
                <w:rFonts w:eastAsia="楷体" w:hint="eastAsia"/>
                <w:color w:val="000000"/>
                <w:kern w:val="0"/>
                <w:sz w:val="22"/>
              </w:rPr>
              <w:t>2</w:t>
            </w:r>
            <w:r w:rsidR="00591567">
              <w:rPr>
                <w:rFonts w:eastAsia="楷体"/>
                <w:color w:val="000000"/>
                <w:kern w:val="0"/>
                <w:sz w:val="22"/>
              </w:rPr>
              <w:t>030</w:t>
            </w:r>
            <w:r w:rsidR="00591567">
              <w:rPr>
                <w:rFonts w:eastAsia="楷体" w:hint="eastAsia"/>
                <w:color w:val="000000"/>
                <w:kern w:val="0"/>
                <w:sz w:val="22"/>
              </w:rPr>
              <w:t>年相比</w:t>
            </w:r>
            <w:r w:rsidR="00591567">
              <w:rPr>
                <w:rFonts w:eastAsia="楷体" w:hint="eastAsia"/>
                <w:color w:val="000000"/>
                <w:kern w:val="0"/>
                <w:sz w:val="22"/>
              </w:rPr>
              <w:t>2</w:t>
            </w:r>
            <w:r w:rsidR="00591567">
              <w:rPr>
                <w:rFonts w:eastAsia="楷体"/>
                <w:color w:val="000000"/>
                <w:kern w:val="0"/>
                <w:sz w:val="22"/>
              </w:rPr>
              <w:t>025</w:t>
            </w:r>
            <w:r w:rsidR="00591567">
              <w:rPr>
                <w:rFonts w:eastAsia="楷体" w:hint="eastAsia"/>
                <w:color w:val="000000"/>
                <w:kern w:val="0"/>
                <w:sz w:val="22"/>
              </w:rPr>
              <w:t>年下降</w:t>
            </w:r>
            <w:r w:rsidR="00591567">
              <w:rPr>
                <w:rFonts w:eastAsia="楷体"/>
                <w:color w:val="000000"/>
                <w:kern w:val="0"/>
                <w:sz w:val="22"/>
              </w:rPr>
              <w:t>2</w:t>
            </w:r>
            <w:r w:rsidR="00591567" w:rsidRPr="009B7C90">
              <w:rPr>
                <w:rFonts w:eastAsia="楷体"/>
                <w:color w:val="000000"/>
                <w:kern w:val="0"/>
                <w:sz w:val="22"/>
              </w:rPr>
              <w:t>%</w:t>
            </w:r>
            <w:r w:rsidR="00591567">
              <w:rPr>
                <w:rFonts w:eastAsia="楷体" w:hint="eastAsia"/>
                <w:color w:val="000000"/>
                <w:kern w:val="0"/>
                <w:sz w:val="22"/>
              </w:rPr>
              <w:t>。</w:t>
            </w:r>
          </w:p>
        </w:tc>
        <w:tc>
          <w:tcPr>
            <w:tcW w:w="1270" w:type="pct"/>
            <w:tcBorders>
              <w:top w:val="nil"/>
              <w:left w:val="nil"/>
              <w:bottom w:val="single" w:sz="4" w:space="0" w:color="auto"/>
              <w:right w:val="single" w:sz="4" w:space="0" w:color="auto"/>
            </w:tcBorders>
            <w:shd w:val="clear" w:color="auto" w:fill="auto"/>
            <w:hideMark/>
          </w:tcPr>
          <w:p w14:paraId="34F686DF" w14:textId="7FA55604" w:rsidR="009B7C90" w:rsidRPr="009B7C90" w:rsidRDefault="009B7C90" w:rsidP="00331183">
            <w:pPr>
              <w:widowControl/>
              <w:spacing w:line="240" w:lineRule="auto"/>
              <w:ind w:firstLineChars="0" w:firstLine="0"/>
              <w:jc w:val="left"/>
              <w:rPr>
                <w:rFonts w:eastAsia="楷体"/>
                <w:color w:val="000000"/>
                <w:kern w:val="0"/>
                <w:sz w:val="22"/>
              </w:rPr>
            </w:pPr>
            <w:r w:rsidRPr="009B7C90">
              <w:rPr>
                <w:rFonts w:eastAsia="楷体"/>
                <w:color w:val="000000"/>
                <w:kern w:val="0"/>
                <w:sz w:val="22"/>
              </w:rPr>
              <w:t>单位周转量能耗</w:t>
            </w:r>
            <w:r w:rsidR="00527A69">
              <w:rPr>
                <w:rFonts w:eastAsia="楷体" w:hint="eastAsia"/>
                <w:color w:val="000000"/>
                <w:kern w:val="0"/>
                <w:sz w:val="22"/>
              </w:rPr>
              <w:t>量</w:t>
            </w:r>
            <w:r w:rsidRPr="009B7C90">
              <w:rPr>
                <w:rFonts w:eastAsia="楷体"/>
                <w:color w:val="000000"/>
                <w:kern w:val="0"/>
                <w:sz w:val="22"/>
              </w:rPr>
              <w:t>下降率</w:t>
            </w:r>
            <w:r w:rsidRPr="009B7C90">
              <w:rPr>
                <w:rFonts w:eastAsia="楷体"/>
                <w:color w:val="000000"/>
                <w:kern w:val="0"/>
                <w:sz w:val="22"/>
              </w:rPr>
              <w:t>:</w:t>
            </w:r>
            <w:r w:rsidR="00DB4174">
              <w:rPr>
                <w:rFonts w:eastAsia="楷体" w:hint="eastAsia"/>
                <w:color w:val="000000"/>
                <w:kern w:val="0"/>
                <w:sz w:val="22"/>
              </w:rPr>
              <w:t>到</w:t>
            </w:r>
            <w:r w:rsidR="00DB4174">
              <w:rPr>
                <w:rFonts w:eastAsia="楷体" w:hint="eastAsia"/>
                <w:color w:val="000000"/>
                <w:kern w:val="0"/>
                <w:sz w:val="22"/>
              </w:rPr>
              <w:t>2</w:t>
            </w:r>
            <w:r w:rsidR="00DB4174">
              <w:rPr>
                <w:rFonts w:eastAsia="楷体"/>
                <w:color w:val="000000"/>
                <w:kern w:val="0"/>
                <w:sz w:val="22"/>
              </w:rPr>
              <w:t>025</w:t>
            </w:r>
            <w:r w:rsidR="00DB4174">
              <w:rPr>
                <w:rFonts w:eastAsia="楷体" w:hint="eastAsia"/>
                <w:color w:val="000000"/>
                <w:kern w:val="0"/>
                <w:sz w:val="22"/>
              </w:rPr>
              <w:t>年相比</w:t>
            </w:r>
            <w:r w:rsidR="00DB4174">
              <w:rPr>
                <w:rFonts w:eastAsia="楷体" w:hint="eastAsia"/>
                <w:color w:val="000000"/>
                <w:kern w:val="0"/>
                <w:sz w:val="22"/>
              </w:rPr>
              <w:t>2</w:t>
            </w:r>
            <w:r w:rsidR="00DB4174">
              <w:rPr>
                <w:rFonts w:eastAsia="楷体"/>
                <w:color w:val="000000"/>
                <w:kern w:val="0"/>
                <w:sz w:val="22"/>
              </w:rPr>
              <w:t>020</w:t>
            </w:r>
            <w:r w:rsidR="00DB4174">
              <w:rPr>
                <w:rFonts w:eastAsia="楷体" w:hint="eastAsia"/>
                <w:color w:val="000000"/>
                <w:kern w:val="0"/>
                <w:sz w:val="22"/>
              </w:rPr>
              <w:t>年下降</w:t>
            </w:r>
            <w:r w:rsidRPr="009B7C90">
              <w:rPr>
                <w:rFonts w:eastAsia="楷体"/>
                <w:color w:val="000000"/>
                <w:kern w:val="0"/>
                <w:sz w:val="22"/>
              </w:rPr>
              <w:t xml:space="preserve">2.5%, </w:t>
            </w:r>
            <w:r w:rsidR="008B45DB">
              <w:rPr>
                <w:rFonts w:eastAsia="楷体" w:hint="eastAsia"/>
                <w:color w:val="000000"/>
                <w:kern w:val="0"/>
                <w:sz w:val="22"/>
              </w:rPr>
              <w:t>到</w:t>
            </w:r>
            <w:r w:rsidR="008B45DB">
              <w:rPr>
                <w:rFonts w:eastAsia="楷体" w:hint="eastAsia"/>
                <w:color w:val="000000"/>
                <w:kern w:val="0"/>
                <w:sz w:val="22"/>
              </w:rPr>
              <w:t>2</w:t>
            </w:r>
            <w:r w:rsidR="008B45DB">
              <w:rPr>
                <w:rFonts w:eastAsia="楷体"/>
                <w:color w:val="000000"/>
                <w:kern w:val="0"/>
                <w:sz w:val="22"/>
              </w:rPr>
              <w:t>030</w:t>
            </w:r>
            <w:r w:rsidR="008B45DB">
              <w:rPr>
                <w:rFonts w:eastAsia="楷体" w:hint="eastAsia"/>
                <w:color w:val="000000"/>
                <w:kern w:val="0"/>
                <w:sz w:val="22"/>
              </w:rPr>
              <w:t>年相比</w:t>
            </w:r>
            <w:r w:rsidR="008B45DB">
              <w:rPr>
                <w:rFonts w:eastAsia="楷体" w:hint="eastAsia"/>
                <w:color w:val="000000"/>
                <w:kern w:val="0"/>
                <w:sz w:val="22"/>
              </w:rPr>
              <w:t>2</w:t>
            </w:r>
            <w:r w:rsidR="008B45DB">
              <w:rPr>
                <w:rFonts w:eastAsia="楷体"/>
                <w:color w:val="000000"/>
                <w:kern w:val="0"/>
                <w:sz w:val="22"/>
              </w:rPr>
              <w:t>02</w:t>
            </w:r>
            <w:r w:rsidR="00330DA2">
              <w:rPr>
                <w:rFonts w:eastAsia="楷体"/>
                <w:color w:val="000000"/>
                <w:kern w:val="0"/>
                <w:sz w:val="22"/>
              </w:rPr>
              <w:t>5</w:t>
            </w:r>
            <w:r w:rsidR="008B45DB">
              <w:rPr>
                <w:rFonts w:eastAsia="楷体" w:hint="eastAsia"/>
                <w:color w:val="000000"/>
                <w:kern w:val="0"/>
                <w:sz w:val="22"/>
              </w:rPr>
              <w:t>年</w:t>
            </w:r>
            <w:r w:rsidR="00F47F1D">
              <w:rPr>
                <w:rFonts w:eastAsia="楷体" w:hint="eastAsia"/>
                <w:color w:val="000000"/>
                <w:kern w:val="0"/>
                <w:sz w:val="22"/>
              </w:rPr>
              <w:t>下降</w:t>
            </w:r>
            <w:r w:rsidRPr="009B7C90">
              <w:rPr>
                <w:rFonts w:eastAsia="楷体"/>
                <w:color w:val="000000"/>
                <w:kern w:val="0"/>
                <w:sz w:val="22"/>
              </w:rPr>
              <w:t>2.5%</w:t>
            </w:r>
            <w:r w:rsidR="00591567">
              <w:rPr>
                <w:rFonts w:eastAsia="楷体" w:hint="eastAsia"/>
                <w:color w:val="000000"/>
                <w:kern w:val="0"/>
                <w:sz w:val="22"/>
              </w:rPr>
              <w:t>。</w:t>
            </w:r>
          </w:p>
        </w:tc>
        <w:tc>
          <w:tcPr>
            <w:tcW w:w="1343" w:type="pct"/>
            <w:tcBorders>
              <w:top w:val="nil"/>
              <w:left w:val="nil"/>
              <w:bottom w:val="single" w:sz="4" w:space="0" w:color="auto"/>
              <w:right w:val="single" w:sz="4" w:space="0" w:color="auto"/>
            </w:tcBorders>
            <w:shd w:val="clear" w:color="auto" w:fill="auto"/>
            <w:hideMark/>
          </w:tcPr>
          <w:p w14:paraId="70A0FA0B" w14:textId="64779818"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单位周转量能耗</w:t>
            </w:r>
            <w:r w:rsidR="00F46FFF">
              <w:rPr>
                <w:rFonts w:eastAsia="楷体" w:hint="eastAsia"/>
                <w:color w:val="000000"/>
                <w:kern w:val="0"/>
                <w:sz w:val="22"/>
              </w:rPr>
              <w:t>量</w:t>
            </w:r>
            <w:r w:rsidRPr="009B7C90">
              <w:rPr>
                <w:rFonts w:eastAsia="楷体"/>
                <w:color w:val="000000"/>
                <w:kern w:val="0"/>
                <w:sz w:val="22"/>
              </w:rPr>
              <w:t>下降率</w:t>
            </w:r>
            <w:r w:rsidRPr="009B7C90">
              <w:rPr>
                <w:rFonts w:eastAsia="楷体"/>
                <w:color w:val="000000"/>
                <w:kern w:val="0"/>
                <w:sz w:val="22"/>
              </w:rPr>
              <w:t>:</w:t>
            </w:r>
            <w:r w:rsidR="005161D5">
              <w:rPr>
                <w:rFonts w:eastAsia="楷体" w:hint="eastAsia"/>
                <w:color w:val="000000"/>
                <w:kern w:val="0"/>
                <w:sz w:val="22"/>
              </w:rPr>
              <w:t>到</w:t>
            </w:r>
            <w:r w:rsidR="005161D5">
              <w:rPr>
                <w:rFonts w:eastAsia="楷体" w:hint="eastAsia"/>
                <w:color w:val="000000"/>
                <w:kern w:val="0"/>
                <w:sz w:val="22"/>
              </w:rPr>
              <w:t>2</w:t>
            </w:r>
            <w:r w:rsidR="005161D5">
              <w:rPr>
                <w:rFonts w:eastAsia="楷体"/>
                <w:color w:val="000000"/>
                <w:kern w:val="0"/>
                <w:sz w:val="22"/>
              </w:rPr>
              <w:t>025</w:t>
            </w:r>
            <w:r w:rsidR="005161D5">
              <w:rPr>
                <w:rFonts w:eastAsia="楷体" w:hint="eastAsia"/>
                <w:color w:val="000000"/>
                <w:kern w:val="0"/>
                <w:sz w:val="22"/>
              </w:rPr>
              <w:t>年相比</w:t>
            </w:r>
            <w:r w:rsidR="005161D5">
              <w:rPr>
                <w:rFonts w:eastAsia="楷体" w:hint="eastAsia"/>
                <w:color w:val="000000"/>
                <w:kern w:val="0"/>
                <w:sz w:val="22"/>
              </w:rPr>
              <w:t>2</w:t>
            </w:r>
            <w:r w:rsidR="005161D5">
              <w:rPr>
                <w:rFonts w:eastAsia="楷体"/>
                <w:color w:val="000000"/>
                <w:kern w:val="0"/>
                <w:sz w:val="22"/>
              </w:rPr>
              <w:t>020</w:t>
            </w:r>
            <w:r w:rsidR="005161D5">
              <w:rPr>
                <w:rFonts w:eastAsia="楷体" w:hint="eastAsia"/>
                <w:color w:val="000000"/>
                <w:kern w:val="0"/>
                <w:sz w:val="22"/>
              </w:rPr>
              <w:t>年下降</w:t>
            </w:r>
            <w:r w:rsidR="005161D5">
              <w:rPr>
                <w:rFonts w:eastAsia="楷体"/>
                <w:color w:val="000000"/>
                <w:kern w:val="0"/>
                <w:sz w:val="22"/>
              </w:rPr>
              <w:t>3</w:t>
            </w:r>
            <w:r w:rsidR="005161D5" w:rsidRPr="009B7C90">
              <w:rPr>
                <w:rFonts w:eastAsia="楷体"/>
                <w:color w:val="000000"/>
                <w:kern w:val="0"/>
                <w:sz w:val="22"/>
              </w:rPr>
              <w:t xml:space="preserve">%, </w:t>
            </w:r>
            <w:r w:rsidR="005161D5">
              <w:rPr>
                <w:rFonts w:eastAsia="楷体" w:hint="eastAsia"/>
                <w:color w:val="000000"/>
                <w:kern w:val="0"/>
                <w:sz w:val="22"/>
              </w:rPr>
              <w:t>到</w:t>
            </w:r>
            <w:r w:rsidR="005161D5">
              <w:rPr>
                <w:rFonts w:eastAsia="楷体" w:hint="eastAsia"/>
                <w:color w:val="000000"/>
                <w:kern w:val="0"/>
                <w:sz w:val="22"/>
              </w:rPr>
              <w:t>2</w:t>
            </w:r>
            <w:r w:rsidR="005161D5">
              <w:rPr>
                <w:rFonts w:eastAsia="楷体"/>
                <w:color w:val="000000"/>
                <w:kern w:val="0"/>
                <w:sz w:val="22"/>
              </w:rPr>
              <w:t>030</w:t>
            </w:r>
            <w:r w:rsidR="005161D5">
              <w:rPr>
                <w:rFonts w:eastAsia="楷体" w:hint="eastAsia"/>
                <w:color w:val="000000"/>
                <w:kern w:val="0"/>
                <w:sz w:val="22"/>
              </w:rPr>
              <w:t>年相比</w:t>
            </w:r>
            <w:r w:rsidR="005161D5">
              <w:rPr>
                <w:rFonts w:eastAsia="楷体" w:hint="eastAsia"/>
                <w:color w:val="000000"/>
                <w:kern w:val="0"/>
                <w:sz w:val="22"/>
              </w:rPr>
              <w:t>2</w:t>
            </w:r>
            <w:r w:rsidR="005161D5">
              <w:rPr>
                <w:rFonts w:eastAsia="楷体"/>
                <w:color w:val="000000"/>
                <w:kern w:val="0"/>
                <w:sz w:val="22"/>
              </w:rPr>
              <w:t>025</w:t>
            </w:r>
            <w:r w:rsidR="005161D5">
              <w:rPr>
                <w:rFonts w:eastAsia="楷体" w:hint="eastAsia"/>
                <w:color w:val="000000"/>
                <w:kern w:val="0"/>
                <w:sz w:val="22"/>
              </w:rPr>
              <w:t>年下降</w:t>
            </w:r>
            <w:r w:rsidR="005161D5">
              <w:rPr>
                <w:rFonts w:eastAsia="楷体"/>
                <w:color w:val="000000"/>
                <w:kern w:val="0"/>
                <w:sz w:val="22"/>
              </w:rPr>
              <w:t>3</w:t>
            </w:r>
            <w:r w:rsidR="005161D5" w:rsidRPr="009B7C90">
              <w:rPr>
                <w:rFonts w:eastAsia="楷体"/>
                <w:color w:val="000000"/>
                <w:kern w:val="0"/>
                <w:sz w:val="22"/>
              </w:rPr>
              <w:t>%</w:t>
            </w:r>
            <w:r w:rsidR="005161D5">
              <w:rPr>
                <w:rFonts w:eastAsia="楷体" w:hint="eastAsia"/>
                <w:color w:val="000000"/>
                <w:kern w:val="0"/>
                <w:sz w:val="22"/>
              </w:rPr>
              <w:t>。</w:t>
            </w:r>
          </w:p>
        </w:tc>
      </w:tr>
      <w:tr w:rsidR="009B7C90" w:rsidRPr="009B7C90" w14:paraId="4FC2BDCB" w14:textId="77777777" w:rsidTr="00495167">
        <w:trPr>
          <w:trHeight w:val="1404"/>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648BE1B1"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lastRenderedPageBreak/>
              <w:t>3.4</w:t>
            </w:r>
          </w:p>
        </w:tc>
        <w:tc>
          <w:tcPr>
            <w:tcW w:w="857" w:type="pct"/>
            <w:tcBorders>
              <w:top w:val="nil"/>
              <w:left w:val="nil"/>
              <w:bottom w:val="single" w:sz="4" w:space="0" w:color="auto"/>
              <w:right w:val="single" w:sz="4" w:space="0" w:color="auto"/>
            </w:tcBorders>
            <w:shd w:val="clear" w:color="auto" w:fill="auto"/>
            <w:vAlign w:val="center"/>
            <w:hideMark/>
          </w:tcPr>
          <w:p w14:paraId="655E1D10"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乘用车燃油经济性提升</w:t>
            </w:r>
          </w:p>
        </w:tc>
        <w:tc>
          <w:tcPr>
            <w:tcW w:w="1271" w:type="pct"/>
            <w:tcBorders>
              <w:top w:val="nil"/>
              <w:left w:val="nil"/>
              <w:bottom w:val="single" w:sz="4" w:space="0" w:color="auto"/>
              <w:right w:val="single" w:sz="4" w:space="0" w:color="auto"/>
            </w:tcBorders>
            <w:shd w:val="clear" w:color="auto" w:fill="auto"/>
            <w:vAlign w:val="center"/>
            <w:hideMark/>
          </w:tcPr>
          <w:p w14:paraId="668DDFE1" w14:textId="56849365" w:rsidR="009B7C90" w:rsidRPr="009B7C90" w:rsidRDefault="009B7C90" w:rsidP="00331183">
            <w:pPr>
              <w:widowControl/>
              <w:spacing w:line="240" w:lineRule="auto"/>
              <w:ind w:firstLineChars="0" w:firstLine="0"/>
              <w:jc w:val="left"/>
              <w:rPr>
                <w:rFonts w:eastAsia="楷体"/>
                <w:color w:val="000000"/>
                <w:kern w:val="0"/>
                <w:sz w:val="22"/>
              </w:rPr>
            </w:pPr>
            <w:r w:rsidRPr="009B7C90">
              <w:rPr>
                <w:rFonts w:eastAsia="楷体"/>
                <w:color w:val="000000"/>
                <w:kern w:val="0"/>
                <w:sz w:val="22"/>
              </w:rPr>
              <w:t>私家车百公里油耗：</w:t>
            </w:r>
            <w:r w:rsidR="000000F6">
              <w:rPr>
                <w:rFonts w:eastAsia="楷体" w:hint="eastAsia"/>
                <w:color w:val="000000"/>
                <w:kern w:val="0"/>
                <w:sz w:val="22"/>
              </w:rPr>
              <w:t>到</w:t>
            </w:r>
            <w:r w:rsidR="00081B36" w:rsidRPr="009B7C90">
              <w:rPr>
                <w:rFonts w:eastAsia="楷体"/>
                <w:color w:val="000000"/>
                <w:kern w:val="0"/>
                <w:sz w:val="22"/>
              </w:rPr>
              <w:t>2025</w:t>
            </w:r>
            <w:r w:rsidR="005E04F0">
              <w:rPr>
                <w:rFonts w:eastAsia="楷体"/>
                <w:color w:val="000000"/>
                <w:kern w:val="0"/>
                <w:sz w:val="22"/>
              </w:rPr>
              <w:t xml:space="preserve"> </w:t>
            </w:r>
            <w:r w:rsidRPr="009B7C90">
              <w:rPr>
                <w:rFonts w:eastAsia="楷体"/>
                <w:color w:val="000000"/>
                <w:kern w:val="0"/>
                <w:sz w:val="22"/>
              </w:rPr>
              <w:t>6L/100Km</w:t>
            </w:r>
            <w:r w:rsidR="002D50E0">
              <w:rPr>
                <w:rFonts w:eastAsia="楷体" w:hint="eastAsia"/>
                <w:color w:val="000000"/>
                <w:kern w:val="0"/>
                <w:sz w:val="22"/>
              </w:rPr>
              <w:t>；</w:t>
            </w:r>
            <w:r w:rsidR="00BC2EF6">
              <w:rPr>
                <w:rFonts w:eastAsia="楷体"/>
                <w:color w:val="000000"/>
                <w:kern w:val="0"/>
                <w:sz w:val="22"/>
              </w:rPr>
              <w:t>到</w:t>
            </w:r>
            <w:r w:rsidR="00BC2EF6" w:rsidRPr="009B7C90">
              <w:rPr>
                <w:rFonts w:eastAsia="楷体"/>
                <w:color w:val="000000"/>
                <w:kern w:val="0"/>
                <w:sz w:val="22"/>
              </w:rPr>
              <w:t>2030</w:t>
            </w:r>
            <w:r w:rsidR="00BC2EF6">
              <w:rPr>
                <w:rFonts w:eastAsia="楷体" w:hint="eastAsia"/>
                <w:color w:val="000000"/>
                <w:kern w:val="0"/>
                <w:sz w:val="22"/>
              </w:rPr>
              <w:t>年</w:t>
            </w:r>
            <w:r w:rsidRPr="009B7C90">
              <w:rPr>
                <w:rFonts w:eastAsia="楷体"/>
                <w:color w:val="000000"/>
                <w:kern w:val="0"/>
                <w:sz w:val="22"/>
              </w:rPr>
              <w:t>5.5L/100Km,</w:t>
            </w:r>
            <w:r w:rsidR="00BC2EF6">
              <w:rPr>
                <w:rFonts w:eastAsia="楷体"/>
                <w:color w:val="000000"/>
                <w:kern w:val="0"/>
                <w:sz w:val="22"/>
              </w:rPr>
              <w:t>到</w:t>
            </w:r>
            <w:r w:rsidR="00BC2EF6" w:rsidRPr="009B7C90">
              <w:rPr>
                <w:rFonts w:eastAsia="楷体"/>
                <w:color w:val="000000"/>
                <w:kern w:val="0"/>
                <w:sz w:val="22"/>
              </w:rPr>
              <w:t>2035</w:t>
            </w:r>
            <w:r w:rsidR="002A247A">
              <w:rPr>
                <w:rFonts w:eastAsia="楷体" w:hint="eastAsia"/>
                <w:color w:val="000000"/>
                <w:kern w:val="0"/>
                <w:sz w:val="22"/>
              </w:rPr>
              <w:t>年</w:t>
            </w:r>
            <w:r w:rsidRPr="009B7C90">
              <w:rPr>
                <w:rFonts w:eastAsia="楷体"/>
                <w:color w:val="000000"/>
                <w:kern w:val="0"/>
                <w:sz w:val="22"/>
              </w:rPr>
              <w:t>5L/100Km</w:t>
            </w:r>
            <w:r w:rsidR="006C43F0">
              <w:rPr>
                <w:rFonts w:eastAsia="楷体" w:hint="eastAsia"/>
                <w:color w:val="000000"/>
                <w:kern w:val="0"/>
                <w:sz w:val="22"/>
              </w:rPr>
              <w:t>；</w:t>
            </w:r>
            <w:r w:rsidRPr="009B7C90">
              <w:rPr>
                <w:rFonts w:eastAsia="楷体"/>
                <w:color w:val="000000"/>
                <w:kern w:val="0"/>
                <w:sz w:val="22"/>
              </w:rPr>
              <w:br/>
            </w:r>
            <w:r w:rsidR="005E04F0">
              <w:rPr>
                <w:rFonts w:eastAsia="楷体" w:hint="eastAsia"/>
                <w:color w:val="000000"/>
                <w:kern w:val="0"/>
                <w:sz w:val="22"/>
              </w:rPr>
              <w:t>典型</w:t>
            </w:r>
            <w:r w:rsidR="005E04F0">
              <w:rPr>
                <w:rFonts w:eastAsia="楷体" w:hint="eastAsia"/>
                <w:color w:val="000000"/>
                <w:kern w:val="0"/>
                <w:sz w:val="22"/>
              </w:rPr>
              <w:t>A</w:t>
            </w:r>
            <w:r w:rsidR="005E04F0">
              <w:rPr>
                <w:rFonts w:eastAsia="楷体" w:hint="eastAsia"/>
                <w:color w:val="000000"/>
                <w:kern w:val="0"/>
                <w:sz w:val="22"/>
              </w:rPr>
              <w:t>级私人乘用车</w:t>
            </w:r>
            <w:r w:rsidRPr="009B7C90">
              <w:rPr>
                <w:rFonts w:eastAsia="楷体"/>
                <w:color w:val="000000"/>
                <w:kern w:val="0"/>
                <w:sz w:val="22"/>
              </w:rPr>
              <w:t>百公里电耗：</w:t>
            </w:r>
            <w:r w:rsidR="0034368D">
              <w:rPr>
                <w:rFonts w:eastAsia="楷体"/>
                <w:color w:val="000000"/>
                <w:kern w:val="0"/>
                <w:sz w:val="22"/>
              </w:rPr>
              <w:t>到</w:t>
            </w:r>
            <w:r w:rsidR="0034368D" w:rsidRPr="009B7C90">
              <w:rPr>
                <w:rFonts w:eastAsia="楷体"/>
                <w:color w:val="000000"/>
                <w:kern w:val="0"/>
                <w:sz w:val="22"/>
              </w:rPr>
              <w:t xml:space="preserve"> 2025</w:t>
            </w:r>
            <w:r w:rsidR="0034368D">
              <w:rPr>
                <w:rFonts w:eastAsia="楷体" w:hint="eastAsia"/>
                <w:color w:val="000000"/>
                <w:kern w:val="0"/>
                <w:sz w:val="22"/>
              </w:rPr>
              <w:t>年</w:t>
            </w:r>
            <w:r w:rsidRPr="009B7C90">
              <w:rPr>
                <w:rFonts w:eastAsia="楷体"/>
                <w:color w:val="000000"/>
                <w:kern w:val="0"/>
                <w:sz w:val="22"/>
              </w:rPr>
              <w:t xml:space="preserve">14 kWh/100 km , </w:t>
            </w:r>
            <w:r w:rsidR="0034368D">
              <w:rPr>
                <w:rFonts w:eastAsia="楷体" w:hint="eastAsia"/>
                <w:color w:val="000000"/>
                <w:kern w:val="0"/>
                <w:sz w:val="22"/>
              </w:rPr>
              <w:t>到</w:t>
            </w:r>
            <w:r w:rsidR="0034368D">
              <w:rPr>
                <w:rFonts w:eastAsia="楷体" w:hint="eastAsia"/>
                <w:color w:val="000000"/>
                <w:kern w:val="0"/>
                <w:sz w:val="22"/>
              </w:rPr>
              <w:t>2</w:t>
            </w:r>
            <w:r w:rsidR="0034368D">
              <w:rPr>
                <w:rFonts w:eastAsia="楷体"/>
                <w:color w:val="000000"/>
                <w:kern w:val="0"/>
                <w:sz w:val="22"/>
              </w:rPr>
              <w:t>030</w:t>
            </w:r>
            <w:r w:rsidR="0034368D">
              <w:rPr>
                <w:rFonts w:eastAsia="楷体" w:hint="eastAsia"/>
                <w:color w:val="000000"/>
                <w:kern w:val="0"/>
                <w:sz w:val="22"/>
              </w:rPr>
              <w:t>年</w:t>
            </w:r>
            <w:r w:rsidRPr="009B7C90">
              <w:rPr>
                <w:rFonts w:eastAsia="楷体"/>
                <w:color w:val="000000"/>
                <w:kern w:val="0"/>
                <w:sz w:val="22"/>
              </w:rPr>
              <w:t>12 kWh/100km,</w:t>
            </w:r>
            <w:r w:rsidR="00251CBD">
              <w:rPr>
                <w:rFonts w:eastAsia="楷体" w:hint="eastAsia"/>
                <w:color w:val="000000"/>
                <w:kern w:val="0"/>
                <w:sz w:val="22"/>
              </w:rPr>
              <w:t>到</w:t>
            </w:r>
            <w:r w:rsidR="00251CBD">
              <w:rPr>
                <w:rFonts w:eastAsia="楷体" w:hint="eastAsia"/>
                <w:color w:val="000000"/>
                <w:kern w:val="0"/>
                <w:sz w:val="22"/>
              </w:rPr>
              <w:t>2</w:t>
            </w:r>
            <w:r w:rsidR="00251CBD">
              <w:rPr>
                <w:rFonts w:eastAsia="楷体"/>
                <w:color w:val="000000"/>
                <w:kern w:val="0"/>
                <w:sz w:val="22"/>
              </w:rPr>
              <w:t>03</w:t>
            </w:r>
            <w:r w:rsidR="00CA30F3">
              <w:rPr>
                <w:rFonts w:eastAsia="楷体"/>
                <w:color w:val="000000"/>
                <w:kern w:val="0"/>
                <w:sz w:val="22"/>
              </w:rPr>
              <w:t>5</w:t>
            </w:r>
            <w:r w:rsidR="00251CBD">
              <w:rPr>
                <w:rFonts w:eastAsia="楷体" w:hint="eastAsia"/>
                <w:color w:val="000000"/>
                <w:kern w:val="0"/>
                <w:sz w:val="22"/>
              </w:rPr>
              <w:t>年</w:t>
            </w:r>
            <w:r w:rsidRPr="009B7C90">
              <w:rPr>
                <w:rFonts w:eastAsia="楷体"/>
                <w:color w:val="000000"/>
                <w:kern w:val="0"/>
                <w:sz w:val="22"/>
              </w:rPr>
              <w:t>10 kWh/100km</w:t>
            </w:r>
            <w:r w:rsidR="00D45EA6">
              <w:rPr>
                <w:rFonts w:eastAsia="楷体" w:hint="eastAsia"/>
                <w:color w:val="000000"/>
                <w:kern w:val="0"/>
                <w:sz w:val="22"/>
              </w:rPr>
              <w:t>。</w:t>
            </w:r>
          </w:p>
        </w:tc>
        <w:tc>
          <w:tcPr>
            <w:tcW w:w="1270" w:type="pct"/>
            <w:tcBorders>
              <w:top w:val="nil"/>
              <w:left w:val="nil"/>
              <w:bottom w:val="single" w:sz="4" w:space="0" w:color="auto"/>
              <w:right w:val="single" w:sz="4" w:space="0" w:color="auto"/>
            </w:tcBorders>
            <w:shd w:val="clear" w:color="auto" w:fill="auto"/>
            <w:vAlign w:val="center"/>
            <w:hideMark/>
          </w:tcPr>
          <w:p w14:paraId="6BD2983F" w14:textId="6F3D86B3" w:rsidR="009B7C90" w:rsidRPr="009B7C90" w:rsidRDefault="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私家车百公里油耗：</w:t>
            </w:r>
            <w:r w:rsidR="006E36D0">
              <w:rPr>
                <w:rFonts w:eastAsia="楷体" w:hint="eastAsia"/>
                <w:color w:val="000000"/>
                <w:kern w:val="0"/>
                <w:sz w:val="22"/>
              </w:rPr>
              <w:t>到</w:t>
            </w:r>
            <w:r w:rsidR="006E36D0" w:rsidRPr="009B7C90">
              <w:rPr>
                <w:rFonts w:eastAsia="楷体"/>
                <w:color w:val="000000"/>
                <w:kern w:val="0"/>
                <w:sz w:val="22"/>
              </w:rPr>
              <w:t>2025</w:t>
            </w:r>
            <w:r w:rsidR="006E36D0">
              <w:rPr>
                <w:rFonts w:eastAsia="楷体" w:hint="eastAsia"/>
                <w:color w:val="000000"/>
                <w:kern w:val="0"/>
                <w:sz w:val="22"/>
              </w:rPr>
              <w:t>年</w:t>
            </w:r>
            <w:r w:rsidRPr="009B7C90">
              <w:rPr>
                <w:rFonts w:eastAsia="楷体"/>
                <w:color w:val="000000"/>
                <w:kern w:val="0"/>
                <w:sz w:val="22"/>
              </w:rPr>
              <w:t>5.</w:t>
            </w:r>
            <w:r w:rsidR="005E04F0">
              <w:rPr>
                <w:rFonts w:eastAsia="楷体" w:hint="eastAsia"/>
                <w:color w:val="000000"/>
                <w:kern w:val="0"/>
                <w:sz w:val="22"/>
              </w:rPr>
              <w:t>6</w:t>
            </w:r>
            <w:r w:rsidRPr="009B7C90">
              <w:rPr>
                <w:rFonts w:eastAsia="楷体"/>
                <w:color w:val="000000"/>
                <w:kern w:val="0"/>
                <w:sz w:val="22"/>
              </w:rPr>
              <w:t>L/100Km;</w:t>
            </w:r>
            <w:r w:rsidR="00806ACA">
              <w:rPr>
                <w:rFonts w:eastAsia="楷体" w:hint="eastAsia"/>
                <w:color w:val="000000"/>
                <w:kern w:val="0"/>
                <w:sz w:val="22"/>
              </w:rPr>
              <w:t>到</w:t>
            </w:r>
            <w:r w:rsidR="00806ACA" w:rsidRPr="009B7C90">
              <w:rPr>
                <w:rFonts w:eastAsia="楷体"/>
                <w:color w:val="000000"/>
                <w:kern w:val="0"/>
                <w:sz w:val="22"/>
              </w:rPr>
              <w:t xml:space="preserve"> 2030</w:t>
            </w:r>
            <w:r w:rsidR="0005429A">
              <w:rPr>
                <w:rFonts w:eastAsia="楷体" w:hint="eastAsia"/>
                <w:color w:val="000000"/>
                <w:kern w:val="0"/>
                <w:sz w:val="22"/>
              </w:rPr>
              <w:t>年</w:t>
            </w:r>
            <w:r w:rsidR="006A16B2">
              <w:rPr>
                <w:rFonts w:eastAsia="楷体"/>
                <w:color w:val="000000"/>
                <w:kern w:val="0"/>
                <w:sz w:val="22"/>
              </w:rPr>
              <w:t>4.</w:t>
            </w:r>
            <w:r w:rsidR="005E04F0">
              <w:rPr>
                <w:rFonts w:eastAsia="楷体"/>
                <w:color w:val="000000"/>
                <w:kern w:val="0"/>
                <w:sz w:val="22"/>
              </w:rPr>
              <w:t>8</w:t>
            </w:r>
            <w:r w:rsidRPr="009B7C90">
              <w:rPr>
                <w:rFonts w:eastAsia="楷体"/>
                <w:color w:val="000000"/>
                <w:kern w:val="0"/>
                <w:sz w:val="22"/>
              </w:rPr>
              <w:t xml:space="preserve">L/100Km, </w:t>
            </w:r>
            <w:r w:rsidR="00912FB8">
              <w:rPr>
                <w:rFonts w:eastAsia="楷体" w:hint="eastAsia"/>
                <w:color w:val="000000"/>
                <w:kern w:val="0"/>
                <w:sz w:val="22"/>
              </w:rPr>
              <w:t>到</w:t>
            </w:r>
            <w:r w:rsidR="00912FB8">
              <w:rPr>
                <w:rFonts w:eastAsia="楷体" w:hint="eastAsia"/>
                <w:color w:val="000000"/>
                <w:kern w:val="0"/>
                <w:sz w:val="22"/>
              </w:rPr>
              <w:t>2</w:t>
            </w:r>
            <w:r w:rsidR="00912FB8">
              <w:rPr>
                <w:rFonts w:eastAsia="楷体"/>
                <w:color w:val="000000"/>
                <w:kern w:val="0"/>
                <w:sz w:val="22"/>
              </w:rPr>
              <w:t>035</w:t>
            </w:r>
            <w:r w:rsidR="00912FB8">
              <w:rPr>
                <w:rFonts w:eastAsia="楷体" w:hint="eastAsia"/>
                <w:color w:val="000000"/>
                <w:kern w:val="0"/>
                <w:sz w:val="22"/>
              </w:rPr>
              <w:t>年</w:t>
            </w:r>
            <w:r w:rsidRPr="009B7C90">
              <w:rPr>
                <w:rFonts w:eastAsia="楷体"/>
                <w:color w:val="000000"/>
                <w:kern w:val="0"/>
                <w:sz w:val="22"/>
              </w:rPr>
              <w:t>4L/100Km</w:t>
            </w:r>
            <w:r w:rsidR="00AB65E5">
              <w:rPr>
                <w:rFonts w:eastAsia="楷体" w:hint="eastAsia"/>
                <w:color w:val="000000"/>
                <w:kern w:val="0"/>
                <w:sz w:val="22"/>
              </w:rPr>
              <w:t>；</w:t>
            </w:r>
            <w:r w:rsidRPr="009B7C90">
              <w:rPr>
                <w:rFonts w:eastAsia="楷体"/>
                <w:color w:val="000000"/>
                <w:kern w:val="0"/>
                <w:sz w:val="22"/>
              </w:rPr>
              <w:br/>
            </w:r>
            <w:r w:rsidR="005E04F0">
              <w:rPr>
                <w:rFonts w:eastAsia="楷体" w:hint="eastAsia"/>
                <w:color w:val="000000"/>
                <w:kern w:val="0"/>
                <w:sz w:val="22"/>
              </w:rPr>
              <w:t>典型</w:t>
            </w:r>
            <w:r w:rsidR="005E04F0">
              <w:rPr>
                <w:rFonts w:eastAsia="楷体" w:hint="eastAsia"/>
                <w:color w:val="000000"/>
                <w:kern w:val="0"/>
                <w:sz w:val="22"/>
              </w:rPr>
              <w:t>A</w:t>
            </w:r>
            <w:r w:rsidR="005E04F0">
              <w:rPr>
                <w:rFonts w:eastAsia="楷体" w:hint="eastAsia"/>
                <w:color w:val="000000"/>
                <w:kern w:val="0"/>
                <w:sz w:val="22"/>
              </w:rPr>
              <w:t>级私人乘用车</w:t>
            </w:r>
            <w:r w:rsidRPr="009B7C90">
              <w:rPr>
                <w:rFonts w:eastAsia="楷体"/>
                <w:color w:val="000000"/>
                <w:kern w:val="0"/>
                <w:sz w:val="22"/>
              </w:rPr>
              <w:t>百公里电耗：</w:t>
            </w:r>
            <w:r w:rsidR="00495167">
              <w:rPr>
                <w:rFonts w:eastAsia="楷体"/>
                <w:color w:val="000000"/>
                <w:kern w:val="0"/>
                <w:sz w:val="22"/>
              </w:rPr>
              <w:t>到</w:t>
            </w:r>
            <w:r w:rsidR="00495167" w:rsidRPr="009B7C90">
              <w:rPr>
                <w:rFonts w:eastAsia="楷体"/>
                <w:color w:val="000000"/>
                <w:kern w:val="0"/>
                <w:sz w:val="22"/>
              </w:rPr>
              <w:t>2025</w:t>
            </w:r>
            <w:r w:rsidR="00495167">
              <w:rPr>
                <w:rFonts w:eastAsia="楷体" w:hint="eastAsia"/>
                <w:color w:val="000000"/>
                <w:kern w:val="0"/>
                <w:sz w:val="22"/>
              </w:rPr>
              <w:t>：</w:t>
            </w:r>
            <w:r w:rsidRPr="009B7C90">
              <w:rPr>
                <w:rFonts w:eastAsia="楷体"/>
                <w:color w:val="000000"/>
                <w:kern w:val="0"/>
                <w:sz w:val="22"/>
              </w:rPr>
              <w:t>1</w:t>
            </w:r>
            <w:r w:rsidR="00495167">
              <w:rPr>
                <w:rFonts w:eastAsia="楷体"/>
                <w:color w:val="000000"/>
                <w:kern w:val="0"/>
                <w:sz w:val="22"/>
              </w:rPr>
              <w:t>1</w:t>
            </w:r>
            <w:r w:rsidRPr="009B7C90">
              <w:rPr>
                <w:rFonts w:eastAsia="楷体"/>
                <w:color w:val="000000"/>
                <w:kern w:val="0"/>
                <w:sz w:val="22"/>
              </w:rPr>
              <w:t xml:space="preserve"> kWh/100 km, </w:t>
            </w:r>
            <w:r w:rsidR="00A75483">
              <w:rPr>
                <w:rFonts w:eastAsia="楷体"/>
                <w:color w:val="000000"/>
                <w:kern w:val="0"/>
                <w:sz w:val="22"/>
              </w:rPr>
              <w:t>到</w:t>
            </w:r>
            <w:r w:rsidR="00A75483" w:rsidRPr="009B7C90">
              <w:rPr>
                <w:rFonts w:eastAsia="楷体"/>
                <w:color w:val="000000"/>
                <w:kern w:val="0"/>
                <w:sz w:val="22"/>
              </w:rPr>
              <w:t>2030</w:t>
            </w:r>
            <w:r w:rsidR="00BE1511">
              <w:rPr>
                <w:rFonts w:eastAsia="楷体" w:hint="eastAsia"/>
                <w:color w:val="000000"/>
                <w:kern w:val="0"/>
                <w:sz w:val="22"/>
              </w:rPr>
              <w:t>年</w:t>
            </w:r>
            <w:r w:rsidR="00495167">
              <w:rPr>
                <w:rFonts w:eastAsia="楷体" w:hint="eastAsia"/>
                <w:color w:val="000000"/>
                <w:kern w:val="0"/>
                <w:sz w:val="22"/>
              </w:rPr>
              <w:t>：</w:t>
            </w:r>
            <w:r w:rsidRPr="009B7C90">
              <w:rPr>
                <w:rFonts w:eastAsia="楷体"/>
                <w:color w:val="000000"/>
                <w:kern w:val="0"/>
                <w:sz w:val="22"/>
              </w:rPr>
              <w:t>1</w:t>
            </w:r>
            <w:r w:rsidR="00495167">
              <w:rPr>
                <w:rFonts w:eastAsia="楷体"/>
                <w:color w:val="000000"/>
                <w:kern w:val="0"/>
                <w:sz w:val="22"/>
              </w:rPr>
              <w:t>0.5</w:t>
            </w:r>
            <w:r w:rsidRPr="009B7C90">
              <w:rPr>
                <w:rFonts w:eastAsia="楷体"/>
                <w:color w:val="000000"/>
                <w:kern w:val="0"/>
                <w:sz w:val="22"/>
              </w:rPr>
              <w:t xml:space="preserve"> kWh/100km,</w:t>
            </w:r>
            <w:r w:rsidR="008E6B4F">
              <w:rPr>
                <w:rFonts w:eastAsia="楷体"/>
                <w:color w:val="000000"/>
                <w:kern w:val="0"/>
                <w:sz w:val="22"/>
              </w:rPr>
              <w:t xml:space="preserve"> </w:t>
            </w:r>
            <w:r w:rsidR="008E6B4F">
              <w:rPr>
                <w:rFonts w:eastAsia="楷体"/>
                <w:color w:val="000000"/>
                <w:kern w:val="0"/>
                <w:sz w:val="22"/>
              </w:rPr>
              <w:t>到</w:t>
            </w:r>
            <w:r w:rsidR="008E6B4F" w:rsidRPr="009B7C90">
              <w:rPr>
                <w:rFonts w:eastAsia="楷体"/>
                <w:color w:val="000000"/>
                <w:kern w:val="0"/>
                <w:sz w:val="22"/>
              </w:rPr>
              <w:t>203</w:t>
            </w:r>
            <w:r w:rsidR="008E6B4F">
              <w:rPr>
                <w:rFonts w:eastAsia="楷体"/>
                <w:color w:val="000000"/>
                <w:kern w:val="0"/>
                <w:sz w:val="22"/>
              </w:rPr>
              <w:t>5</w:t>
            </w:r>
            <w:r w:rsidR="000A42B5">
              <w:rPr>
                <w:rFonts w:eastAsia="楷体" w:hint="eastAsia"/>
                <w:color w:val="000000"/>
                <w:kern w:val="0"/>
                <w:sz w:val="22"/>
              </w:rPr>
              <w:t>年</w:t>
            </w:r>
            <w:r w:rsidR="00495167">
              <w:rPr>
                <w:rFonts w:eastAsia="楷体"/>
                <w:color w:val="000000"/>
                <w:kern w:val="0"/>
                <w:sz w:val="22"/>
              </w:rPr>
              <w:t>10</w:t>
            </w:r>
            <w:r w:rsidRPr="009B7C90">
              <w:rPr>
                <w:rFonts w:eastAsia="楷体"/>
                <w:color w:val="000000"/>
                <w:kern w:val="0"/>
                <w:sz w:val="22"/>
              </w:rPr>
              <w:t xml:space="preserve"> kWh/100km</w:t>
            </w:r>
            <w:r w:rsidR="0089556D">
              <w:rPr>
                <w:rFonts w:eastAsia="楷体" w:hint="eastAsia"/>
                <w:color w:val="000000"/>
                <w:kern w:val="0"/>
                <w:sz w:val="22"/>
              </w:rPr>
              <w:t>。</w:t>
            </w:r>
          </w:p>
        </w:tc>
        <w:tc>
          <w:tcPr>
            <w:tcW w:w="1343" w:type="pct"/>
            <w:tcBorders>
              <w:top w:val="nil"/>
              <w:left w:val="nil"/>
              <w:bottom w:val="single" w:sz="4" w:space="0" w:color="auto"/>
              <w:right w:val="single" w:sz="4" w:space="0" w:color="auto"/>
            </w:tcBorders>
            <w:shd w:val="clear" w:color="auto" w:fill="auto"/>
            <w:vAlign w:val="center"/>
            <w:hideMark/>
          </w:tcPr>
          <w:p w14:paraId="09279D1B" w14:textId="0C9A3018" w:rsidR="009B7C90" w:rsidRPr="009B7C90" w:rsidRDefault="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私家车百公里油耗：</w:t>
            </w:r>
            <w:r w:rsidR="00F232B2">
              <w:rPr>
                <w:rFonts w:eastAsia="楷体"/>
                <w:color w:val="000000"/>
                <w:kern w:val="0"/>
                <w:sz w:val="22"/>
              </w:rPr>
              <w:t>到</w:t>
            </w:r>
            <w:r w:rsidR="00F232B2" w:rsidRPr="009B7C90">
              <w:rPr>
                <w:rFonts w:eastAsia="楷体"/>
                <w:color w:val="000000"/>
                <w:kern w:val="0"/>
                <w:sz w:val="22"/>
              </w:rPr>
              <w:t>2025</w:t>
            </w:r>
            <w:r w:rsidR="0022730C">
              <w:rPr>
                <w:rFonts w:eastAsia="楷体" w:hint="eastAsia"/>
                <w:color w:val="000000"/>
                <w:kern w:val="0"/>
                <w:sz w:val="22"/>
              </w:rPr>
              <w:t>年</w:t>
            </w:r>
            <w:r w:rsidRPr="009B7C90">
              <w:rPr>
                <w:rFonts w:eastAsia="楷体"/>
                <w:color w:val="000000"/>
                <w:kern w:val="0"/>
                <w:sz w:val="22"/>
              </w:rPr>
              <w:t>5.</w:t>
            </w:r>
            <w:r w:rsidR="005E04F0">
              <w:rPr>
                <w:rFonts w:eastAsia="楷体"/>
                <w:color w:val="000000"/>
                <w:kern w:val="0"/>
                <w:sz w:val="22"/>
              </w:rPr>
              <w:t>4</w:t>
            </w:r>
            <w:r w:rsidRPr="009B7C90">
              <w:rPr>
                <w:rFonts w:eastAsia="楷体"/>
                <w:color w:val="000000"/>
                <w:kern w:val="0"/>
                <w:sz w:val="22"/>
              </w:rPr>
              <w:t xml:space="preserve">L/100Km; </w:t>
            </w:r>
            <w:r w:rsidR="00AF6138">
              <w:rPr>
                <w:rFonts w:eastAsia="楷体" w:hint="eastAsia"/>
                <w:color w:val="000000"/>
                <w:kern w:val="0"/>
                <w:sz w:val="22"/>
              </w:rPr>
              <w:t>到</w:t>
            </w:r>
            <w:r w:rsidR="00AF6138">
              <w:rPr>
                <w:rFonts w:eastAsia="楷体" w:hint="eastAsia"/>
                <w:color w:val="000000"/>
                <w:kern w:val="0"/>
                <w:sz w:val="22"/>
              </w:rPr>
              <w:t>2</w:t>
            </w:r>
            <w:r w:rsidR="00AF6138">
              <w:rPr>
                <w:rFonts w:eastAsia="楷体"/>
                <w:color w:val="000000"/>
                <w:kern w:val="0"/>
                <w:sz w:val="22"/>
              </w:rPr>
              <w:t>030</w:t>
            </w:r>
            <w:r w:rsidR="00AF6138">
              <w:rPr>
                <w:rFonts w:eastAsia="楷体" w:hint="eastAsia"/>
                <w:color w:val="000000"/>
                <w:kern w:val="0"/>
                <w:sz w:val="22"/>
              </w:rPr>
              <w:t>年</w:t>
            </w:r>
            <w:r w:rsidRPr="009B7C90">
              <w:rPr>
                <w:rFonts w:eastAsia="楷体"/>
                <w:color w:val="000000"/>
                <w:kern w:val="0"/>
                <w:sz w:val="22"/>
              </w:rPr>
              <w:t>4.</w:t>
            </w:r>
            <w:r w:rsidR="005E04F0">
              <w:rPr>
                <w:rFonts w:eastAsia="楷体"/>
                <w:color w:val="000000"/>
                <w:kern w:val="0"/>
                <w:sz w:val="22"/>
              </w:rPr>
              <w:t>5</w:t>
            </w:r>
            <w:r w:rsidRPr="009B7C90">
              <w:rPr>
                <w:rFonts w:eastAsia="楷体"/>
                <w:color w:val="000000"/>
                <w:kern w:val="0"/>
                <w:sz w:val="22"/>
              </w:rPr>
              <w:t xml:space="preserve">L/100Km, </w:t>
            </w:r>
            <w:r w:rsidR="001F293F">
              <w:rPr>
                <w:rFonts w:eastAsia="楷体" w:hint="eastAsia"/>
                <w:color w:val="000000"/>
                <w:kern w:val="0"/>
                <w:sz w:val="22"/>
              </w:rPr>
              <w:t>到</w:t>
            </w:r>
            <w:r w:rsidR="001F293F">
              <w:rPr>
                <w:rFonts w:eastAsia="楷体" w:hint="eastAsia"/>
                <w:color w:val="000000"/>
                <w:kern w:val="0"/>
                <w:sz w:val="22"/>
              </w:rPr>
              <w:t>2</w:t>
            </w:r>
            <w:r w:rsidR="001F293F">
              <w:rPr>
                <w:rFonts w:eastAsia="楷体"/>
                <w:color w:val="000000"/>
                <w:kern w:val="0"/>
                <w:sz w:val="22"/>
              </w:rPr>
              <w:t>035</w:t>
            </w:r>
            <w:r w:rsidR="001F293F">
              <w:rPr>
                <w:rFonts w:eastAsia="楷体" w:hint="eastAsia"/>
                <w:color w:val="000000"/>
                <w:kern w:val="0"/>
                <w:sz w:val="22"/>
              </w:rPr>
              <w:t>年</w:t>
            </w:r>
            <w:r w:rsidR="005E04F0">
              <w:rPr>
                <w:rFonts w:eastAsia="楷体"/>
                <w:color w:val="000000"/>
                <w:kern w:val="0"/>
                <w:sz w:val="22"/>
              </w:rPr>
              <w:t>3.8</w:t>
            </w:r>
            <w:r w:rsidRPr="009B7C90">
              <w:rPr>
                <w:rFonts w:eastAsia="楷体"/>
                <w:color w:val="000000"/>
                <w:kern w:val="0"/>
                <w:sz w:val="22"/>
              </w:rPr>
              <w:t>L/100Km</w:t>
            </w:r>
            <w:r w:rsidR="008905E6">
              <w:rPr>
                <w:rFonts w:eastAsia="楷体" w:hint="eastAsia"/>
                <w:color w:val="000000"/>
                <w:kern w:val="0"/>
                <w:sz w:val="22"/>
              </w:rPr>
              <w:t>。</w:t>
            </w:r>
            <w:r w:rsidRPr="009B7C90">
              <w:rPr>
                <w:rFonts w:eastAsia="楷体"/>
                <w:color w:val="000000"/>
                <w:kern w:val="0"/>
                <w:sz w:val="22"/>
              </w:rPr>
              <w:br/>
            </w:r>
            <w:r w:rsidR="005E04F0">
              <w:rPr>
                <w:rFonts w:eastAsia="楷体" w:hint="eastAsia"/>
                <w:color w:val="000000"/>
                <w:kern w:val="0"/>
                <w:sz w:val="22"/>
              </w:rPr>
              <w:t>典型</w:t>
            </w:r>
            <w:r w:rsidR="005E04F0">
              <w:rPr>
                <w:rFonts w:eastAsia="楷体" w:hint="eastAsia"/>
                <w:color w:val="000000"/>
                <w:kern w:val="0"/>
                <w:sz w:val="22"/>
              </w:rPr>
              <w:t>A</w:t>
            </w:r>
            <w:r w:rsidR="005E04F0">
              <w:rPr>
                <w:rFonts w:eastAsia="楷体" w:hint="eastAsia"/>
                <w:color w:val="000000"/>
                <w:kern w:val="0"/>
                <w:sz w:val="22"/>
              </w:rPr>
              <w:t>级私人乘用车</w:t>
            </w:r>
            <w:r w:rsidRPr="009B7C90">
              <w:rPr>
                <w:rFonts w:eastAsia="楷体"/>
                <w:color w:val="000000"/>
                <w:kern w:val="0"/>
                <w:sz w:val="22"/>
              </w:rPr>
              <w:t>百公里电耗：</w:t>
            </w:r>
            <w:r w:rsidR="008905E6">
              <w:rPr>
                <w:rFonts w:eastAsia="楷体"/>
                <w:color w:val="000000"/>
                <w:kern w:val="0"/>
                <w:sz w:val="22"/>
              </w:rPr>
              <w:t>到</w:t>
            </w:r>
            <w:r w:rsidR="008905E6" w:rsidRPr="009B7C90">
              <w:rPr>
                <w:rFonts w:eastAsia="楷体"/>
                <w:color w:val="000000"/>
                <w:kern w:val="0"/>
                <w:sz w:val="22"/>
              </w:rPr>
              <w:t>2025</w:t>
            </w:r>
            <w:r w:rsidR="00573931">
              <w:rPr>
                <w:rFonts w:eastAsia="楷体" w:hint="eastAsia"/>
                <w:color w:val="000000"/>
                <w:kern w:val="0"/>
                <w:sz w:val="22"/>
              </w:rPr>
              <w:t>年</w:t>
            </w:r>
            <w:r w:rsidRPr="009B7C90">
              <w:rPr>
                <w:rFonts w:eastAsia="楷体"/>
                <w:color w:val="000000"/>
                <w:kern w:val="0"/>
                <w:sz w:val="22"/>
              </w:rPr>
              <w:t>1</w:t>
            </w:r>
            <w:r w:rsidR="00495167">
              <w:rPr>
                <w:rFonts w:eastAsia="楷体"/>
                <w:color w:val="000000"/>
                <w:kern w:val="0"/>
                <w:sz w:val="22"/>
              </w:rPr>
              <w:t xml:space="preserve">0.5 </w:t>
            </w:r>
            <w:r w:rsidRPr="009B7C90">
              <w:rPr>
                <w:rFonts w:eastAsia="楷体"/>
                <w:color w:val="000000"/>
                <w:kern w:val="0"/>
                <w:sz w:val="22"/>
              </w:rPr>
              <w:t xml:space="preserve">kWh/100 km, </w:t>
            </w:r>
            <w:r w:rsidR="002B29A1">
              <w:rPr>
                <w:rFonts w:eastAsia="楷体" w:hint="eastAsia"/>
                <w:color w:val="000000"/>
                <w:kern w:val="0"/>
                <w:sz w:val="22"/>
              </w:rPr>
              <w:t>到</w:t>
            </w:r>
            <w:r w:rsidR="000B7F9E">
              <w:rPr>
                <w:rFonts w:eastAsia="楷体" w:hint="eastAsia"/>
                <w:color w:val="000000"/>
                <w:kern w:val="0"/>
                <w:sz w:val="22"/>
              </w:rPr>
              <w:t>2</w:t>
            </w:r>
            <w:r w:rsidR="000B7F9E">
              <w:rPr>
                <w:rFonts w:eastAsia="楷体"/>
                <w:color w:val="000000"/>
                <w:kern w:val="0"/>
                <w:sz w:val="22"/>
              </w:rPr>
              <w:t>030</w:t>
            </w:r>
            <w:r w:rsidR="000B7F9E">
              <w:rPr>
                <w:rFonts w:eastAsia="楷体" w:hint="eastAsia"/>
                <w:color w:val="000000"/>
                <w:kern w:val="0"/>
                <w:sz w:val="22"/>
              </w:rPr>
              <w:t>年</w:t>
            </w:r>
            <w:r w:rsidRPr="009B7C90">
              <w:rPr>
                <w:rFonts w:eastAsia="楷体"/>
                <w:color w:val="000000"/>
                <w:kern w:val="0"/>
                <w:sz w:val="22"/>
              </w:rPr>
              <w:t>10 kWh/100km,</w:t>
            </w:r>
            <w:r w:rsidR="00BD2EBA">
              <w:rPr>
                <w:rFonts w:eastAsia="楷体"/>
                <w:color w:val="000000"/>
                <w:kern w:val="0"/>
                <w:sz w:val="22"/>
              </w:rPr>
              <w:t>到</w:t>
            </w:r>
            <w:r w:rsidR="00BD2EBA" w:rsidRPr="009B7C90">
              <w:rPr>
                <w:rFonts w:eastAsia="楷体"/>
                <w:color w:val="000000"/>
                <w:kern w:val="0"/>
                <w:sz w:val="22"/>
              </w:rPr>
              <w:t>203</w:t>
            </w:r>
            <w:r w:rsidR="00BD2EBA">
              <w:rPr>
                <w:rFonts w:eastAsia="楷体"/>
                <w:color w:val="000000"/>
                <w:kern w:val="0"/>
                <w:sz w:val="22"/>
              </w:rPr>
              <w:t>5</w:t>
            </w:r>
            <w:r w:rsidR="00597F8C">
              <w:rPr>
                <w:rFonts w:eastAsia="楷体" w:hint="eastAsia"/>
                <w:color w:val="000000"/>
                <w:kern w:val="0"/>
                <w:sz w:val="22"/>
              </w:rPr>
              <w:t>年</w:t>
            </w:r>
            <w:r w:rsidR="00495167">
              <w:rPr>
                <w:rFonts w:eastAsia="楷体"/>
                <w:color w:val="000000"/>
                <w:kern w:val="0"/>
                <w:sz w:val="22"/>
              </w:rPr>
              <w:t xml:space="preserve">9 </w:t>
            </w:r>
            <w:r w:rsidRPr="009B7C90">
              <w:rPr>
                <w:rFonts w:eastAsia="楷体"/>
                <w:color w:val="000000"/>
                <w:kern w:val="0"/>
                <w:sz w:val="22"/>
              </w:rPr>
              <w:t>kWh/100km</w:t>
            </w:r>
            <w:r w:rsidR="00FE0CF5">
              <w:rPr>
                <w:rFonts w:eastAsia="楷体" w:hint="eastAsia"/>
                <w:color w:val="000000"/>
                <w:kern w:val="0"/>
                <w:sz w:val="22"/>
              </w:rPr>
              <w:t>。</w:t>
            </w:r>
          </w:p>
        </w:tc>
      </w:tr>
      <w:tr w:rsidR="009B7C90" w:rsidRPr="009B7C90" w14:paraId="267421F5" w14:textId="77777777" w:rsidTr="00495167">
        <w:trPr>
          <w:trHeight w:val="2016"/>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7CF7FC4B"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3.5</w:t>
            </w:r>
          </w:p>
        </w:tc>
        <w:tc>
          <w:tcPr>
            <w:tcW w:w="857" w:type="pct"/>
            <w:tcBorders>
              <w:top w:val="nil"/>
              <w:left w:val="nil"/>
              <w:bottom w:val="single" w:sz="4" w:space="0" w:color="auto"/>
              <w:right w:val="single" w:sz="4" w:space="0" w:color="auto"/>
            </w:tcBorders>
            <w:shd w:val="clear" w:color="auto" w:fill="auto"/>
            <w:vAlign w:val="center"/>
            <w:hideMark/>
          </w:tcPr>
          <w:p w14:paraId="5096CA7F"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商用车燃油经济性提升</w:t>
            </w:r>
          </w:p>
        </w:tc>
        <w:tc>
          <w:tcPr>
            <w:tcW w:w="1271" w:type="pct"/>
            <w:tcBorders>
              <w:top w:val="nil"/>
              <w:left w:val="nil"/>
              <w:bottom w:val="single" w:sz="4" w:space="0" w:color="auto"/>
              <w:right w:val="single" w:sz="4" w:space="0" w:color="auto"/>
            </w:tcBorders>
            <w:shd w:val="clear" w:color="auto" w:fill="auto"/>
            <w:vAlign w:val="center"/>
            <w:hideMark/>
          </w:tcPr>
          <w:p w14:paraId="43E350B7" w14:textId="0CDB357A"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对比</w:t>
            </w:r>
            <w:r w:rsidRPr="009B7C90">
              <w:rPr>
                <w:rFonts w:eastAsia="楷体"/>
                <w:color w:val="000000"/>
                <w:kern w:val="0"/>
                <w:sz w:val="22"/>
              </w:rPr>
              <w:t>20</w:t>
            </w:r>
            <w:r w:rsidR="0039386D">
              <w:rPr>
                <w:rFonts w:eastAsia="楷体"/>
                <w:color w:val="000000"/>
                <w:kern w:val="0"/>
                <w:sz w:val="22"/>
              </w:rPr>
              <w:t>19</w:t>
            </w:r>
            <w:r w:rsidRPr="009B7C90">
              <w:rPr>
                <w:rFonts w:eastAsia="楷体"/>
                <w:color w:val="000000"/>
                <w:kern w:val="0"/>
                <w:sz w:val="22"/>
              </w:rPr>
              <w:t>年，</w:t>
            </w:r>
            <w:r w:rsidRPr="009B7C90">
              <w:rPr>
                <w:rFonts w:eastAsia="楷体"/>
                <w:color w:val="000000"/>
                <w:kern w:val="0"/>
                <w:sz w:val="22"/>
              </w:rPr>
              <w:br/>
            </w:r>
            <w:r w:rsidRPr="009B7C90">
              <w:rPr>
                <w:rFonts w:eastAsia="楷体"/>
                <w:color w:val="000000"/>
                <w:kern w:val="0"/>
                <w:sz w:val="22"/>
              </w:rPr>
              <w:t>到</w:t>
            </w:r>
            <w:r w:rsidRPr="009B7C90">
              <w:rPr>
                <w:rFonts w:eastAsia="楷体"/>
                <w:color w:val="000000"/>
                <w:kern w:val="0"/>
                <w:sz w:val="22"/>
              </w:rPr>
              <w:t>2025</w:t>
            </w:r>
            <w:r w:rsidR="0039386D">
              <w:rPr>
                <w:rFonts w:eastAsia="楷体" w:hint="eastAsia"/>
                <w:color w:val="000000"/>
                <w:kern w:val="0"/>
                <w:sz w:val="22"/>
              </w:rPr>
              <w:t>年</w:t>
            </w:r>
            <w:r w:rsidRPr="009B7C90">
              <w:rPr>
                <w:rFonts w:eastAsia="楷体"/>
                <w:color w:val="000000"/>
                <w:kern w:val="0"/>
                <w:sz w:val="22"/>
              </w:rPr>
              <w:t xml:space="preserve">, </w:t>
            </w:r>
            <w:r w:rsidRPr="009B7C90">
              <w:rPr>
                <w:rFonts w:eastAsia="楷体"/>
                <w:color w:val="000000"/>
                <w:kern w:val="0"/>
                <w:sz w:val="22"/>
              </w:rPr>
              <w:t>货运车辆百公里油耗下降</w:t>
            </w:r>
            <w:r w:rsidRPr="009B7C90">
              <w:rPr>
                <w:rFonts w:eastAsia="楷体"/>
                <w:color w:val="000000"/>
                <w:kern w:val="0"/>
                <w:sz w:val="22"/>
              </w:rPr>
              <w:t xml:space="preserve"> 5%-8% </w:t>
            </w:r>
            <w:r w:rsidRPr="009B7C90">
              <w:rPr>
                <w:rFonts w:eastAsia="楷体"/>
                <w:color w:val="000000"/>
                <w:kern w:val="0"/>
                <w:sz w:val="22"/>
              </w:rPr>
              <w:t>，客运车辆百公里油耗下降</w:t>
            </w:r>
            <w:r w:rsidRPr="009B7C90">
              <w:rPr>
                <w:rFonts w:eastAsia="楷体"/>
                <w:color w:val="000000"/>
                <w:kern w:val="0"/>
                <w:sz w:val="22"/>
              </w:rPr>
              <w:t xml:space="preserve"> 5%-8%.</w:t>
            </w:r>
            <w:r w:rsidRPr="009B7C90">
              <w:rPr>
                <w:rFonts w:eastAsia="楷体"/>
                <w:color w:val="000000"/>
                <w:kern w:val="0"/>
                <w:sz w:val="22"/>
              </w:rPr>
              <w:br/>
            </w:r>
            <w:r w:rsidRPr="009B7C90">
              <w:rPr>
                <w:rFonts w:eastAsia="楷体"/>
                <w:color w:val="000000"/>
                <w:kern w:val="0"/>
                <w:sz w:val="22"/>
              </w:rPr>
              <w:t>到</w:t>
            </w:r>
            <w:r w:rsidRPr="009B7C90">
              <w:rPr>
                <w:rFonts w:eastAsia="楷体"/>
                <w:color w:val="000000"/>
                <w:kern w:val="0"/>
                <w:sz w:val="22"/>
              </w:rPr>
              <w:t>2030</w:t>
            </w:r>
            <w:r w:rsidR="0039386D">
              <w:rPr>
                <w:rFonts w:eastAsia="楷体" w:hint="eastAsia"/>
                <w:color w:val="000000"/>
                <w:kern w:val="0"/>
                <w:sz w:val="22"/>
              </w:rPr>
              <w:t>年</w:t>
            </w:r>
            <w:r w:rsidRPr="009B7C90">
              <w:rPr>
                <w:rFonts w:eastAsia="楷体"/>
                <w:color w:val="000000"/>
                <w:kern w:val="0"/>
                <w:sz w:val="22"/>
              </w:rPr>
              <w:t xml:space="preserve">, </w:t>
            </w:r>
            <w:r w:rsidRPr="009B7C90">
              <w:rPr>
                <w:rFonts w:eastAsia="楷体"/>
                <w:color w:val="000000"/>
                <w:kern w:val="0"/>
                <w:sz w:val="22"/>
              </w:rPr>
              <w:t>货运车辆百公里油耗下降</w:t>
            </w:r>
            <w:r w:rsidRPr="009B7C90">
              <w:rPr>
                <w:rFonts w:eastAsia="楷体"/>
                <w:color w:val="000000"/>
                <w:kern w:val="0"/>
                <w:sz w:val="22"/>
              </w:rPr>
              <w:t xml:space="preserve"> 8%-10% </w:t>
            </w:r>
            <w:r w:rsidRPr="009B7C90">
              <w:rPr>
                <w:rFonts w:eastAsia="楷体"/>
                <w:color w:val="000000"/>
                <w:kern w:val="0"/>
                <w:sz w:val="22"/>
              </w:rPr>
              <w:t>，客运车辆百公里油耗下降</w:t>
            </w:r>
            <w:r w:rsidRPr="009B7C90">
              <w:rPr>
                <w:rFonts w:eastAsia="楷体"/>
                <w:color w:val="000000"/>
                <w:kern w:val="0"/>
                <w:sz w:val="22"/>
              </w:rPr>
              <w:t>8%-10%</w:t>
            </w:r>
            <w:r w:rsidR="006C43F0">
              <w:rPr>
                <w:rFonts w:eastAsia="楷体" w:hint="eastAsia"/>
                <w:color w:val="000000"/>
                <w:kern w:val="0"/>
                <w:sz w:val="22"/>
              </w:rPr>
              <w:t>。</w:t>
            </w:r>
            <w:r w:rsidRPr="009B7C90">
              <w:rPr>
                <w:rFonts w:eastAsia="楷体"/>
                <w:color w:val="000000"/>
                <w:kern w:val="0"/>
                <w:sz w:val="22"/>
              </w:rPr>
              <w:br/>
            </w:r>
            <w:r w:rsidRPr="009B7C90">
              <w:rPr>
                <w:rFonts w:eastAsia="楷体"/>
                <w:color w:val="000000"/>
                <w:kern w:val="0"/>
                <w:sz w:val="22"/>
              </w:rPr>
              <w:t>到</w:t>
            </w:r>
            <w:r w:rsidRPr="009B7C90">
              <w:rPr>
                <w:rFonts w:eastAsia="楷体"/>
                <w:color w:val="000000"/>
                <w:kern w:val="0"/>
                <w:sz w:val="22"/>
              </w:rPr>
              <w:t>2035</w:t>
            </w:r>
            <w:r w:rsidR="0039386D">
              <w:rPr>
                <w:rFonts w:eastAsia="楷体" w:hint="eastAsia"/>
                <w:color w:val="000000"/>
                <w:kern w:val="0"/>
                <w:sz w:val="22"/>
              </w:rPr>
              <w:t>年</w:t>
            </w:r>
            <w:r w:rsidRPr="009B7C90">
              <w:rPr>
                <w:rFonts w:eastAsia="楷体"/>
                <w:color w:val="000000"/>
                <w:kern w:val="0"/>
                <w:sz w:val="22"/>
              </w:rPr>
              <w:t xml:space="preserve">, </w:t>
            </w:r>
            <w:r w:rsidRPr="009B7C90">
              <w:rPr>
                <w:rFonts w:eastAsia="楷体"/>
                <w:color w:val="000000"/>
                <w:kern w:val="0"/>
                <w:sz w:val="22"/>
              </w:rPr>
              <w:t>货运车辆百公里油耗下降</w:t>
            </w:r>
            <w:r w:rsidRPr="009B7C90">
              <w:rPr>
                <w:rFonts w:eastAsia="楷体"/>
                <w:color w:val="000000"/>
                <w:kern w:val="0"/>
                <w:sz w:val="22"/>
              </w:rPr>
              <w:t xml:space="preserve"> 10%-15% </w:t>
            </w:r>
            <w:r w:rsidRPr="009B7C90">
              <w:rPr>
                <w:rFonts w:eastAsia="楷体"/>
                <w:color w:val="000000"/>
                <w:kern w:val="0"/>
                <w:sz w:val="22"/>
              </w:rPr>
              <w:t>，客运车辆百公里油耗下降</w:t>
            </w:r>
            <w:r w:rsidRPr="009B7C90">
              <w:rPr>
                <w:rFonts w:eastAsia="楷体"/>
                <w:color w:val="000000"/>
                <w:kern w:val="0"/>
                <w:sz w:val="22"/>
              </w:rPr>
              <w:t>10%-15%.</w:t>
            </w:r>
          </w:p>
        </w:tc>
        <w:tc>
          <w:tcPr>
            <w:tcW w:w="1270" w:type="pct"/>
            <w:tcBorders>
              <w:top w:val="nil"/>
              <w:left w:val="nil"/>
              <w:bottom w:val="single" w:sz="4" w:space="0" w:color="auto"/>
              <w:right w:val="single" w:sz="4" w:space="0" w:color="auto"/>
            </w:tcBorders>
            <w:shd w:val="clear" w:color="auto" w:fill="auto"/>
            <w:vAlign w:val="center"/>
            <w:hideMark/>
          </w:tcPr>
          <w:p w14:paraId="029C4983" w14:textId="50547D1C"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对比</w:t>
            </w:r>
            <w:r w:rsidRPr="009B7C90">
              <w:rPr>
                <w:rFonts w:eastAsia="楷体"/>
                <w:color w:val="000000"/>
                <w:kern w:val="0"/>
                <w:sz w:val="22"/>
              </w:rPr>
              <w:t>20</w:t>
            </w:r>
            <w:r w:rsidR="0039386D">
              <w:rPr>
                <w:rFonts w:eastAsia="楷体"/>
                <w:color w:val="000000"/>
                <w:kern w:val="0"/>
                <w:sz w:val="22"/>
              </w:rPr>
              <w:t>19</w:t>
            </w:r>
            <w:r w:rsidRPr="009B7C90">
              <w:rPr>
                <w:rFonts w:eastAsia="楷体"/>
                <w:color w:val="000000"/>
                <w:kern w:val="0"/>
                <w:sz w:val="22"/>
              </w:rPr>
              <w:t>年，</w:t>
            </w:r>
            <w:r w:rsidRPr="009B7C90">
              <w:rPr>
                <w:rFonts w:eastAsia="楷体"/>
                <w:color w:val="000000"/>
                <w:kern w:val="0"/>
                <w:sz w:val="22"/>
              </w:rPr>
              <w:br/>
            </w:r>
            <w:r w:rsidRPr="009B7C90">
              <w:rPr>
                <w:rFonts w:eastAsia="楷体"/>
                <w:color w:val="000000"/>
                <w:kern w:val="0"/>
                <w:sz w:val="22"/>
              </w:rPr>
              <w:t>到</w:t>
            </w:r>
            <w:r w:rsidRPr="009B7C90">
              <w:rPr>
                <w:rFonts w:eastAsia="楷体"/>
                <w:color w:val="000000"/>
                <w:kern w:val="0"/>
                <w:sz w:val="22"/>
              </w:rPr>
              <w:t>2025</w:t>
            </w:r>
            <w:r w:rsidR="0039386D">
              <w:rPr>
                <w:rFonts w:eastAsia="楷体" w:hint="eastAsia"/>
                <w:color w:val="000000"/>
                <w:kern w:val="0"/>
                <w:sz w:val="22"/>
              </w:rPr>
              <w:t>年</w:t>
            </w:r>
            <w:r w:rsidRPr="009B7C90">
              <w:rPr>
                <w:rFonts w:eastAsia="楷体"/>
                <w:color w:val="000000"/>
                <w:kern w:val="0"/>
                <w:sz w:val="22"/>
              </w:rPr>
              <w:t xml:space="preserve">, </w:t>
            </w:r>
            <w:r w:rsidRPr="009B7C90">
              <w:rPr>
                <w:rFonts w:eastAsia="楷体"/>
                <w:color w:val="000000"/>
                <w:kern w:val="0"/>
                <w:sz w:val="22"/>
              </w:rPr>
              <w:t>货运车辆百公里油耗下降</w:t>
            </w:r>
            <w:r w:rsidRPr="009B7C90">
              <w:rPr>
                <w:rFonts w:eastAsia="楷体"/>
                <w:color w:val="000000"/>
                <w:kern w:val="0"/>
                <w:sz w:val="22"/>
              </w:rPr>
              <w:t xml:space="preserve"> </w:t>
            </w:r>
            <w:r w:rsidR="001576EC">
              <w:rPr>
                <w:rFonts w:eastAsia="楷体"/>
                <w:color w:val="000000"/>
                <w:kern w:val="0"/>
                <w:sz w:val="22"/>
              </w:rPr>
              <w:t>10</w:t>
            </w:r>
            <w:r w:rsidRPr="009B7C90">
              <w:rPr>
                <w:rFonts w:eastAsia="楷体"/>
                <w:color w:val="000000"/>
                <w:kern w:val="0"/>
                <w:sz w:val="22"/>
              </w:rPr>
              <w:t>%-1</w:t>
            </w:r>
            <w:r w:rsidR="001576EC">
              <w:rPr>
                <w:rFonts w:eastAsia="楷体"/>
                <w:color w:val="000000"/>
                <w:kern w:val="0"/>
                <w:sz w:val="22"/>
              </w:rPr>
              <w:t>5</w:t>
            </w:r>
            <w:r w:rsidRPr="009B7C90">
              <w:rPr>
                <w:rFonts w:eastAsia="楷体"/>
                <w:color w:val="000000"/>
                <w:kern w:val="0"/>
                <w:sz w:val="22"/>
              </w:rPr>
              <w:t>%</w:t>
            </w:r>
            <w:r w:rsidRPr="009B7C90">
              <w:rPr>
                <w:rFonts w:eastAsia="楷体"/>
                <w:color w:val="000000"/>
                <w:kern w:val="0"/>
                <w:sz w:val="22"/>
              </w:rPr>
              <w:t>，客运车辆百公里油耗下降</w:t>
            </w:r>
            <w:r w:rsidRPr="009B7C90">
              <w:rPr>
                <w:rFonts w:eastAsia="楷体"/>
                <w:color w:val="000000"/>
                <w:kern w:val="0"/>
                <w:sz w:val="22"/>
              </w:rPr>
              <w:t xml:space="preserve"> </w:t>
            </w:r>
            <w:r w:rsidR="0039386D">
              <w:rPr>
                <w:rFonts w:eastAsia="楷体"/>
                <w:color w:val="000000"/>
                <w:kern w:val="0"/>
                <w:sz w:val="22"/>
              </w:rPr>
              <w:t>10</w:t>
            </w:r>
            <w:r w:rsidRPr="009B7C90">
              <w:rPr>
                <w:rFonts w:eastAsia="楷体"/>
                <w:color w:val="000000"/>
                <w:kern w:val="0"/>
                <w:sz w:val="22"/>
              </w:rPr>
              <w:t>%-1</w:t>
            </w:r>
            <w:r w:rsidR="0039386D">
              <w:rPr>
                <w:rFonts w:eastAsia="楷体"/>
                <w:color w:val="000000"/>
                <w:kern w:val="0"/>
                <w:sz w:val="22"/>
              </w:rPr>
              <w:t>5</w:t>
            </w:r>
            <w:r w:rsidRPr="009B7C90">
              <w:rPr>
                <w:rFonts w:eastAsia="楷体"/>
                <w:color w:val="000000"/>
                <w:kern w:val="0"/>
                <w:sz w:val="22"/>
              </w:rPr>
              <w:t>%.</w:t>
            </w:r>
            <w:r w:rsidRPr="009B7C90">
              <w:rPr>
                <w:rFonts w:eastAsia="楷体"/>
                <w:color w:val="000000"/>
                <w:kern w:val="0"/>
                <w:sz w:val="22"/>
              </w:rPr>
              <w:br/>
            </w:r>
            <w:r w:rsidRPr="009B7C90">
              <w:rPr>
                <w:rFonts w:eastAsia="楷体"/>
                <w:color w:val="000000"/>
                <w:kern w:val="0"/>
                <w:sz w:val="22"/>
              </w:rPr>
              <w:t>到</w:t>
            </w:r>
            <w:r w:rsidRPr="009B7C90">
              <w:rPr>
                <w:rFonts w:eastAsia="楷体"/>
                <w:color w:val="000000"/>
                <w:kern w:val="0"/>
                <w:sz w:val="22"/>
              </w:rPr>
              <w:t>2030</w:t>
            </w:r>
            <w:r w:rsidR="0039386D">
              <w:rPr>
                <w:rFonts w:eastAsia="楷体" w:hint="eastAsia"/>
                <w:color w:val="000000"/>
                <w:kern w:val="0"/>
                <w:sz w:val="22"/>
              </w:rPr>
              <w:t>年</w:t>
            </w:r>
            <w:r w:rsidRPr="009B7C90">
              <w:rPr>
                <w:rFonts w:eastAsia="楷体"/>
                <w:color w:val="000000"/>
                <w:kern w:val="0"/>
                <w:sz w:val="22"/>
              </w:rPr>
              <w:t xml:space="preserve">, </w:t>
            </w:r>
            <w:r w:rsidRPr="009B7C90">
              <w:rPr>
                <w:rFonts w:eastAsia="楷体"/>
                <w:color w:val="000000"/>
                <w:kern w:val="0"/>
                <w:sz w:val="22"/>
              </w:rPr>
              <w:t>货运车辆百公里油耗下降</w:t>
            </w:r>
            <w:r w:rsidR="001576EC">
              <w:rPr>
                <w:rFonts w:eastAsia="楷体" w:hint="eastAsia"/>
                <w:color w:val="000000"/>
                <w:kern w:val="0"/>
                <w:sz w:val="22"/>
              </w:rPr>
              <w:t>2</w:t>
            </w:r>
            <w:r w:rsidR="001576EC">
              <w:rPr>
                <w:rFonts w:eastAsia="楷体"/>
                <w:color w:val="000000"/>
                <w:kern w:val="0"/>
                <w:sz w:val="22"/>
              </w:rPr>
              <w:t>0</w:t>
            </w:r>
            <w:r w:rsidRPr="009B7C90">
              <w:rPr>
                <w:rFonts w:eastAsia="楷体"/>
                <w:color w:val="000000"/>
                <w:kern w:val="0"/>
                <w:sz w:val="22"/>
              </w:rPr>
              <w:t>%-</w:t>
            </w:r>
            <w:r w:rsidR="001576EC">
              <w:rPr>
                <w:rFonts w:eastAsia="楷体"/>
                <w:color w:val="000000"/>
                <w:kern w:val="0"/>
                <w:sz w:val="22"/>
              </w:rPr>
              <w:t>3</w:t>
            </w:r>
            <w:r w:rsidR="0039386D">
              <w:rPr>
                <w:rFonts w:eastAsia="楷体"/>
                <w:color w:val="000000"/>
                <w:kern w:val="0"/>
                <w:sz w:val="22"/>
              </w:rPr>
              <w:t>0</w:t>
            </w:r>
            <w:r w:rsidRPr="009B7C90">
              <w:rPr>
                <w:rFonts w:eastAsia="楷体"/>
                <w:color w:val="000000"/>
                <w:kern w:val="0"/>
                <w:sz w:val="22"/>
              </w:rPr>
              <w:t xml:space="preserve">% </w:t>
            </w:r>
            <w:r w:rsidRPr="009B7C90">
              <w:rPr>
                <w:rFonts w:eastAsia="楷体"/>
                <w:color w:val="000000"/>
                <w:kern w:val="0"/>
                <w:sz w:val="22"/>
              </w:rPr>
              <w:t>，客运车辆百公里油耗下降</w:t>
            </w:r>
            <w:r w:rsidRPr="009B7C90">
              <w:rPr>
                <w:rFonts w:eastAsia="楷体"/>
                <w:color w:val="000000"/>
                <w:kern w:val="0"/>
                <w:sz w:val="22"/>
              </w:rPr>
              <w:t xml:space="preserve"> </w:t>
            </w:r>
            <w:r w:rsidR="0039386D">
              <w:rPr>
                <w:rFonts w:eastAsia="楷体"/>
                <w:color w:val="000000"/>
                <w:kern w:val="0"/>
                <w:sz w:val="22"/>
              </w:rPr>
              <w:t>20</w:t>
            </w:r>
            <w:r w:rsidRPr="009B7C90">
              <w:rPr>
                <w:rFonts w:eastAsia="楷体"/>
                <w:color w:val="000000"/>
                <w:kern w:val="0"/>
                <w:sz w:val="22"/>
              </w:rPr>
              <w:t>%-</w:t>
            </w:r>
            <w:r w:rsidR="001576EC">
              <w:rPr>
                <w:rFonts w:eastAsia="楷体"/>
                <w:color w:val="000000"/>
                <w:kern w:val="0"/>
                <w:sz w:val="22"/>
              </w:rPr>
              <w:t>30</w:t>
            </w:r>
            <w:r w:rsidRPr="009B7C90">
              <w:rPr>
                <w:rFonts w:eastAsia="楷体"/>
                <w:color w:val="000000"/>
                <w:kern w:val="0"/>
                <w:sz w:val="22"/>
              </w:rPr>
              <w:t>%.</w:t>
            </w:r>
            <w:r w:rsidRPr="009B7C90">
              <w:rPr>
                <w:rFonts w:eastAsia="楷体"/>
                <w:color w:val="000000"/>
                <w:kern w:val="0"/>
                <w:sz w:val="22"/>
              </w:rPr>
              <w:br/>
            </w:r>
            <w:r w:rsidRPr="009B7C90">
              <w:rPr>
                <w:rFonts w:eastAsia="楷体"/>
                <w:color w:val="000000"/>
                <w:kern w:val="0"/>
                <w:sz w:val="22"/>
              </w:rPr>
              <w:t>到</w:t>
            </w:r>
            <w:r w:rsidRPr="009B7C90">
              <w:rPr>
                <w:rFonts w:eastAsia="楷体"/>
                <w:color w:val="000000"/>
                <w:kern w:val="0"/>
                <w:sz w:val="22"/>
              </w:rPr>
              <w:t>2035</w:t>
            </w:r>
            <w:r w:rsidR="0039386D">
              <w:rPr>
                <w:rFonts w:eastAsia="楷体" w:hint="eastAsia"/>
                <w:color w:val="000000"/>
                <w:kern w:val="0"/>
                <w:sz w:val="22"/>
              </w:rPr>
              <w:t>年</w:t>
            </w:r>
            <w:r w:rsidRPr="009B7C90">
              <w:rPr>
                <w:rFonts w:eastAsia="楷体"/>
                <w:color w:val="000000"/>
                <w:kern w:val="0"/>
                <w:sz w:val="22"/>
              </w:rPr>
              <w:t xml:space="preserve">, </w:t>
            </w:r>
            <w:r w:rsidRPr="009B7C90">
              <w:rPr>
                <w:rFonts w:eastAsia="楷体"/>
                <w:color w:val="000000"/>
                <w:kern w:val="0"/>
                <w:sz w:val="22"/>
              </w:rPr>
              <w:t>货运车辆百公里油耗下降</w:t>
            </w:r>
            <w:r w:rsidR="001576EC">
              <w:rPr>
                <w:rFonts w:eastAsia="楷体"/>
                <w:color w:val="000000"/>
                <w:kern w:val="0"/>
                <w:sz w:val="22"/>
              </w:rPr>
              <w:t>30</w:t>
            </w:r>
            <w:r w:rsidRPr="009B7C90">
              <w:rPr>
                <w:rFonts w:eastAsia="楷体"/>
                <w:color w:val="000000"/>
                <w:kern w:val="0"/>
                <w:sz w:val="22"/>
              </w:rPr>
              <w:t>%-</w:t>
            </w:r>
            <w:r w:rsidR="001576EC">
              <w:rPr>
                <w:rFonts w:eastAsia="楷体"/>
                <w:color w:val="000000"/>
                <w:kern w:val="0"/>
                <w:sz w:val="22"/>
              </w:rPr>
              <w:t>40</w:t>
            </w:r>
            <w:r w:rsidRPr="009B7C90">
              <w:rPr>
                <w:rFonts w:eastAsia="楷体"/>
                <w:color w:val="000000"/>
                <w:kern w:val="0"/>
                <w:sz w:val="22"/>
              </w:rPr>
              <w:t>%</w:t>
            </w:r>
            <w:r w:rsidRPr="009B7C90">
              <w:rPr>
                <w:rFonts w:eastAsia="楷体"/>
                <w:color w:val="000000"/>
                <w:kern w:val="0"/>
                <w:sz w:val="22"/>
              </w:rPr>
              <w:t>，客运车辆百公里油耗下降</w:t>
            </w:r>
            <w:r w:rsidR="0039386D">
              <w:rPr>
                <w:rFonts w:eastAsia="楷体"/>
                <w:color w:val="000000"/>
                <w:kern w:val="0"/>
                <w:sz w:val="22"/>
              </w:rPr>
              <w:t>30</w:t>
            </w:r>
            <w:r w:rsidR="0039386D" w:rsidRPr="009B7C90">
              <w:rPr>
                <w:rFonts w:eastAsia="楷体"/>
                <w:color w:val="000000"/>
                <w:kern w:val="0"/>
                <w:sz w:val="22"/>
              </w:rPr>
              <w:t>%-</w:t>
            </w:r>
            <w:r w:rsidR="001576EC">
              <w:rPr>
                <w:rFonts w:eastAsia="楷体"/>
                <w:color w:val="000000"/>
                <w:kern w:val="0"/>
                <w:sz w:val="22"/>
              </w:rPr>
              <w:t>40</w:t>
            </w:r>
            <w:r w:rsidRPr="009B7C90">
              <w:rPr>
                <w:rFonts w:eastAsia="楷体"/>
                <w:color w:val="000000"/>
                <w:kern w:val="0"/>
                <w:sz w:val="22"/>
              </w:rPr>
              <w:t>%.</w:t>
            </w:r>
          </w:p>
        </w:tc>
        <w:tc>
          <w:tcPr>
            <w:tcW w:w="1343" w:type="pct"/>
            <w:tcBorders>
              <w:top w:val="nil"/>
              <w:left w:val="nil"/>
              <w:bottom w:val="single" w:sz="4" w:space="0" w:color="auto"/>
              <w:right w:val="single" w:sz="4" w:space="0" w:color="auto"/>
            </w:tcBorders>
            <w:shd w:val="clear" w:color="auto" w:fill="auto"/>
            <w:vAlign w:val="center"/>
            <w:hideMark/>
          </w:tcPr>
          <w:p w14:paraId="40BCCF93" w14:textId="0B517ADD"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对比</w:t>
            </w:r>
            <w:r w:rsidRPr="009B7C90">
              <w:rPr>
                <w:rFonts w:eastAsia="楷体"/>
                <w:color w:val="000000"/>
                <w:kern w:val="0"/>
                <w:sz w:val="22"/>
              </w:rPr>
              <w:t>20</w:t>
            </w:r>
            <w:r w:rsidR="0039386D">
              <w:rPr>
                <w:rFonts w:eastAsia="楷体"/>
                <w:color w:val="000000"/>
                <w:kern w:val="0"/>
                <w:sz w:val="22"/>
              </w:rPr>
              <w:t>19</w:t>
            </w:r>
            <w:r w:rsidRPr="009B7C90">
              <w:rPr>
                <w:rFonts w:eastAsia="楷体"/>
                <w:color w:val="000000"/>
                <w:kern w:val="0"/>
                <w:sz w:val="22"/>
              </w:rPr>
              <w:t>年，</w:t>
            </w:r>
            <w:r w:rsidRPr="009B7C90">
              <w:rPr>
                <w:rFonts w:eastAsia="楷体"/>
                <w:color w:val="000000"/>
                <w:kern w:val="0"/>
                <w:sz w:val="22"/>
              </w:rPr>
              <w:br/>
            </w:r>
            <w:r w:rsidR="0039386D" w:rsidRPr="009B7C90">
              <w:rPr>
                <w:rFonts w:eastAsia="楷体"/>
                <w:color w:val="000000"/>
                <w:kern w:val="0"/>
                <w:sz w:val="22"/>
              </w:rPr>
              <w:t>到</w:t>
            </w:r>
            <w:r w:rsidR="0039386D" w:rsidRPr="009B7C90">
              <w:rPr>
                <w:rFonts w:eastAsia="楷体"/>
                <w:color w:val="000000"/>
                <w:kern w:val="0"/>
                <w:sz w:val="22"/>
              </w:rPr>
              <w:t>2025</w:t>
            </w:r>
            <w:r w:rsidR="0039386D">
              <w:rPr>
                <w:rFonts w:eastAsia="楷体" w:hint="eastAsia"/>
                <w:color w:val="000000"/>
                <w:kern w:val="0"/>
                <w:sz w:val="22"/>
              </w:rPr>
              <w:t>年</w:t>
            </w:r>
            <w:r w:rsidR="0039386D" w:rsidRPr="009B7C90">
              <w:rPr>
                <w:rFonts w:eastAsia="楷体"/>
                <w:color w:val="000000"/>
                <w:kern w:val="0"/>
                <w:sz w:val="22"/>
              </w:rPr>
              <w:t xml:space="preserve">, </w:t>
            </w:r>
            <w:r w:rsidR="0039386D" w:rsidRPr="009B7C90">
              <w:rPr>
                <w:rFonts w:eastAsia="楷体"/>
                <w:color w:val="000000"/>
                <w:kern w:val="0"/>
                <w:sz w:val="22"/>
              </w:rPr>
              <w:t>货运车辆百公里油耗下降</w:t>
            </w:r>
            <w:r w:rsidR="0039386D" w:rsidRPr="009B7C90">
              <w:rPr>
                <w:rFonts w:eastAsia="楷体"/>
                <w:color w:val="000000"/>
                <w:kern w:val="0"/>
                <w:sz w:val="22"/>
              </w:rPr>
              <w:t>1</w:t>
            </w:r>
            <w:r w:rsidR="0039386D">
              <w:rPr>
                <w:rFonts w:eastAsia="楷体"/>
                <w:color w:val="000000"/>
                <w:kern w:val="0"/>
                <w:sz w:val="22"/>
              </w:rPr>
              <w:t>5</w:t>
            </w:r>
            <w:r w:rsidR="001576EC">
              <w:rPr>
                <w:rFonts w:eastAsia="楷体" w:hint="eastAsia"/>
                <w:color w:val="000000"/>
                <w:kern w:val="0"/>
                <w:sz w:val="22"/>
              </w:rPr>
              <w:t>%-</w:t>
            </w:r>
            <w:r w:rsidR="001576EC">
              <w:rPr>
                <w:rFonts w:eastAsia="楷体"/>
                <w:color w:val="000000"/>
                <w:kern w:val="0"/>
                <w:sz w:val="22"/>
              </w:rPr>
              <w:t>18</w:t>
            </w:r>
            <w:r w:rsidR="0039386D" w:rsidRPr="009B7C90">
              <w:rPr>
                <w:rFonts w:eastAsia="楷体"/>
                <w:color w:val="000000"/>
                <w:kern w:val="0"/>
                <w:sz w:val="22"/>
              </w:rPr>
              <w:t>%</w:t>
            </w:r>
            <w:r w:rsidR="0039386D" w:rsidRPr="009B7C90">
              <w:rPr>
                <w:rFonts w:eastAsia="楷体"/>
                <w:color w:val="000000"/>
                <w:kern w:val="0"/>
                <w:sz w:val="22"/>
              </w:rPr>
              <w:t>，客运车辆百公里油耗下降</w:t>
            </w:r>
            <w:r w:rsidR="0039386D" w:rsidRPr="009B7C90">
              <w:rPr>
                <w:rFonts w:eastAsia="楷体"/>
                <w:color w:val="000000"/>
                <w:kern w:val="0"/>
                <w:sz w:val="22"/>
              </w:rPr>
              <w:t xml:space="preserve"> </w:t>
            </w:r>
            <w:r w:rsidR="0039386D">
              <w:rPr>
                <w:rFonts w:eastAsia="楷体"/>
                <w:color w:val="000000"/>
                <w:kern w:val="0"/>
                <w:sz w:val="22"/>
              </w:rPr>
              <w:t>1</w:t>
            </w:r>
            <w:r w:rsidR="001576EC">
              <w:rPr>
                <w:rFonts w:eastAsia="楷体"/>
                <w:color w:val="000000"/>
                <w:kern w:val="0"/>
                <w:sz w:val="22"/>
              </w:rPr>
              <w:t>5</w:t>
            </w:r>
            <w:r w:rsidR="0039386D" w:rsidRPr="009B7C90">
              <w:rPr>
                <w:rFonts w:eastAsia="楷体"/>
                <w:color w:val="000000"/>
                <w:kern w:val="0"/>
                <w:sz w:val="22"/>
              </w:rPr>
              <w:t>%-1</w:t>
            </w:r>
            <w:r w:rsidR="0039386D">
              <w:rPr>
                <w:rFonts w:eastAsia="楷体"/>
                <w:color w:val="000000"/>
                <w:kern w:val="0"/>
                <w:sz w:val="22"/>
              </w:rPr>
              <w:t>8</w:t>
            </w:r>
            <w:r w:rsidR="0039386D" w:rsidRPr="009B7C90">
              <w:rPr>
                <w:rFonts w:eastAsia="楷体"/>
                <w:color w:val="000000"/>
                <w:kern w:val="0"/>
                <w:sz w:val="22"/>
              </w:rPr>
              <w:t>%.</w:t>
            </w:r>
            <w:r w:rsidR="0039386D" w:rsidRPr="009B7C90">
              <w:rPr>
                <w:rFonts w:eastAsia="楷体"/>
                <w:color w:val="000000"/>
                <w:kern w:val="0"/>
                <w:sz w:val="22"/>
              </w:rPr>
              <w:br/>
            </w:r>
            <w:r w:rsidR="0039386D" w:rsidRPr="009B7C90">
              <w:rPr>
                <w:rFonts w:eastAsia="楷体"/>
                <w:color w:val="000000"/>
                <w:kern w:val="0"/>
                <w:sz w:val="22"/>
              </w:rPr>
              <w:t>到</w:t>
            </w:r>
            <w:r w:rsidR="0039386D" w:rsidRPr="009B7C90">
              <w:rPr>
                <w:rFonts w:eastAsia="楷体"/>
                <w:color w:val="000000"/>
                <w:kern w:val="0"/>
                <w:sz w:val="22"/>
              </w:rPr>
              <w:t>2030</w:t>
            </w:r>
            <w:r w:rsidR="0039386D">
              <w:rPr>
                <w:rFonts w:eastAsia="楷体" w:hint="eastAsia"/>
                <w:color w:val="000000"/>
                <w:kern w:val="0"/>
                <w:sz w:val="22"/>
              </w:rPr>
              <w:t>年</w:t>
            </w:r>
            <w:r w:rsidR="0039386D" w:rsidRPr="009B7C90">
              <w:rPr>
                <w:rFonts w:eastAsia="楷体"/>
                <w:color w:val="000000"/>
                <w:kern w:val="0"/>
                <w:sz w:val="22"/>
              </w:rPr>
              <w:t xml:space="preserve">, </w:t>
            </w:r>
            <w:r w:rsidR="0039386D" w:rsidRPr="009B7C90">
              <w:rPr>
                <w:rFonts w:eastAsia="楷体"/>
                <w:color w:val="000000"/>
                <w:kern w:val="0"/>
                <w:sz w:val="22"/>
              </w:rPr>
              <w:t>货运车辆百公里油耗下降</w:t>
            </w:r>
            <w:r w:rsidR="0039386D">
              <w:rPr>
                <w:rFonts w:eastAsia="楷体"/>
                <w:color w:val="000000"/>
                <w:kern w:val="0"/>
                <w:sz w:val="22"/>
              </w:rPr>
              <w:t>2</w:t>
            </w:r>
            <w:r w:rsidR="001576EC">
              <w:rPr>
                <w:rFonts w:eastAsia="楷体"/>
                <w:color w:val="000000"/>
                <w:kern w:val="0"/>
                <w:sz w:val="22"/>
              </w:rPr>
              <w:t>5</w:t>
            </w:r>
            <w:r w:rsidR="0039386D" w:rsidRPr="009B7C90">
              <w:rPr>
                <w:rFonts w:eastAsia="楷体"/>
                <w:color w:val="000000"/>
                <w:kern w:val="0"/>
                <w:sz w:val="22"/>
              </w:rPr>
              <w:t>%-</w:t>
            </w:r>
            <w:r w:rsidR="001576EC">
              <w:rPr>
                <w:rFonts w:eastAsia="楷体"/>
                <w:color w:val="000000"/>
                <w:kern w:val="0"/>
                <w:sz w:val="22"/>
              </w:rPr>
              <w:t>3</w:t>
            </w:r>
            <w:r w:rsidR="0039386D">
              <w:rPr>
                <w:rFonts w:eastAsia="楷体"/>
                <w:color w:val="000000"/>
                <w:kern w:val="0"/>
                <w:sz w:val="22"/>
              </w:rPr>
              <w:t>5</w:t>
            </w:r>
            <w:r w:rsidR="0039386D" w:rsidRPr="009B7C90">
              <w:rPr>
                <w:rFonts w:eastAsia="楷体"/>
                <w:color w:val="000000"/>
                <w:kern w:val="0"/>
                <w:sz w:val="22"/>
              </w:rPr>
              <w:t xml:space="preserve">% </w:t>
            </w:r>
            <w:r w:rsidR="0039386D" w:rsidRPr="009B7C90">
              <w:rPr>
                <w:rFonts w:eastAsia="楷体"/>
                <w:color w:val="000000"/>
                <w:kern w:val="0"/>
                <w:sz w:val="22"/>
              </w:rPr>
              <w:t>，客运车辆百公里油耗下降</w:t>
            </w:r>
            <w:r w:rsidR="001576EC">
              <w:rPr>
                <w:rFonts w:eastAsia="楷体"/>
                <w:color w:val="000000"/>
                <w:kern w:val="0"/>
                <w:sz w:val="22"/>
              </w:rPr>
              <w:t>25</w:t>
            </w:r>
            <w:r w:rsidR="001576EC" w:rsidRPr="009B7C90">
              <w:rPr>
                <w:rFonts w:eastAsia="楷体"/>
                <w:color w:val="000000"/>
                <w:kern w:val="0"/>
                <w:sz w:val="22"/>
              </w:rPr>
              <w:t>%-</w:t>
            </w:r>
            <w:r w:rsidR="001576EC">
              <w:rPr>
                <w:rFonts w:eastAsia="楷体"/>
                <w:color w:val="000000"/>
                <w:kern w:val="0"/>
                <w:sz w:val="22"/>
              </w:rPr>
              <w:t>35</w:t>
            </w:r>
            <w:r w:rsidR="001576EC" w:rsidRPr="009B7C90">
              <w:rPr>
                <w:rFonts w:eastAsia="楷体"/>
                <w:color w:val="000000"/>
                <w:kern w:val="0"/>
                <w:sz w:val="22"/>
              </w:rPr>
              <w:t>%</w:t>
            </w:r>
            <w:r w:rsidR="0039386D" w:rsidRPr="009B7C90">
              <w:rPr>
                <w:rFonts w:eastAsia="楷体"/>
                <w:color w:val="000000"/>
                <w:kern w:val="0"/>
                <w:sz w:val="22"/>
              </w:rPr>
              <w:t>.</w:t>
            </w:r>
            <w:r w:rsidR="0039386D" w:rsidRPr="009B7C90">
              <w:rPr>
                <w:rFonts w:eastAsia="楷体"/>
                <w:color w:val="000000"/>
                <w:kern w:val="0"/>
                <w:sz w:val="22"/>
              </w:rPr>
              <w:br/>
            </w:r>
            <w:r w:rsidR="0039386D" w:rsidRPr="009B7C90">
              <w:rPr>
                <w:rFonts w:eastAsia="楷体"/>
                <w:color w:val="000000"/>
                <w:kern w:val="0"/>
                <w:sz w:val="22"/>
              </w:rPr>
              <w:t>到</w:t>
            </w:r>
            <w:r w:rsidR="0039386D" w:rsidRPr="009B7C90">
              <w:rPr>
                <w:rFonts w:eastAsia="楷体"/>
                <w:color w:val="000000"/>
                <w:kern w:val="0"/>
                <w:sz w:val="22"/>
              </w:rPr>
              <w:t>2035</w:t>
            </w:r>
            <w:r w:rsidR="0039386D">
              <w:rPr>
                <w:rFonts w:eastAsia="楷体" w:hint="eastAsia"/>
                <w:color w:val="000000"/>
                <w:kern w:val="0"/>
                <w:sz w:val="22"/>
              </w:rPr>
              <w:t>年</w:t>
            </w:r>
            <w:r w:rsidR="0039386D" w:rsidRPr="009B7C90">
              <w:rPr>
                <w:rFonts w:eastAsia="楷体"/>
                <w:color w:val="000000"/>
                <w:kern w:val="0"/>
                <w:sz w:val="22"/>
              </w:rPr>
              <w:t xml:space="preserve">, </w:t>
            </w:r>
            <w:r w:rsidR="0039386D" w:rsidRPr="009B7C90">
              <w:rPr>
                <w:rFonts w:eastAsia="楷体"/>
                <w:color w:val="000000"/>
                <w:kern w:val="0"/>
                <w:sz w:val="22"/>
              </w:rPr>
              <w:t>货运车辆百公里油耗下降</w:t>
            </w:r>
            <w:r w:rsidR="001576EC">
              <w:rPr>
                <w:rFonts w:eastAsia="楷体"/>
                <w:color w:val="000000"/>
                <w:kern w:val="0"/>
                <w:sz w:val="22"/>
              </w:rPr>
              <w:t>35</w:t>
            </w:r>
            <w:r w:rsidR="001576EC" w:rsidRPr="009B7C90">
              <w:rPr>
                <w:rFonts w:eastAsia="楷体"/>
                <w:color w:val="000000"/>
                <w:kern w:val="0"/>
                <w:sz w:val="22"/>
              </w:rPr>
              <w:t>%-</w:t>
            </w:r>
            <w:r w:rsidR="001576EC">
              <w:rPr>
                <w:rFonts w:eastAsia="楷体"/>
                <w:color w:val="000000"/>
                <w:kern w:val="0"/>
                <w:sz w:val="22"/>
              </w:rPr>
              <w:t>45</w:t>
            </w:r>
            <w:r w:rsidR="001576EC" w:rsidRPr="009B7C90">
              <w:rPr>
                <w:rFonts w:eastAsia="楷体"/>
                <w:color w:val="000000"/>
                <w:kern w:val="0"/>
                <w:sz w:val="22"/>
              </w:rPr>
              <w:t>%</w:t>
            </w:r>
            <w:r w:rsidR="0039386D" w:rsidRPr="009B7C90">
              <w:rPr>
                <w:rFonts w:eastAsia="楷体"/>
                <w:color w:val="000000"/>
                <w:kern w:val="0"/>
                <w:sz w:val="22"/>
              </w:rPr>
              <w:t>，客运车辆百公里油耗下降</w:t>
            </w:r>
            <w:r w:rsidR="0039386D">
              <w:rPr>
                <w:rFonts w:eastAsia="楷体"/>
                <w:color w:val="000000"/>
                <w:kern w:val="0"/>
                <w:sz w:val="22"/>
              </w:rPr>
              <w:t>35</w:t>
            </w:r>
            <w:r w:rsidR="0039386D" w:rsidRPr="009B7C90">
              <w:rPr>
                <w:rFonts w:eastAsia="楷体"/>
                <w:color w:val="000000"/>
                <w:kern w:val="0"/>
                <w:sz w:val="22"/>
              </w:rPr>
              <w:t>%-</w:t>
            </w:r>
            <w:r w:rsidR="0039386D">
              <w:rPr>
                <w:rFonts w:eastAsia="楷体"/>
                <w:color w:val="000000"/>
                <w:kern w:val="0"/>
                <w:sz w:val="22"/>
              </w:rPr>
              <w:t>4</w:t>
            </w:r>
            <w:r w:rsidR="001576EC">
              <w:rPr>
                <w:rFonts w:eastAsia="楷体"/>
                <w:color w:val="000000"/>
                <w:kern w:val="0"/>
                <w:sz w:val="22"/>
              </w:rPr>
              <w:t>5</w:t>
            </w:r>
            <w:r w:rsidR="0039386D" w:rsidRPr="009B7C90">
              <w:rPr>
                <w:rFonts w:eastAsia="楷体"/>
                <w:color w:val="000000"/>
                <w:kern w:val="0"/>
                <w:sz w:val="22"/>
              </w:rPr>
              <w:t>%.</w:t>
            </w:r>
            <w:r w:rsidR="002E2707">
              <w:rPr>
                <w:rFonts w:eastAsia="楷体" w:hint="eastAsia"/>
                <w:color w:val="000000"/>
                <w:kern w:val="0"/>
                <w:sz w:val="22"/>
              </w:rPr>
              <w:t>。</w:t>
            </w:r>
          </w:p>
        </w:tc>
      </w:tr>
      <w:tr w:rsidR="009B7C90" w:rsidRPr="009B7C90" w14:paraId="784BDAB6" w14:textId="77777777" w:rsidTr="00495167">
        <w:trPr>
          <w:trHeight w:val="288"/>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50477F88"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3.6</w:t>
            </w:r>
          </w:p>
        </w:tc>
        <w:tc>
          <w:tcPr>
            <w:tcW w:w="857" w:type="pct"/>
            <w:tcBorders>
              <w:top w:val="nil"/>
              <w:left w:val="nil"/>
              <w:bottom w:val="single" w:sz="4" w:space="0" w:color="auto"/>
              <w:right w:val="single" w:sz="4" w:space="0" w:color="auto"/>
            </w:tcBorders>
            <w:shd w:val="clear" w:color="auto" w:fill="auto"/>
            <w:vAlign w:val="center"/>
            <w:hideMark/>
          </w:tcPr>
          <w:p w14:paraId="61F461D7"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网络货运品台普及</w:t>
            </w:r>
          </w:p>
        </w:tc>
        <w:tc>
          <w:tcPr>
            <w:tcW w:w="1271" w:type="pct"/>
            <w:tcBorders>
              <w:top w:val="nil"/>
              <w:left w:val="nil"/>
              <w:bottom w:val="single" w:sz="4" w:space="0" w:color="auto"/>
              <w:right w:val="single" w:sz="4" w:space="0" w:color="auto"/>
            </w:tcBorders>
            <w:shd w:val="clear" w:color="auto" w:fill="auto"/>
            <w:noWrap/>
            <w:vAlign w:val="center"/>
            <w:hideMark/>
          </w:tcPr>
          <w:p w14:paraId="775A6259" w14:textId="5E9EC8FD" w:rsidR="009B7C90" w:rsidRPr="009B7C90" w:rsidRDefault="00AA6853" w:rsidP="009B7C90">
            <w:pPr>
              <w:widowControl/>
              <w:spacing w:line="240" w:lineRule="auto"/>
              <w:ind w:firstLineChars="0" w:firstLine="0"/>
              <w:jc w:val="left"/>
              <w:rPr>
                <w:rFonts w:eastAsia="楷体"/>
                <w:color w:val="000000"/>
                <w:kern w:val="0"/>
                <w:sz w:val="22"/>
              </w:rPr>
            </w:pPr>
            <w:r>
              <w:rPr>
                <w:rFonts w:eastAsia="楷体" w:hint="eastAsia"/>
                <w:color w:val="000000"/>
                <w:kern w:val="0"/>
                <w:sz w:val="22"/>
              </w:rPr>
              <w:t>无</w:t>
            </w:r>
          </w:p>
        </w:tc>
        <w:tc>
          <w:tcPr>
            <w:tcW w:w="1270" w:type="pct"/>
            <w:tcBorders>
              <w:top w:val="nil"/>
              <w:left w:val="nil"/>
              <w:bottom w:val="single" w:sz="4" w:space="0" w:color="auto"/>
              <w:right w:val="single" w:sz="4" w:space="0" w:color="auto"/>
            </w:tcBorders>
            <w:shd w:val="clear" w:color="auto" w:fill="auto"/>
            <w:vAlign w:val="center"/>
            <w:hideMark/>
          </w:tcPr>
          <w:p w14:paraId="617BEA17" w14:textId="3923E1B5"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2035</w:t>
            </w:r>
            <w:r w:rsidRPr="009B7C90">
              <w:rPr>
                <w:rFonts w:eastAsia="楷体"/>
                <w:color w:val="000000"/>
                <w:kern w:val="0"/>
                <w:sz w:val="22"/>
              </w:rPr>
              <w:t>年货运</w:t>
            </w:r>
            <w:r w:rsidR="003B634E">
              <w:rPr>
                <w:rFonts w:eastAsia="楷体" w:hint="eastAsia"/>
                <w:color w:val="000000"/>
                <w:kern w:val="0"/>
                <w:sz w:val="22"/>
              </w:rPr>
              <w:t>车辆</w:t>
            </w:r>
            <w:r w:rsidR="00211659">
              <w:rPr>
                <w:rFonts w:eastAsia="楷体" w:hint="eastAsia"/>
                <w:color w:val="000000"/>
                <w:kern w:val="0"/>
                <w:sz w:val="22"/>
              </w:rPr>
              <w:t>满载</w:t>
            </w:r>
            <w:r w:rsidRPr="009B7C90">
              <w:rPr>
                <w:rFonts w:eastAsia="楷体"/>
                <w:color w:val="000000"/>
                <w:kern w:val="0"/>
                <w:sz w:val="22"/>
              </w:rPr>
              <w:t>率提升到</w:t>
            </w:r>
            <w:r w:rsidRPr="009B7C90">
              <w:rPr>
                <w:rFonts w:eastAsia="楷体"/>
                <w:color w:val="000000"/>
                <w:kern w:val="0"/>
                <w:sz w:val="22"/>
              </w:rPr>
              <w:t xml:space="preserve"> 76%</w:t>
            </w:r>
            <w:r w:rsidR="00211659">
              <w:rPr>
                <w:rFonts w:eastAsia="楷体" w:hint="eastAsia"/>
                <w:color w:val="000000"/>
                <w:kern w:val="0"/>
                <w:sz w:val="22"/>
              </w:rPr>
              <w:t>。</w:t>
            </w:r>
          </w:p>
        </w:tc>
        <w:tc>
          <w:tcPr>
            <w:tcW w:w="1343" w:type="pct"/>
            <w:tcBorders>
              <w:top w:val="nil"/>
              <w:left w:val="nil"/>
              <w:bottom w:val="single" w:sz="4" w:space="0" w:color="auto"/>
              <w:right w:val="single" w:sz="4" w:space="0" w:color="auto"/>
            </w:tcBorders>
            <w:shd w:val="clear" w:color="auto" w:fill="auto"/>
            <w:vAlign w:val="center"/>
            <w:hideMark/>
          </w:tcPr>
          <w:p w14:paraId="69D054A3" w14:textId="4D8C17D9"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2035</w:t>
            </w:r>
            <w:r w:rsidRPr="009B7C90">
              <w:rPr>
                <w:rFonts w:eastAsia="楷体"/>
                <w:color w:val="000000"/>
                <w:kern w:val="0"/>
                <w:sz w:val="22"/>
              </w:rPr>
              <w:t>年货运</w:t>
            </w:r>
            <w:r w:rsidR="00B91820">
              <w:rPr>
                <w:rFonts w:eastAsia="楷体" w:hint="eastAsia"/>
                <w:color w:val="000000"/>
                <w:kern w:val="0"/>
                <w:sz w:val="22"/>
              </w:rPr>
              <w:t>车辆</w:t>
            </w:r>
            <w:r w:rsidR="00211659">
              <w:rPr>
                <w:rFonts w:eastAsia="楷体" w:hint="eastAsia"/>
                <w:color w:val="000000"/>
                <w:kern w:val="0"/>
                <w:sz w:val="22"/>
              </w:rPr>
              <w:t>满载</w:t>
            </w:r>
            <w:r w:rsidRPr="009B7C90">
              <w:rPr>
                <w:rFonts w:eastAsia="楷体"/>
                <w:color w:val="000000"/>
                <w:kern w:val="0"/>
                <w:sz w:val="22"/>
              </w:rPr>
              <w:t>率提升到</w:t>
            </w:r>
            <w:r w:rsidRPr="009B7C90">
              <w:rPr>
                <w:rFonts w:eastAsia="楷体"/>
                <w:color w:val="000000"/>
                <w:kern w:val="0"/>
                <w:sz w:val="22"/>
              </w:rPr>
              <w:t xml:space="preserve"> 80%</w:t>
            </w:r>
            <w:r w:rsidR="00211659">
              <w:rPr>
                <w:rFonts w:eastAsia="楷体" w:hint="eastAsia"/>
                <w:color w:val="000000"/>
                <w:kern w:val="0"/>
                <w:sz w:val="22"/>
              </w:rPr>
              <w:t>。</w:t>
            </w:r>
          </w:p>
        </w:tc>
      </w:tr>
      <w:tr w:rsidR="009B7C90" w:rsidRPr="009B7C90" w14:paraId="1C257D20" w14:textId="77777777" w:rsidTr="00AB2B66">
        <w:trPr>
          <w:trHeight w:val="288"/>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11126EBB" w14:textId="77777777" w:rsidR="009B7C90" w:rsidRPr="009B7C90" w:rsidRDefault="009B7C90" w:rsidP="009B7C90">
            <w:pPr>
              <w:widowControl/>
              <w:spacing w:line="240" w:lineRule="auto"/>
              <w:ind w:firstLineChars="0" w:firstLine="0"/>
              <w:jc w:val="center"/>
              <w:rPr>
                <w:rFonts w:eastAsia="楷体"/>
                <w:b/>
                <w:bCs/>
                <w:color w:val="000000"/>
                <w:kern w:val="0"/>
                <w:sz w:val="22"/>
              </w:rPr>
            </w:pPr>
            <w:r w:rsidRPr="009B7C90">
              <w:rPr>
                <w:rFonts w:eastAsia="楷体"/>
                <w:b/>
                <w:bCs/>
                <w:color w:val="000000"/>
                <w:kern w:val="0"/>
                <w:sz w:val="22"/>
              </w:rPr>
              <w:lastRenderedPageBreak/>
              <w:t>4</w:t>
            </w:r>
          </w:p>
        </w:tc>
        <w:tc>
          <w:tcPr>
            <w:tcW w:w="4741"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0B2EC418" w14:textId="77777777" w:rsidR="009B7C90" w:rsidRPr="009B7C90" w:rsidRDefault="009B7C90" w:rsidP="009B7C90">
            <w:pPr>
              <w:widowControl/>
              <w:spacing w:line="240" w:lineRule="auto"/>
              <w:ind w:firstLineChars="0" w:firstLine="0"/>
              <w:jc w:val="left"/>
              <w:rPr>
                <w:rFonts w:eastAsia="楷体"/>
                <w:b/>
                <w:bCs/>
                <w:color w:val="000000"/>
                <w:kern w:val="0"/>
                <w:sz w:val="22"/>
              </w:rPr>
            </w:pPr>
            <w:r w:rsidRPr="009B7C90">
              <w:rPr>
                <w:rFonts w:eastAsia="楷体"/>
                <w:b/>
                <w:bCs/>
                <w:color w:val="000000"/>
                <w:kern w:val="0"/>
                <w:sz w:val="22"/>
              </w:rPr>
              <w:t>新能源利用</w:t>
            </w:r>
          </w:p>
        </w:tc>
      </w:tr>
      <w:tr w:rsidR="009B7C90" w:rsidRPr="009B7C90" w14:paraId="1F4C66DF" w14:textId="77777777" w:rsidTr="00495167">
        <w:trPr>
          <w:trHeight w:val="1440"/>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653DF523"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4.1</w:t>
            </w:r>
          </w:p>
        </w:tc>
        <w:tc>
          <w:tcPr>
            <w:tcW w:w="857" w:type="pct"/>
            <w:tcBorders>
              <w:top w:val="nil"/>
              <w:left w:val="nil"/>
              <w:bottom w:val="single" w:sz="4" w:space="0" w:color="auto"/>
              <w:right w:val="single" w:sz="4" w:space="0" w:color="auto"/>
            </w:tcBorders>
            <w:shd w:val="clear" w:color="auto" w:fill="auto"/>
            <w:noWrap/>
            <w:vAlign w:val="center"/>
            <w:hideMark/>
          </w:tcPr>
          <w:p w14:paraId="14F2289E"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电气化机车应用</w:t>
            </w:r>
          </w:p>
        </w:tc>
        <w:tc>
          <w:tcPr>
            <w:tcW w:w="1271" w:type="pct"/>
            <w:tcBorders>
              <w:top w:val="nil"/>
              <w:left w:val="nil"/>
              <w:bottom w:val="single" w:sz="4" w:space="0" w:color="auto"/>
              <w:right w:val="single" w:sz="4" w:space="0" w:color="auto"/>
            </w:tcBorders>
            <w:shd w:val="clear" w:color="auto" w:fill="auto"/>
            <w:vAlign w:val="center"/>
            <w:hideMark/>
          </w:tcPr>
          <w:p w14:paraId="290CF444"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电气化机车使用比例稳定在：货运</w:t>
            </w:r>
            <w:r w:rsidRPr="009B7C90">
              <w:rPr>
                <w:rFonts w:eastAsia="楷体"/>
                <w:color w:val="000000"/>
                <w:kern w:val="0"/>
                <w:sz w:val="22"/>
              </w:rPr>
              <w:t xml:space="preserve"> 50.9% </w:t>
            </w:r>
            <w:r w:rsidRPr="009B7C90">
              <w:rPr>
                <w:rFonts w:eastAsia="楷体"/>
                <w:color w:val="000000"/>
                <w:kern w:val="0"/>
                <w:sz w:val="22"/>
              </w:rPr>
              <w:t>客运</w:t>
            </w:r>
            <w:r w:rsidRPr="009B7C90">
              <w:rPr>
                <w:rFonts w:eastAsia="楷体"/>
                <w:color w:val="000000"/>
                <w:kern w:val="0"/>
                <w:sz w:val="22"/>
              </w:rPr>
              <w:t>82%</w:t>
            </w:r>
            <w:r w:rsidRPr="009B7C90">
              <w:rPr>
                <w:rFonts w:eastAsia="楷体"/>
                <w:color w:val="000000"/>
                <w:kern w:val="0"/>
                <w:sz w:val="22"/>
              </w:rPr>
              <w:t>。</w:t>
            </w:r>
          </w:p>
        </w:tc>
        <w:tc>
          <w:tcPr>
            <w:tcW w:w="1270" w:type="pct"/>
            <w:tcBorders>
              <w:top w:val="nil"/>
              <w:left w:val="nil"/>
              <w:bottom w:val="single" w:sz="4" w:space="0" w:color="auto"/>
              <w:right w:val="single" w:sz="4" w:space="0" w:color="auto"/>
            </w:tcBorders>
            <w:shd w:val="clear" w:color="auto" w:fill="auto"/>
            <w:vAlign w:val="center"/>
            <w:hideMark/>
          </w:tcPr>
          <w:p w14:paraId="71039763" w14:textId="0BF96853" w:rsidR="009B7C90" w:rsidRPr="009B7C90" w:rsidRDefault="009B7C90" w:rsidP="00331183">
            <w:pPr>
              <w:widowControl/>
              <w:spacing w:line="240" w:lineRule="auto"/>
              <w:ind w:firstLineChars="0" w:firstLine="0"/>
              <w:jc w:val="left"/>
              <w:rPr>
                <w:rFonts w:eastAsia="楷体"/>
                <w:color w:val="000000"/>
                <w:kern w:val="0"/>
                <w:sz w:val="22"/>
              </w:rPr>
            </w:pPr>
            <w:r w:rsidRPr="009B7C90">
              <w:rPr>
                <w:rFonts w:eastAsia="楷体"/>
                <w:color w:val="000000"/>
                <w:kern w:val="0"/>
                <w:sz w:val="22"/>
              </w:rPr>
              <w:t>电气化机车使用比例</w:t>
            </w:r>
            <w:r w:rsidRPr="009B7C90">
              <w:rPr>
                <w:rFonts w:eastAsia="楷体"/>
                <w:color w:val="000000"/>
                <w:kern w:val="0"/>
                <w:sz w:val="22"/>
              </w:rPr>
              <w:t>:</w:t>
            </w:r>
            <w:r w:rsidRPr="009B7C90">
              <w:rPr>
                <w:rFonts w:eastAsia="楷体"/>
                <w:color w:val="000000"/>
                <w:kern w:val="0"/>
                <w:sz w:val="22"/>
              </w:rPr>
              <w:br/>
            </w:r>
            <w:r w:rsidR="00014DC8">
              <w:rPr>
                <w:rFonts w:eastAsia="楷体" w:hint="eastAsia"/>
                <w:color w:val="000000"/>
                <w:kern w:val="0"/>
                <w:sz w:val="22"/>
              </w:rPr>
              <w:t>到</w:t>
            </w:r>
            <w:r w:rsidR="00014DC8" w:rsidRPr="009B7C90">
              <w:rPr>
                <w:rFonts w:eastAsia="楷体"/>
                <w:color w:val="000000"/>
                <w:kern w:val="0"/>
                <w:sz w:val="22"/>
              </w:rPr>
              <w:t>2025</w:t>
            </w:r>
            <w:r w:rsidRPr="009B7C90">
              <w:rPr>
                <w:rFonts w:eastAsia="楷体"/>
                <w:color w:val="000000"/>
                <w:kern w:val="0"/>
                <w:sz w:val="22"/>
              </w:rPr>
              <w:t>货运</w:t>
            </w:r>
            <w:r w:rsidRPr="009B7C90">
              <w:rPr>
                <w:rFonts w:eastAsia="楷体"/>
                <w:color w:val="000000"/>
                <w:kern w:val="0"/>
                <w:sz w:val="22"/>
              </w:rPr>
              <w:t xml:space="preserve">53% </w:t>
            </w:r>
            <w:r w:rsidRPr="009B7C90">
              <w:rPr>
                <w:rFonts w:eastAsia="楷体"/>
                <w:color w:val="000000"/>
                <w:kern w:val="0"/>
                <w:sz w:val="22"/>
              </w:rPr>
              <w:t>客运</w:t>
            </w:r>
            <w:r w:rsidRPr="009B7C90">
              <w:rPr>
                <w:rFonts w:eastAsia="楷体"/>
                <w:color w:val="000000"/>
                <w:kern w:val="0"/>
                <w:sz w:val="22"/>
              </w:rPr>
              <w:t>83%;</w:t>
            </w:r>
            <w:r w:rsidRPr="009B7C90">
              <w:rPr>
                <w:rFonts w:eastAsia="楷体"/>
                <w:color w:val="000000"/>
                <w:kern w:val="0"/>
                <w:sz w:val="22"/>
              </w:rPr>
              <w:br/>
            </w:r>
            <w:r w:rsidR="00014DC8">
              <w:rPr>
                <w:rFonts w:eastAsia="楷体" w:hint="eastAsia"/>
                <w:color w:val="000000"/>
                <w:kern w:val="0"/>
                <w:sz w:val="22"/>
              </w:rPr>
              <w:t>到</w:t>
            </w:r>
            <w:r w:rsidR="00014DC8" w:rsidRPr="009B7C90">
              <w:rPr>
                <w:rFonts w:eastAsia="楷体"/>
                <w:color w:val="000000"/>
                <w:kern w:val="0"/>
                <w:sz w:val="22"/>
              </w:rPr>
              <w:t xml:space="preserve"> 2030</w:t>
            </w:r>
            <w:r w:rsidRPr="009B7C90">
              <w:rPr>
                <w:rFonts w:eastAsia="楷体"/>
                <w:color w:val="000000"/>
                <w:kern w:val="0"/>
                <w:sz w:val="22"/>
              </w:rPr>
              <w:t>货运</w:t>
            </w:r>
            <w:r w:rsidRPr="009B7C90">
              <w:rPr>
                <w:rFonts w:eastAsia="楷体"/>
                <w:color w:val="000000"/>
                <w:kern w:val="0"/>
                <w:sz w:val="22"/>
              </w:rPr>
              <w:t>58%</w:t>
            </w:r>
            <w:r w:rsidRPr="009B7C90">
              <w:rPr>
                <w:rFonts w:eastAsia="楷体"/>
                <w:color w:val="000000"/>
                <w:kern w:val="0"/>
                <w:sz w:val="22"/>
              </w:rPr>
              <w:t>，客运</w:t>
            </w:r>
            <w:r w:rsidRPr="009B7C90">
              <w:rPr>
                <w:rFonts w:eastAsia="楷体"/>
                <w:color w:val="000000"/>
                <w:kern w:val="0"/>
                <w:sz w:val="22"/>
              </w:rPr>
              <w:t>88%</w:t>
            </w:r>
            <w:r w:rsidR="004D4E1C">
              <w:rPr>
                <w:rFonts w:eastAsia="楷体" w:hint="eastAsia"/>
                <w:color w:val="000000"/>
                <w:kern w:val="0"/>
                <w:sz w:val="22"/>
              </w:rPr>
              <w:t>；</w:t>
            </w:r>
            <w:r w:rsidRPr="009B7C90">
              <w:rPr>
                <w:rFonts w:eastAsia="楷体"/>
                <w:color w:val="000000"/>
                <w:kern w:val="0"/>
                <w:sz w:val="22"/>
              </w:rPr>
              <w:br/>
            </w:r>
            <w:r w:rsidR="007234E3">
              <w:rPr>
                <w:rFonts w:eastAsia="楷体" w:hint="eastAsia"/>
                <w:color w:val="000000"/>
                <w:kern w:val="0"/>
                <w:sz w:val="22"/>
              </w:rPr>
              <w:t>到</w:t>
            </w:r>
            <w:r w:rsidR="007234E3" w:rsidRPr="009B7C90">
              <w:rPr>
                <w:rFonts w:eastAsia="楷体"/>
                <w:color w:val="000000"/>
                <w:kern w:val="0"/>
                <w:sz w:val="22"/>
              </w:rPr>
              <w:t>2060</w:t>
            </w:r>
            <w:r w:rsidRPr="009B7C90">
              <w:rPr>
                <w:rFonts w:eastAsia="楷体"/>
                <w:color w:val="000000"/>
                <w:kern w:val="0"/>
                <w:sz w:val="22"/>
              </w:rPr>
              <w:t>货运</w:t>
            </w:r>
            <w:r w:rsidRPr="009B7C90">
              <w:rPr>
                <w:rFonts w:eastAsia="楷体"/>
                <w:color w:val="000000"/>
                <w:kern w:val="0"/>
                <w:sz w:val="22"/>
              </w:rPr>
              <w:t>80%</w:t>
            </w:r>
            <w:r w:rsidR="007234E3">
              <w:rPr>
                <w:rFonts w:eastAsia="楷体" w:hint="eastAsia"/>
                <w:color w:val="000000"/>
                <w:kern w:val="0"/>
                <w:sz w:val="22"/>
              </w:rPr>
              <w:t>，</w:t>
            </w:r>
            <w:r w:rsidRPr="009B7C90">
              <w:rPr>
                <w:rFonts w:eastAsia="楷体"/>
                <w:color w:val="000000"/>
                <w:kern w:val="0"/>
                <w:sz w:val="22"/>
              </w:rPr>
              <w:t>客运</w:t>
            </w:r>
            <w:r w:rsidRPr="009B7C90">
              <w:rPr>
                <w:rFonts w:eastAsia="楷体"/>
                <w:color w:val="000000"/>
                <w:kern w:val="0"/>
                <w:sz w:val="22"/>
              </w:rPr>
              <w:t>95%</w:t>
            </w:r>
            <w:r w:rsidR="007234E3">
              <w:rPr>
                <w:rFonts w:eastAsia="楷体" w:hint="eastAsia"/>
                <w:color w:val="000000"/>
                <w:kern w:val="0"/>
                <w:sz w:val="22"/>
              </w:rPr>
              <w:t>。</w:t>
            </w:r>
          </w:p>
        </w:tc>
        <w:tc>
          <w:tcPr>
            <w:tcW w:w="1343" w:type="pct"/>
            <w:tcBorders>
              <w:top w:val="nil"/>
              <w:left w:val="nil"/>
              <w:bottom w:val="single" w:sz="4" w:space="0" w:color="auto"/>
              <w:right w:val="single" w:sz="4" w:space="0" w:color="auto"/>
            </w:tcBorders>
            <w:shd w:val="clear" w:color="auto" w:fill="auto"/>
            <w:vAlign w:val="center"/>
            <w:hideMark/>
          </w:tcPr>
          <w:p w14:paraId="31D3A421" w14:textId="5A60655E" w:rsidR="009B7C90" w:rsidRPr="009B7C90" w:rsidRDefault="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电气化机车使用比例</w:t>
            </w:r>
            <w:r w:rsidRPr="009B7C90">
              <w:rPr>
                <w:rFonts w:eastAsia="楷体"/>
                <w:color w:val="000000"/>
                <w:kern w:val="0"/>
                <w:sz w:val="22"/>
              </w:rPr>
              <w:t>:</w:t>
            </w:r>
            <w:r w:rsidRPr="009B7C90">
              <w:rPr>
                <w:rFonts w:eastAsia="楷体"/>
                <w:color w:val="000000"/>
                <w:kern w:val="0"/>
                <w:sz w:val="22"/>
              </w:rPr>
              <w:br/>
            </w:r>
            <w:r w:rsidR="00832BEC">
              <w:rPr>
                <w:rFonts w:eastAsia="楷体" w:hint="eastAsia"/>
                <w:color w:val="000000"/>
                <w:kern w:val="0"/>
                <w:sz w:val="22"/>
              </w:rPr>
              <w:t>到</w:t>
            </w:r>
            <w:r w:rsidR="00832BEC">
              <w:rPr>
                <w:rFonts w:eastAsia="楷体" w:hint="eastAsia"/>
                <w:color w:val="000000"/>
                <w:kern w:val="0"/>
                <w:sz w:val="22"/>
              </w:rPr>
              <w:t>2</w:t>
            </w:r>
            <w:r w:rsidR="00832BEC">
              <w:rPr>
                <w:rFonts w:eastAsia="楷体"/>
                <w:color w:val="000000"/>
                <w:kern w:val="0"/>
                <w:sz w:val="22"/>
              </w:rPr>
              <w:t>025</w:t>
            </w:r>
            <w:r w:rsidRPr="009B7C90">
              <w:rPr>
                <w:rFonts w:eastAsia="楷体"/>
                <w:color w:val="000000"/>
                <w:kern w:val="0"/>
                <w:sz w:val="22"/>
              </w:rPr>
              <w:t>货运</w:t>
            </w:r>
            <w:r w:rsidRPr="009B7C90">
              <w:rPr>
                <w:rFonts w:eastAsia="楷体"/>
                <w:color w:val="000000"/>
                <w:kern w:val="0"/>
                <w:sz w:val="22"/>
              </w:rPr>
              <w:t>56%</w:t>
            </w:r>
            <w:r w:rsidR="00652BEE">
              <w:rPr>
                <w:rFonts w:eastAsia="楷体" w:hint="eastAsia"/>
                <w:color w:val="000000"/>
                <w:kern w:val="0"/>
                <w:sz w:val="22"/>
              </w:rPr>
              <w:t>，</w:t>
            </w:r>
            <w:r w:rsidRPr="009B7C90">
              <w:rPr>
                <w:rFonts w:eastAsia="楷体"/>
                <w:color w:val="000000"/>
                <w:kern w:val="0"/>
                <w:sz w:val="22"/>
              </w:rPr>
              <w:t>客运</w:t>
            </w:r>
            <w:r w:rsidRPr="009B7C90">
              <w:rPr>
                <w:rFonts w:eastAsia="楷体"/>
                <w:color w:val="000000"/>
                <w:kern w:val="0"/>
                <w:sz w:val="22"/>
              </w:rPr>
              <w:t>86%;</w:t>
            </w:r>
            <w:r w:rsidRPr="009B7C90">
              <w:rPr>
                <w:rFonts w:eastAsia="楷体"/>
                <w:color w:val="000000"/>
                <w:kern w:val="0"/>
                <w:sz w:val="22"/>
              </w:rPr>
              <w:br/>
            </w:r>
            <w:r w:rsidR="00832BEC">
              <w:rPr>
                <w:rFonts w:eastAsia="楷体" w:hint="eastAsia"/>
                <w:color w:val="000000"/>
                <w:kern w:val="0"/>
                <w:sz w:val="22"/>
              </w:rPr>
              <w:t>到</w:t>
            </w:r>
            <w:r w:rsidR="00832BEC">
              <w:rPr>
                <w:rFonts w:eastAsia="楷体" w:hint="eastAsia"/>
                <w:color w:val="000000"/>
                <w:kern w:val="0"/>
                <w:sz w:val="22"/>
              </w:rPr>
              <w:t>2</w:t>
            </w:r>
            <w:r w:rsidR="00832BEC">
              <w:rPr>
                <w:rFonts w:eastAsia="楷体"/>
                <w:color w:val="000000"/>
                <w:kern w:val="0"/>
                <w:sz w:val="22"/>
              </w:rPr>
              <w:t>030</w:t>
            </w:r>
            <w:r w:rsidRPr="009B7C90">
              <w:rPr>
                <w:rFonts w:eastAsia="楷体"/>
                <w:color w:val="000000"/>
                <w:kern w:val="0"/>
                <w:sz w:val="22"/>
              </w:rPr>
              <w:t>货运</w:t>
            </w:r>
            <w:r w:rsidRPr="009B7C90">
              <w:rPr>
                <w:rFonts w:eastAsia="楷体"/>
                <w:color w:val="000000"/>
                <w:kern w:val="0"/>
                <w:sz w:val="22"/>
              </w:rPr>
              <w:t>62%</w:t>
            </w:r>
            <w:r w:rsidRPr="009B7C90">
              <w:rPr>
                <w:rFonts w:eastAsia="楷体"/>
                <w:color w:val="000000"/>
                <w:kern w:val="0"/>
                <w:sz w:val="22"/>
              </w:rPr>
              <w:t>，客运</w:t>
            </w:r>
            <w:r w:rsidRPr="009B7C90">
              <w:rPr>
                <w:rFonts w:eastAsia="楷体"/>
                <w:color w:val="000000"/>
                <w:kern w:val="0"/>
                <w:sz w:val="22"/>
              </w:rPr>
              <w:t>92%</w:t>
            </w:r>
            <w:r w:rsidR="00832BEC">
              <w:rPr>
                <w:rFonts w:eastAsia="楷体" w:hint="eastAsia"/>
                <w:color w:val="000000"/>
                <w:kern w:val="0"/>
                <w:sz w:val="22"/>
              </w:rPr>
              <w:t>；</w:t>
            </w:r>
            <w:r w:rsidRPr="009B7C90">
              <w:rPr>
                <w:rFonts w:eastAsia="楷体"/>
                <w:color w:val="000000"/>
                <w:kern w:val="0"/>
                <w:sz w:val="22"/>
              </w:rPr>
              <w:br/>
            </w:r>
            <w:r w:rsidR="00832BEC">
              <w:rPr>
                <w:rFonts w:eastAsia="楷体" w:hint="eastAsia"/>
                <w:color w:val="000000"/>
                <w:kern w:val="0"/>
                <w:sz w:val="22"/>
              </w:rPr>
              <w:t>到</w:t>
            </w:r>
            <w:r w:rsidR="00832BEC">
              <w:rPr>
                <w:rFonts w:eastAsia="楷体" w:hint="eastAsia"/>
                <w:color w:val="000000"/>
                <w:kern w:val="0"/>
                <w:sz w:val="22"/>
              </w:rPr>
              <w:t>2</w:t>
            </w:r>
            <w:r w:rsidR="00832BEC">
              <w:rPr>
                <w:rFonts w:eastAsia="楷体"/>
                <w:color w:val="000000"/>
                <w:kern w:val="0"/>
                <w:sz w:val="22"/>
              </w:rPr>
              <w:t>060</w:t>
            </w:r>
            <w:r w:rsidRPr="009B7C90">
              <w:rPr>
                <w:rFonts w:eastAsia="楷体"/>
                <w:color w:val="000000"/>
                <w:kern w:val="0"/>
                <w:sz w:val="22"/>
              </w:rPr>
              <w:t>货运</w:t>
            </w:r>
            <w:r w:rsidRPr="009B7C90">
              <w:rPr>
                <w:rFonts w:eastAsia="楷体"/>
                <w:color w:val="000000"/>
                <w:kern w:val="0"/>
                <w:sz w:val="22"/>
              </w:rPr>
              <w:t>80%</w:t>
            </w:r>
            <w:r w:rsidR="00652BEE">
              <w:rPr>
                <w:rFonts w:eastAsia="楷体" w:hint="eastAsia"/>
                <w:color w:val="000000"/>
                <w:kern w:val="0"/>
                <w:sz w:val="22"/>
              </w:rPr>
              <w:t>，</w:t>
            </w:r>
            <w:r w:rsidRPr="009B7C90">
              <w:rPr>
                <w:rFonts w:eastAsia="楷体"/>
                <w:color w:val="000000"/>
                <w:kern w:val="0"/>
                <w:sz w:val="22"/>
              </w:rPr>
              <w:t>客运</w:t>
            </w:r>
            <w:r w:rsidRPr="009B7C90">
              <w:rPr>
                <w:rFonts w:eastAsia="楷体"/>
                <w:color w:val="000000"/>
                <w:kern w:val="0"/>
                <w:sz w:val="22"/>
              </w:rPr>
              <w:t>100%</w:t>
            </w:r>
            <w:r w:rsidR="00832BEC">
              <w:rPr>
                <w:rFonts w:eastAsia="楷体" w:hint="eastAsia"/>
                <w:color w:val="000000"/>
                <w:kern w:val="0"/>
                <w:sz w:val="22"/>
              </w:rPr>
              <w:t>。</w:t>
            </w:r>
          </w:p>
        </w:tc>
      </w:tr>
      <w:tr w:rsidR="009B7C90" w:rsidRPr="009B7C90" w14:paraId="0F740641" w14:textId="77777777" w:rsidTr="00495167">
        <w:trPr>
          <w:trHeight w:val="1152"/>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51134D88"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4.2</w:t>
            </w:r>
          </w:p>
        </w:tc>
        <w:tc>
          <w:tcPr>
            <w:tcW w:w="857" w:type="pct"/>
            <w:tcBorders>
              <w:top w:val="nil"/>
              <w:left w:val="nil"/>
              <w:bottom w:val="single" w:sz="4" w:space="0" w:color="auto"/>
              <w:right w:val="single" w:sz="4" w:space="0" w:color="auto"/>
            </w:tcBorders>
            <w:shd w:val="clear" w:color="auto" w:fill="auto"/>
            <w:vAlign w:val="center"/>
            <w:hideMark/>
          </w:tcPr>
          <w:p w14:paraId="6C92300C"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水路运输新能源利用比例</w:t>
            </w:r>
          </w:p>
        </w:tc>
        <w:tc>
          <w:tcPr>
            <w:tcW w:w="1271" w:type="pct"/>
            <w:tcBorders>
              <w:top w:val="nil"/>
              <w:left w:val="nil"/>
              <w:bottom w:val="single" w:sz="4" w:space="0" w:color="auto"/>
              <w:right w:val="single" w:sz="4" w:space="0" w:color="auto"/>
            </w:tcBorders>
            <w:shd w:val="clear" w:color="auto" w:fill="auto"/>
            <w:noWrap/>
            <w:vAlign w:val="center"/>
            <w:hideMark/>
          </w:tcPr>
          <w:p w14:paraId="3F4A2DCD" w14:textId="3F1DB585" w:rsidR="009B7C90" w:rsidRPr="009B7C90" w:rsidRDefault="00AA6853" w:rsidP="009B7C90">
            <w:pPr>
              <w:widowControl/>
              <w:spacing w:line="240" w:lineRule="auto"/>
              <w:ind w:firstLineChars="0" w:firstLine="0"/>
              <w:jc w:val="left"/>
              <w:rPr>
                <w:rFonts w:eastAsia="楷体"/>
                <w:color w:val="000000"/>
                <w:kern w:val="0"/>
                <w:sz w:val="22"/>
              </w:rPr>
            </w:pPr>
            <w:r>
              <w:rPr>
                <w:rFonts w:eastAsia="楷体" w:hint="eastAsia"/>
                <w:color w:val="000000"/>
                <w:kern w:val="0"/>
                <w:sz w:val="22"/>
              </w:rPr>
              <w:t>无</w:t>
            </w:r>
          </w:p>
        </w:tc>
        <w:tc>
          <w:tcPr>
            <w:tcW w:w="1270" w:type="pct"/>
            <w:tcBorders>
              <w:top w:val="nil"/>
              <w:left w:val="nil"/>
              <w:bottom w:val="single" w:sz="4" w:space="0" w:color="auto"/>
              <w:right w:val="single" w:sz="4" w:space="0" w:color="auto"/>
            </w:tcBorders>
            <w:shd w:val="clear" w:color="auto" w:fill="auto"/>
            <w:vAlign w:val="center"/>
            <w:hideMark/>
          </w:tcPr>
          <w:p w14:paraId="1BCBEB9D" w14:textId="22B3D17C" w:rsidR="009B7C90" w:rsidRPr="009B7C90" w:rsidRDefault="00CD787E" w:rsidP="00331183">
            <w:pPr>
              <w:widowControl/>
              <w:spacing w:line="240" w:lineRule="auto"/>
              <w:ind w:firstLineChars="0" w:firstLine="0"/>
              <w:jc w:val="left"/>
              <w:rPr>
                <w:rFonts w:eastAsia="楷体"/>
                <w:color w:val="000000"/>
                <w:kern w:val="0"/>
                <w:sz w:val="22"/>
              </w:rPr>
            </w:pPr>
            <w:r>
              <w:rPr>
                <w:rFonts w:eastAsia="楷体" w:hint="eastAsia"/>
                <w:color w:val="000000"/>
                <w:kern w:val="0"/>
                <w:sz w:val="22"/>
              </w:rPr>
              <w:t>船舶</w:t>
            </w:r>
            <w:r w:rsidR="009B7C90" w:rsidRPr="009B7C90">
              <w:rPr>
                <w:rFonts w:eastAsia="楷体"/>
                <w:color w:val="000000"/>
                <w:kern w:val="0"/>
                <w:sz w:val="22"/>
              </w:rPr>
              <w:t>新能源利用比例</w:t>
            </w:r>
            <w:r w:rsidR="009B7C90" w:rsidRPr="009B7C90">
              <w:rPr>
                <w:rFonts w:eastAsia="楷体"/>
                <w:color w:val="000000"/>
                <w:kern w:val="0"/>
                <w:sz w:val="22"/>
              </w:rPr>
              <w:t>:</w:t>
            </w:r>
            <w:r w:rsidR="009B7C90" w:rsidRPr="009B7C90">
              <w:rPr>
                <w:rFonts w:eastAsia="楷体"/>
                <w:color w:val="000000"/>
                <w:kern w:val="0"/>
                <w:sz w:val="22"/>
              </w:rPr>
              <w:br/>
            </w:r>
            <w:r w:rsidR="00652BEE">
              <w:rPr>
                <w:rFonts w:eastAsia="楷体" w:hint="eastAsia"/>
                <w:color w:val="000000"/>
                <w:kern w:val="0"/>
                <w:sz w:val="22"/>
              </w:rPr>
              <w:t>到</w:t>
            </w:r>
            <w:r w:rsidR="00652BEE">
              <w:rPr>
                <w:rFonts w:eastAsia="楷体" w:hint="eastAsia"/>
                <w:color w:val="000000"/>
                <w:kern w:val="0"/>
                <w:sz w:val="22"/>
              </w:rPr>
              <w:t>2</w:t>
            </w:r>
            <w:r w:rsidR="00652BEE">
              <w:rPr>
                <w:rFonts w:eastAsia="楷体"/>
                <w:color w:val="000000"/>
                <w:kern w:val="0"/>
                <w:sz w:val="22"/>
              </w:rPr>
              <w:t>025</w:t>
            </w:r>
            <w:r w:rsidR="009B7C90" w:rsidRPr="009B7C90">
              <w:rPr>
                <w:rFonts w:eastAsia="楷体"/>
                <w:color w:val="000000"/>
                <w:kern w:val="0"/>
                <w:sz w:val="22"/>
              </w:rPr>
              <w:t>内河</w:t>
            </w:r>
            <w:r w:rsidR="009B7C90" w:rsidRPr="009B7C90">
              <w:rPr>
                <w:rFonts w:eastAsia="楷体"/>
                <w:color w:val="000000"/>
                <w:kern w:val="0"/>
                <w:sz w:val="22"/>
              </w:rPr>
              <w:t xml:space="preserve">0% , </w:t>
            </w:r>
            <w:r w:rsidR="009B7C90" w:rsidRPr="009B7C90">
              <w:rPr>
                <w:rFonts w:eastAsia="楷体"/>
                <w:color w:val="000000"/>
                <w:kern w:val="0"/>
                <w:sz w:val="22"/>
              </w:rPr>
              <w:t>沿海</w:t>
            </w:r>
            <w:r w:rsidR="009B7C90" w:rsidRPr="009B7C90">
              <w:rPr>
                <w:rFonts w:eastAsia="楷体"/>
                <w:color w:val="000000"/>
                <w:kern w:val="0"/>
                <w:sz w:val="22"/>
              </w:rPr>
              <w:t>0%;</w:t>
            </w:r>
            <w:r w:rsidR="009B7C90" w:rsidRPr="009B7C90">
              <w:rPr>
                <w:rFonts w:eastAsia="楷体"/>
                <w:color w:val="000000"/>
                <w:kern w:val="0"/>
                <w:sz w:val="22"/>
              </w:rPr>
              <w:br/>
            </w:r>
            <w:r>
              <w:rPr>
                <w:rFonts w:eastAsia="楷体" w:hint="eastAsia"/>
                <w:color w:val="000000"/>
                <w:kern w:val="0"/>
                <w:sz w:val="22"/>
              </w:rPr>
              <w:t>到</w:t>
            </w:r>
            <w:r>
              <w:rPr>
                <w:rFonts w:eastAsia="楷体" w:hint="eastAsia"/>
                <w:color w:val="000000"/>
                <w:kern w:val="0"/>
                <w:sz w:val="22"/>
              </w:rPr>
              <w:t>2</w:t>
            </w:r>
            <w:r>
              <w:rPr>
                <w:rFonts w:eastAsia="楷体"/>
                <w:color w:val="000000"/>
                <w:kern w:val="0"/>
                <w:sz w:val="22"/>
              </w:rPr>
              <w:t>030</w:t>
            </w:r>
            <w:r w:rsidR="009B7C90" w:rsidRPr="009B7C90">
              <w:rPr>
                <w:rFonts w:eastAsia="楷体"/>
                <w:color w:val="000000"/>
                <w:kern w:val="0"/>
                <w:sz w:val="22"/>
              </w:rPr>
              <w:t>内河</w:t>
            </w:r>
            <w:r w:rsidR="009B7C90" w:rsidRPr="009B7C90">
              <w:rPr>
                <w:rFonts w:eastAsia="楷体"/>
                <w:color w:val="000000"/>
                <w:kern w:val="0"/>
                <w:sz w:val="22"/>
              </w:rPr>
              <w:t xml:space="preserve">1% </w:t>
            </w:r>
            <w:r w:rsidR="009B7C90" w:rsidRPr="009B7C90">
              <w:rPr>
                <w:rFonts w:eastAsia="楷体"/>
                <w:color w:val="000000"/>
                <w:kern w:val="0"/>
                <w:sz w:val="22"/>
              </w:rPr>
              <w:t>，沿海</w:t>
            </w:r>
            <w:r w:rsidR="009B7C90" w:rsidRPr="009B7C90">
              <w:rPr>
                <w:rFonts w:eastAsia="楷体"/>
                <w:color w:val="000000"/>
                <w:kern w:val="0"/>
                <w:sz w:val="22"/>
              </w:rPr>
              <w:t>0%.</w:t>
            </w:r>
            <w:r w:rsidR="009B7C90" w:rsidRPr="009B7C90">
              <w:rPr>
                <w:rFonts w:eastAsia="楷体"/>
                <w:color w:val="000000"/>
                <w:kern w:val="0"/>
                <w:sz w:val="22"/>
              </w:rPr>
              <w:br/>
            </w:r>
            <w:r w:rsidR="00F76685">
              <w:rPr>
                <w:rFonts w:eastAsia="楷体" w:hint="eastAsia"/>
                <w:color w:val="000000"/>
                <w:kern w:val="0"/>
                <w:sz w:val="22"/>
              </w:rPr>
              <w:t>到</w:t>
            </w:r>
            <w:r w:rsidR="00F76685">
              <w:rPr>
                <w:rFonts w:eastAsia="楷体" w:hint="eastAsia"/>
                <w:color w:val="000000"/>
                <w:kern w:val="0"/>
                <w:sz w:val="22"/>
              </w:rPr>
              <w:t>2</w:t>
            </w:r>
            <w:r w:rsidR="00F76685">
              <w:rPr>
                <w:rFonts w:eastAsia="楷体"/>
                <w:color w:val="000000"/>
                <w:kern w:val="0"/>
                <w:sz w:val="22"/>
              </w:rPr>
              <w:t>060</w:t>
            </w:r>
            <w:r w:rsidR="009B7C90" w:rsidRPr="009B7C90">
              <w:rPr>
                <w:rFonts w:eastAsia="楷体"/>
                <w:color w:val="000000"/>
                <w:kern w:val="0"/>
                <w:sz w:val="22"/>
              </w:rPr>
              <w:t>内河</w:t>
            </w:r>
            <w:r w:rsidR="009B7C90" w:rsidRPr="009B7C90">
              <w:rPr>
                <w:rFonts w:eastAsia="楷体"/>
                <w:color w:val="000000"/>
                <w:kern w:val="0"/>
                <w:sz w:val="22"/>
              </w:rPr>
              <w:t>30%</w:t>
            </w:r>
            <w:r w:rsidR="009B7C90" w:rsidRPr="009B7C90">
              <w:rPr>
                <w:rFonts w:eastAsia="楷体"/>
                <w:color w:val="000000"/>
                <w:kern w:val="0"/>
                <w:sz w:val="22"/>
              </w:rPr>
              <w:t>，沿海</w:t>
            </w:r>
            <w:r w:rsidR="009B7C90" w:rsidRPr="009B7C90">
              <w:rPr>
                <w:rFonts w:eastAsia="楷体"/>
                <w:color w:val="000000"/>
                <w:kern w:val="0"/>
                <w:sz w:val="22"/>
              </w:rPr>
              <w:t>10%</w:t>
            </w:r>
            <w:r w:rsidR="00B9426C">
              <w:rPr>
                <w:rFonts w:eastAsia="楷体"/>
                <w:color w:val="000000"/>
                <w:kern w:val="0"/>
                <w:sz w:val="22"/>
              </w:rPr>
              <w:t>.</w:t>
            </w:r>
          </w:p>
        </w:tc>
        <w:tc>
          <w:tcPr>
            <w:tcW w:w="1343" w:type="pct"/>
            <w:tcBorders>
              <w:top w:val="nil"/>
              <w:left w:val="nil"/>
              <w:bottom w:val="single" w:sz="4" w:space="0" w:color="auto"/>
              <w:right w:val="single" w:sz="4" w:space="0" w:color="auto"/>
            </w:tcBorders>
            <w:shd w:val="clear" w:color="auto" w:fill="auto"/>
            <w:vAlign w:val="center"/>
            <w:hideMark/>
          </w:tcPr>
          <w:p w14:paraId="791AAD37" w14:textId="34D9C7F0" w:rsidR="009B7C90" w:rsidRPr="009B7C90" w:rsidRDefault="00AC0406" w:rsidP="009B7C90">
            <w:pPr>
              <w:widowControl/>
              <w:spacing w:line="240" w:lineRule="auto"/>
              <w:ind w:firstLineChars="0" w:firstLine="0"/>
              <w:jc w:val="left"/>
              <w:rPr>
                <w:rFonts w:eastAsia="楷体"/>
                <w:color w:val="000000"/>
                <w:kern w:val="0"/>
                <w:sz w:val="22"/>
              </w:rPr>
            </w:pPr>
            <w:r>
              <w:rPr>
                <w:rFonts w:eastAsia="楷体" w:hint="eastAsia"/>
                <w:color w:val="000000"/>
                <w:kern w:val="0"/>
                <w:sz w:val="22"/>
              </w:rPr>
              <w:t>船舶</w:t>
            </w:r>
            <w:r w:rsidR="009B7C90" w:rsidRPr="009B7C90">
              <w:rPr>
                <w:rFonts w:eastAsia="楷体"/>
                <w:color w:val="000000"/>
                <w:kern w:val="0"/>
                <w:sz w:val="22"/>
              </w:rPr>
              <w:t>新能源利用比例</w:t>
            </w:r>
            <w:r w:rsidR="009B7C90" w:rsidRPr="009B7C90">
              <w:rPr>
                <w:rFonts w:eastAsia="楷体"/>
                <w:color w:val="000000"/>
                <w:kern w:val="0"/>
                <w:sz w:val="22"/>
              </w:rPr>
              <w:t>:</w:t>
            </w:r>
            <w:r w:rsidR="009B7C90" w:rsidRPr="009B7C90">
              <w:rPr>
                <w:rFonts w:eastAsia="楷体"/>
                <w:color w:val="000000"/>
                <w:kern w:val="0"/>
                <w:sz w:val="22"/>
              </w:rPr>
              <w:br/>
            </w:r>
            <w:r w:rsidR="00D92673">
              <w:rPr>
                <w:rFonts w:eastAsia="楷体" w:hint="eastAsia"/>
                <w:color w:val="000000"/>
                <w:kern w:val="0"/>
                <w:sz w:val="22"/>
              </w:rPr>
              <w:t>到</w:t>
            </w:r>
            <w:r w:rsidR="00D92673">
              <w:rPr>
                <w:rFonts w:eastAsia="楷体" w:hint="eastAsia"/>
                <w:color w:val="000000"/>
                <w:kern w:val="0"/>
                <w:sz w:val="22"/>
              </w:rPr>
              <w:t>2</w:t>
            </w:r>
            <w:r w:rsidR="00D92673">
              <w:rPr>
                <w:rFonts w:eastAsia="楷体"/>
                <w:color w:val="000000"/>
                <w:kern w:val="0"/>
                <w:sz w:val="22"/>
              </w:rPr>
              <w:t>025</w:t>
            </w:r>
            <w:r w:rsidR="009B7C90" w:rsidRPr="009B7C90">
              <w:rPr>
                <w:rFonts w:eastAsia="楷体"/>
                <w:color w:val="000000"/>
                <w:kern w:val="0"/>
                <w:sz w:val="22"/>
              </w:rPr>
              <w:t>内河</w:t>
            </w:r>
            <w:r w:rsidR="009B7C90" w:rsidRPr="009B7C90">
              <w:rPr>
                <w:rFonts w:eastAsia="楷体"/>
                <w:color w:val="000000"/>
                <w:kern w:val="0"/>
                <w:sz w:val="22"/>
              </w:rPr>
              <w:t xml:space="preserve">1% , </w:t>
            </w:r>
            <w:r w:rsidR="009B7C90" w:rsidRPr="009B7C90">
              <w:rPr>
                <w:rFonts w:eastAsia="楷体"/>
                <w:color w:val="000000"/>
                <w:kern w:val="0"/>
                <w:sz w:val="22"/>
              </w:rPr>
              <w:t>沿海</w:t>
            </w:r>
            <w:r w:rsidR="009B7C90" w:rsidRPr="009B7C90">
              <w:rPr>
                <w:rFonts w:eastAsia="楷体"/>
                <w:color w:val="000000"/>
                <w:kern w:val="0"/>
                <w:sz w:val="22"/>
              </w:rPr>
              <w:t>0%;</w:t>
            </w:r>
            <w:r w:rsidR="009B7C90" w:rsidRPr="009B7C90">
              <w:rPr>
                <w:rFonts w:eastAsia="楷体"/>
                <w:color w:val="000000"/>
                <w:kern w:val="0"/>
                <w:sz w:val="22"/>
              </w:rPr>
              <w:br/>
            </w:r>
            <w:r w:rsidR="00726C62">
              <w:rPr>
                <w:rFonts w:eastAsia="楷体" w:hint="eastAsia"/>
                <w:color w:val="000000"/>
                <w:kern w:val="0"/>
                <w:sz w:val="22"/>
              </w:rPr>
              <w:t>到</w:t>
            </w:r>
            <w:r w:rsidR="00726C62">
              <w:rPr>
                <w:rFonts w:eastAsia="楷体" w:hint="eastAsia"/>
                <w:color w:val="000000"/>
                <w:kern w:val="0"/>
                <w:sz w:val="22"/>
              </w:rPr>
              <w:t>2</w:t>
            </w:r>
            <w:r w:rsidR="00726C62">
              <w:rPr>
                <w:rFonts w:eastAsia="楷体"/>
                <w:color w:val="000000"/>
                <w:kern w:val="0"/>
                <w:sz w:val="22"/>
              </w:rPr>
              <w:t>030</w:t>
            </w:r>
            <w:r w:rsidR="009B7C90" w:rsidRPr="009B7C90">
              <w:rPr>
                <w:rFonts w:eastAsia="楷体"/>
                <w:color w:val="000000"/>
                <w:kern w:val="0"/>
                <w:sz w:val="22"/>
              </w:rPr>
              <w:t>内河</w:t>
            </w:r>
            <w:r w:rsidR="009B7C90" w:rsidRPr="009B7C90">
              <w:rPr>
                <w:rFonts w:eastAsia="楷体"/>
                <w:color w:val="000000"/>
                <w:kern w:val="0"/>
                <w:sz w:val="22"/>
              </w:rPr>
              <w:t>3%</w:t>
            </w:r>
            <w:r w:rsidR="009B7C90" w:rsidRPr="009B7C90">
              <w:rPr>
                <w:rFonts w:eastAsia="楷体"/>
                <w:color w:val="000000"/>
                <w:kern w:val="0"/>
                <w:sz w:val="22"/>
              </w:rPr>
              <w:t>，沿海</w:t>
            </w:r>
            <w:r w:rsidR="009B7C90" w:rsidRPr="009B7C90">
              <w:rPr>
                <w:rFonts w:eastAsia="楷体"/>
                <w:color w:val="000000"/>
                <w:kern w:val="0"/>
                <w:sz w:val="22"/>
              </w:rPr>
              <w:t>1%.</w:t>
            </w:r>
            <w:r w:rsidR="009B7C90" w:rsidRPr="009B7C90">
              <w:rPr>
                <w:rFonts w:eastAsia="楷体"/>
                <w:color w:val="000000"/>
                <w:kern w:val="0"/>
                <w:sz w:val="22"/>
              </w:rPr>
              <w:br/>
            </w:r>
            <w:r w:rsidR="00B9426C">
              <w:rPr>
                <w:rFonts w:eastAsia="楷体" w:hint="eastAsia"/>
                <w:color w:val="000000"/>
                <w:kern w:val="0"/>
                <w:sz w:val="22"/>
              </w:rPr>
              <w:t>到</w:t>
            </w:r>
            <w:r w:rsidR="00B9426C">
              <w:rPr>
                <w:rFonts w:eastAsia="楷体" w:hint="eastAsia"/>
                <w:color w:val="000000"/>
                <w:kern w:val="0"/>
                <w:sz w:val="22"/>
              </w:rPr>
              <w:t>2</w:t>
            </w:r>
            <w:r w:rsidR="00B9426C">
              <w:rPr>
                <w:rFonts w:eastAsia="楷体"/>
                <w:color w:val="000000"/>
                <w:kern w:val="0"/>
                <w:sz w:val="22"/>
              </w:rPr>
              <w:t>060</w:t>
            </w:r>
            <w:r w:rsidR="009B7C90" w:rsidRPr="009B7C90">
              <w:rPr>
                <w:rFonts w:eastAsia="楷体"/>
                <w:color w:val="000000"/>
                <w:kern w:val="0"/>
                <w:sz w:val="22"/>
              </w:rPr>
              <w:t>内河</w:t>
            </w:r>
            <w:r w:rsidR="009B7C90" w:rsidRPr="009B7C90">
              <w:rPr>
                <w:rFonts w:eastAsia="楷体"/>
                <w:color w:val="000000"/>
                <w:kern w:val="0"/>
                <w:sz w:val="22"/>
              </w:rPr>
              <w:t>50%</w:t>
            </w:r>
            <w:r w:rsidR="009B7C90" w:rsidRPr="009B7C90">
              <w:rPr>
                <w:rFonts w:eastAsia="楷体"/>
                <w:color w:val="000000"/>
                <w:kern w:val="0"/>
                <w:sz w:val="22"/>
              </w:rPr>
              <w:t>，沿海</w:t>
            </w:r>
            <w:r w:rsidR="009B7C90" w:rsidRPr="009B7C90">
              <w:rPr>
                <w:rFonts w:eastAsia="楷体"/>
                <w:color w:val="000000"/>
                <w:kern w:val="0"/>
                <w:sz w:val="22"/>
              </w:rPr>
              <w:t>20%</w:t>
            </w:r>
            <w:r w:rsidR="00D3584B">
              <w:rPr>
                <w:rFonts w:eastAsia="楷体" w:hint="eastAsia"/>
                <w:color w:val="000000"/>
                <w:kern w:val="0"/>
                <w:sz w:val="22"/>
              </w:rPr>
              <w:t>。</w:t>
            </w:r>
            <w:r w:rsidR="009B7C90" w:rsidRPr="009B7C90">
              <w:rPr>
                <w:rFonts w:eastAsia="楷体"/>
                <w:color w:val="000000"/>
                <w:kern w:val="0"/>
                <w:sz w:val="22"/>
              </w:rPr>
              <w:t xml:space="preserve"> </w:t>
            </w:r>
          </w:p>
        </w:tc>
      </w:tr>
      <w:tr w:rsidR="009B7C90" w:rsidRPr="009B7C90" w14:paraId="207F1BD7" w14:textId="77777777" w:rsidTr="00495167">
        <w:trPr>
          <w:trHeight w:val="564"/>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7120950C"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4.3</w:t>
            </w:r>
          </w:p>
        </w:tc>
        <w:tc>
          <w:tcPr>
            <w:tcW w:w="857" w:type="pct"/>
            <w:tcBorders>
              <w:top w:val="nil"/>
              <w:left w:val="nil"/>
              <w:bottom w:val="single" w:sz="4" w:space="0" w:color="auto"/>
              <w:right w:val="single" w:sz="4" w:space="0" w:color="auto"/>
            </w:tcBorders>
            <w:shd w:val="clear" w:color="auto" w:fill="auto"/>
            <w:noWrap/>
            <w:vAlign w:val="center"/>
            <w:hideMark/>
          </w:tcPr>
          <w:p w14:paraId="0A02D85C"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民航运输生物质燃料应用比例</w:t>
            </w:r>
          </w:p>
        </w:tc>
        <w:tc>
          <w:tcPr>
            <w:tcW w:w="1271" w:type="pct"/>
            <w:tcBorders>
              <w:top w:val="nil"/>
              <w:left w:val="nil"/>
              <w:bottom w:val="single" w:sz="4" w:space="0" w:color="auto"/>
              <w:right w:val="single" w:sz="4" w:space="0" w:color="auto"/>
            </w:tcBorders>
            <w:shd w:val="clear" w:color="auto" w:fill="auto"/>
            <w:noWrap/>
            <w:vAlign w:val="center"/>
            <w:hideMark/>
          </w:tcPr>
          <w:p w14:paraId="2A330396" w14:textId="023CB649" w:rsidR="009B7C90" w:rsidRPr="009B7C90" w:rsidRDefault="00AA6853" w:rsidP="009B7C90">
            <w:pPr>
              <w:widowControl/>
              <w:spacing w:line="240" w:lineRule="auto"/>
              <w:ind w:firstLineChars="0" w:firstLine="0"/>
              <w:jc w:val="left"/>
              <w:rPr>
                <w:rFonts w:eastAsia="楷体"/>
                <w:color w:val="000000"/>
                <w:kern w:val="0"/>
                <w:sz w:val="22"/>
              </w:rPr>
            </w:pPr>
            <w:r>
              <w:rPr>
                <w:rFonts w:eastAsia="楷体" w:hint="eastAsia"/>
                <w:color w:val="000000"/>
                <w:kern w:val="0"/>
                <w:sz w:val="22"/>
              </w:rPr>
              <w:t>无</w:t>
            </w:r>
          </w:p>
        </w:tc>
        <w:tc>
          <w:tcPr>
            <w:tcW w:w="1270" w:type="pct"/>
            <w:tcBorders>
              <w:top w:val="nil"/>
              <w:left w:val="nil"/>
              <w:bottom w:val="single" w:sz="4" w:space="0" w:color="auto"/>
              <w:right w:val="single" w:sz="4" w:space="0" w:color="auto"/>
            </w:tcBorders>
            <w:shd w:val="clear" w:color="auto" w:fill="auto"/>
            <w:vAlign w:val="center"/>
            <w:hideMark/>
          </w:tcPr>
          <w:p w14:paraId="021D53E2" w14:textId="6FCCF5A2"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民航运输生物质燃料应用比例</w:t>
            </w:r>
            <w:r w:rsidRPr="009B7C90">
              <w:rPr>
                <w:rFonts w:eastAsia="楷体"/>
                <w:color w:val="000000"/>
                <w:kern w:val="0"/>
                <w:sz w:val="22"/>
              </w:rPr>
              <w:t>:</w:t>
            </w:r>
            <w:r w:rsidRPr="009B7C90">
              <w:rPr>
                <w:rFonts w:eastAsia="楷体"/>
                <w:color w:val="000000"/>
                <w:kern w:val="0"/>
                <w:sz w:val="22"/>
              </w:rPr>
              <w:br/>
            </w:r>
            <w:r w:rsidR="004C4D49">
              <w:rPr>
                <w:rFonts w:eastAsia="楷体" w:hint="eastAsia"/>
                <w:color w:val="000000"/>
                <w:kern w:val="0"/>
                <w:sz w:val="22"/>
              </w:rPr>
              <w:t>到</w:t>
            </w:r>
            <w:r w:rsidR="004C4D49">
              <w:rPr>
                <w:rFonts w:eastAsia="楷体" w:hint="eastAsia"/>
                <w:color w:val="000000"/>
                <w:kern w:val="0"/>
                <w:sz w:val="22"/>
              </w:rPr>
              <w:t>2</w:t>
            </w:r>
            <w:r w:rsidR="004C4D49">
              <w:rPr>
                <w:rFonts w:eastAsia="楷体"/>
                <w:color w:val="000000"/>
                <w:kern w:val="0"/>
                <w:sz w:val="22"/>
              </w:rPr>
              <w:t>025</w:t>
            </w:r>
            <w:r w:rsidR="004C4D49">
              <w:rPr>
                <w:rFonts w:eastAsia="楷体" w:hint="eastAsia"/>
                <w:color w:val="000000"/>
                <w:kern w:val="0"/>
                <w:sz w:val="22"/>
              </w:rPr>
              <w:t>年</w:t>
            </w:r>
            <w:r w:rsidRPr="009B7C90">
              <w:rPr>
                <w:rFonts w:eastAsia="楷体"/>
                <w:color w:val="000000"/>
                <w:kern w:val="0"/>
                <w:sz w:val="22"/>
              </w:rPr>
              <w:t>1%;</w:t>
            </w:r>
            <w:r w:rsidR="004C4D49">
              <w:rPr>
                <w:rFonts w:eastAsia="楷体" w:hint="eastAsia"/>
                <w:color w:val="000000"/>
                <w:kern w:val="0"/>
                <w:sz w:val="22"/>
              </w:rPr>
              <w:t>到</w:t>
            </w:r>
            <w:r w:rsidR="004C4D49">
              <w:rPr>
                <w:rFonts w:eastAsia="楷体" w:hint="eastAsia"/>
                <w:color w:val="000000"/>
                <w:kern w:val="0"/>
                <w:sz w:val="22"/>
              </w:rPr>
              <w:t>2</w:t>
            </w:r>
            <w:r w:rsidR="004C4D49">
              <w:rPr>
                <w:rFonts w:eastAsia="楷体"/>
                <w:color w:val="000000"/>
                <w:kern w:val="0"/>
                <w:sz w:val="22"/>
              </w:rPr>
              <w:t>030</w:t>
            </w:r>
            <w:r w:rsidR="004C4D49">
              <w:rPr>
                <w:rFonts w:eastAsia="楷体" w:hint="eastAsia"/>
                <w:color w:val="000000"/>
                <w:kern w:val="0"/>
                <w:sz w:val="22"/>
              </w:rPr>
              <w:t>年</w:t>
            </w:r>
            <w:r w:rsidRPr="009B7C90">
              <w:rPr>
                <w:rFonts w:eastAsia="楷体"/>
                <w:color w:val="000000"/>
                <w:kern w:val="0"/>
                <w:sz w:val="22"/>
              </w:rPr>
              <w:t xml:space="preserve"> 3%</w:t>
            </w:r>
            <w:r w:rsidR="007A5571">
              <w:rPr>
                <w:rFonts w:eastAsia="楷体" w:hint="eastAsia"/>
                <w:color w:val="000000"/>
                <w:kern w:val="0"/>
                <w:sz w:val="22"/>
              </w:rPr>
              <w:t>，</w:t>
            </w:r>
            <w:r w:rsidRPr="009B7C90">
              <w:rPr>
                <w:rFonts w:eastAsia="楷体"/>
                <w:color w:val="000000"/>
                <w:kern w:val="0"/>
                <w:sz w:val="22"/>
              </w:rPr>
              <w:t xml:space="preserve"> </w:t>
            </w:r>
            <w:r w:rsidR="004C4D49">
              <w:rPr>
                <w:rFonts w:eastAsia="楷体" w:hint="eastAsia"/>
                <w:color w:val="000000"/>
                <w:kern w:val="0"/>
                <w:sz w:val="22"/>
              </w:rPr>
              <w:t>到</w:t>
            </w:r>
            <w:r w:rsidR="004C4D49">
              <w:rPr>
                <w:rFonts w:eastAsia="楷体" w:hint="eastAsia"/>
                <w:color w:val="000000"/>
                <w:kern w:val="0"/>
                <w:sz w:val="22"/>
              </w:rPr>
              <w:t>2</w:t>
            </w:r>
            <w:r w:rsidR="004C4D49">
              <w:rPr>
                <w:rFonts w:eastAsia="楷体"/>
                <w:color w:val="000000"/>
                <w:kern w:val="0"/>
                <w:sz w:val="22"/>
              </w:rPr>
              <w:t>060</w:t>
            </w:r>
            <w:r w:rsidR="004C4D49">
              <w:rPr>
                <w:rFonts w:eastAsia="楷体" w:hint="eastAsia"/>
                <w:color w:val="000000"/>
                <w:kern w:val="0"/>
                <w:sz w:val="22"/>
              </w:rPr>
              <w:t>年</w:t>
            </w:r>
            <w:r w:rsidRPr="009B7C90">
              <w:rPr>
                <w:rFonts w:eastAsia="楷体"/>
                <w:color w:val="000000"/>
                <w:kern w:val="0"/>
                <w:sz w:val="22"/>
              </w:rPr>
              <w:t>35%.</w:t>
            </w:r>
          </w:p>
        </w:tc>
        <w:tc>
          <w:tcPr>
            <w:tcW w:w="1343" w:type="pct"/>
            <w:tcBorders>
              <w:top w:val="nil"/>
              <w:left w:val="nil"/>
              <w:bottom w:val="single" w:sz="4" w:space="0" w:color="auto"/>
              <w:right w:val="single" w:sz="4" w:space="0" w:color="auto"/>
            </w:tcBorders>
            <w:shd w:val="clear" w:color="auto" w:fill="auto"/>
            <w:vAlign w:val="center"/>
            <w:hideMark/>
          </w:tcPr>
          <w:p w14:paraId="3A27B608" w14:textId="289C6868" w:rsidR="009B7C90" w:rsidRPr="009B7C90" w:rsidRDefault="009B7C90" w:rsidP="00331183">
            <w:pPr>
              <w:widowControl/>
              <w:spacing w:line="240" w:lineRule="auto"/>
              <w:ind w:firstLineChars="0" w:firstLine="0"/>
              <w:jc w:val="left"/>
              <w:rPr>
                <w:rFonts w:eastAsia="楷体"/>
                <w:color w:val="000000"/>
                <w:kern w:val="0"/>
                <w:sz w:val="22"/>
              </w:rPr>
            </w:pPr>
            <w:r w:rsidRPr="009B7C90">
              <w:rPr>
                <w:rFonts w:eastAsia="楷体"/>
                <w:color w:val="000000"/>
                <w:kern w:val="0"/>
                <w:sz w:val="22"/>
              </w:rPr>
              <w:t>民航运输生物质燃料应用比例</w:t>
            </w:r>
            <w:r w:rsidRPr="009B7C90">
              <w:rPr>
                <w:rFonts w:eastAsia="楷体"/>
                <w:color w:val="000000"/>
                <w:kern w:val="0"/>
                <w:sz w:val="22"/>
              </w:rPr>
              <w:t>:</w:t>
            </w:r>
            <w:r w:rsidRPr="009B7C90">
              <w:rPr>
                <w:rFonts w:eastAsia="楷体"/>
                <w:color w:val="000000"/>
                <w:kern w:val="0"/>
                <w:sz w:val="22"/>
              </w:rPr>
              <w:br/>
            </w:r>
            <w:r w:rsidR="00B477B2">
              <w:rPr>
                <w:rFonts w:eastAsia="楷体" w:hint="eastAsia"/>
                <w:color w:val="000000"/>
                <w:kern w:val="0"/>
                <w:sz w:val="22"/>
              </w:rPr>
              <w:t>到</w:t>
            </w:r>
            <w:r w:rsidR="00B477B2" w:rsidRPr="009B7C90">
              <w:rPr>
                <w:rFonts w:eastAsia="楷体"/>
                <w:color w:val="000000"/>
                <w:kern w:val="0"/>
                <w:sz w:val="22"/>
              </w:rPr>
              <w:t>2025</w:t>
            </w:r>
            <w:r w:rsidR="00B477B2">
              <w:rPr>
                <w:rFonts w:eastAsia="楷体" w:hint="eastAsia"/>
                <w:color w:val="000000"/>
                <w:kern w:val="0"/>
                <w:sz w:val="22"/>
              </w:rPr>
              <w:t>年</w:t>
            </w:r>
            <w:r w:rsidRPr="009B7C90">
              <w:rPr>
                <w:rFonts w:eastAsia="楷体"/>
                <w:color w:val="000000"/>
                <w:kern w:val="0"/>
                <w:sz w:val="22"/>
              </w:rPr>
              <w:t xml:space="preserve">2%; </w:t>
            </w:r>
            <w:r w:rsidR="00B477B2">
              <w:rPr>
                <w:rFonts w:eastAsia="楷体" w:hint="eastAsia"/>
                <w:color w:val="000000"/>
                <w:kern w:val="0"/>
                <w:sz w:val="22"/>
              </w:rPr>
              <w:t>到</w:t>
            </w:r>
            <w:r w:rsidR="00B477B2">
              <w:rPr>
                <w:rFonts w:eastAsia="楷体" w:hint="eastAsia"/>
                <w:color w:val="000000"/>
                <w:kern w:val="0"/>
                <w:sz w:val="22"/>
              </w:rPr>
              <w:t>2</w:t>
            </w:r>
            <w:r w:rsidR="00B477B2">
              <w:rPr>
                <w:rFonts w:eastAsia="楷体"/>
                <w:color w:val="000000"/>
                <w:kern w:val="0"/>
                <w:sz w:val="22"/>
              </w:rPr>
              <w:t>030</w:t>
            </w:r>
            <w:r w:rsidR="00B477B2">
              <w:rPr>
                <w:rFonts w:eastAsia="楷体" w:hint="eastAsia"/>
                <w:color w:val="000000"/>
                <w:kern w:val="0"/>
                <w:sz w:val="22"/>
              </w:rPr>
              <w:t>年</w:t>
            </w:r>
            <w:r w:rsidRPr="009B7C90">
              <w:rPr>
                <w:rFonts w:eastAsia="楷体"/>
                <w:color w:val="000000"/>
                <w:kern w:val="0"/>
                <w:sz w:val="22"/>
              </w:rPr>
              <w:t xml:space="preserve">5% in 2030, </w:t>
            </w:r>
            <w:r w:rsidR="00B477B2">
              <w:rPr>
                <w:rFonts w:eastAsia="楷体" w:hint="eastAsia"/>
                <w:color w:val="000000"/>
                <w:kern w:val="0"/>
                <w:sz w:val="22"/>
              </w:rPr>
              <w:t>到</w:t>
            </w:r>
            <w:r w:rsidR="00B477B2">
              <w:rPr>
                <w:rFonts w:eastAsia="楷体" w:hint="eastAsia"/>
                <w:color w:val="000000"/>
                <w:kern w:val="0"/>
                <w:sz w:val="22"/>
              </w:rPr>
              <w:t>2</w:t>
            </w:r>
            <w:r w:rsidR="00B477B2">
              <w:rPr>
                <w:rFonts w:eastAsia="楷体"/>
                <w:color w:val="000000"/>
                <w:kern w:val="0"/>
                <w:sz w:val="22"/>
              </w:rPr>
              <w:t>060</w:t>
            </w:r>
            <w:r w:rsidR="00B477B2">
              <w:rPr>
                <w:rFonts w:eastAsia="楷体" w:hint="eastAsia"/>
                <w:color w:val="000000"/>
                <w:kern w:val="0"/>
                <w:sz w:val="22"/>
              </w:rPr>
              <w:t>年</w:t>
            </w:r>
            <w:r w:rsidRPr="009B7C90">
              <w:rPr>
                <w:rFonts w:eastAsia="楷体"/>
                <w:color w:val="000000"/>
                <w:kern w:val="0"/>
                <w:sz w:val="22"/>
              </w:rPr>
              <w:t>50%.</w:t>
            </w:r>
          </w:p>
        </w:tc>
      </w:tr>
      <w:tr w:rsidR="009B7C90" w:rsidRPr="009B7C90" w14:paraId="39B54270" w14:textId="77777777" w:rsidTr="00495167">
        <w:trPr>
          <w:trHeight w:val="1980"/>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475BC3CC"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4.4</w:t>
            </w:r>
          </w:p>
        </w:tc>
        <w:tc>
          <w:tcPr>
            <w:tcW w:w="857" w:type="pct"/>
            <w:tcBorders>
              <w:top w:val="nil"/>
              <w:left w:val="nil"/>
              <w:bottom w:val="single" w:sz="4" w:space="0" w:color="auto"/>
              <w:right w:val="single" w:sz="4" w:space="0" w:color="auto"/>
            </w:tcBorders>
            <w:shd w:val="clear" w:color="auto" w:fill="auto"/>
            <w:noWrap/>
            <w:vAlign w:val="center"/>
            <w:hideMark/>
          </w:tcPr>
          <w:p w14:paraId="267347E5"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公路货运领域新能源应用比例</w:t>
            </w:r>
          </w:p>
        </w:tc>
        <w:tc>
          <w:tcPr>
            <w:tcW w:w="1271" w:type="pct"/>
            <w:tcBorders>
              <w:top w:val="nil"/>
              <w:left w:val="nil"/>
              <w:bottom w:val="single" w:sz="4" w:space="0" w:color="auto"/>
              <w:right w:val="single" w:sz="4" w:space="0" w:color="auto"/>
            </w:tcBorders>
            <w:shd w:val="clear" w:color="auto" w:fill="auto"/>
            <w:vAlign w:val="center"/>
            <w:hideMark/>
          </w:tcPr>
          <w:p w14:paraId="2F99ED6A" w14:textId="2E3088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新能源应用比例</w:t>
            </w:r>
            <w:r w:rsidRPr="009B7C90">
              <w:rPr>
                <w:rFonts w:eastAsia="楷体"/>
                <w:color w:val="000000"/>
                <w:kern w:val="0"/>
                <w:sz w:val="22"/>
              </w:rPr>
              <w:t>:</w:t>
            </w:r>
            <w:r w:rsidRPr="009B7C90">
              <w:rPr>
                <w:rFonts w:eastAsia="楷体"/>
                <w:color w:val="000000"/>
                <w:kern w:val="0"/>
                <w:sz w:val="22"/>
              </w:rPr>
              <w:br/>
            </w:r>
            <w:r w:rsidR="00457D2F">
              <w:rPr>
                <w:rFonts w:eastAsia="楷体"/>
                <w:color w:val="000000"/>
                <w:kern w:val="0"/>
                <w:sz w:val="22"/>
              </w:rPr>
              <w:t>到</w:t>
            </w:r>
            <w:r w:rsidR="00457D2F" w:rsidRPr="009B7C90">
              <w:rPr>
                <w:rFonts w:eastAsia="楷体"/>
                <w:color w:val="000000"/>
                <w:kern w:val="0"/>
                <w:sz w:val="22"/>
              </w:rPr>
              <w:t>2025</w:t>
            </w:r>
            <w:r w:rsidRPr="009B7C90">
              <w:rPr>
                <w:rFonts w:eastAsia="楷体"/>
                <w:color w:val="000000"/>
                <w:kern w:val="0"/>
                <w:sz w:val="22"/>
              </w:rPr>
              <w:t>轻型货车</w:t>
            </w:r>
            <w:r w:rsidRPr="009B7C90">
              <w:rPr>
                <w:rFonts w:eastAsia="楷体"/>
                <w:color w:val="000000"/>
                <w:kern w:val="0"/>
                <w:sz w:val="22"/>
              </w:rPr>
              <w:t>1% ,</w:t>
            </w:r>
            <w:r w:rsidRPr="009B7C90">
              <w:rPr>
                <w:rFonts w:eastAsia="楷体"/>
                <w:color w:val="000000"/>
                <w:kern w:val="0"/>
                <w:sz w:val="22"/>
              </w:rPr>
              <w:t>中型货车</w:t>
            </w:r>
            <w:r w:rsidRPr="009B7C90">
              <w:rPr>
                <w:rFonts w:eastAsia="楷体"/>
                <w:color w:val="000000"/>
                <w:kern w:val="0"/>
                <w:sz w:val="22"/>
              </w:rPr>
              <w:t xml:space="preserve"> 0% , </w:t>
            </w:r>
            <w:r w:rsidRPr="009B7C90">
              <w:rPr>
                <w:rFonts w:eastAsia="楷体"/>
                <w:color w:val="000000"/>
                <w:kern w:val="0"/>
                <w:sz w:val="22"/>
              </w:rPr>
              <w:t>重型货车</w:t>
            </w:r>
            <w:r w:rsidRPr="009B7C90">
              <w:rPr>
                <w:rFonts w:eastAsia="楷体"/>
                <w:color w:val="000000"/>
                <w:kern w:val="0"/>
                <w:sz w:val="22"/>
              </w:rPr>
              <w:t>0%</w:t>
            </w:r>
            <w:r w:rsidR="004169E4">
              <w:rPr>
                <w:rFonts w:eastAsia="楷体" w:hint="eastAsia"/>
                <w:color w:val="000000"/>
                <w:kern w:val="0"/>
                <w:sz w:val="22"/>
              </w:rPr>
              <w:t>。</w:t>
            </w:r>
            <w:r w:rsidRPr="009B7C90">
              <w:rPr>
                <w:rFonts w:eastAsia="楷体"/>
                <w:color w:val="000000"/>
                <w:kern w:val="0"/>
                <w:sz w:val="22"/>
              </w:rPr>
              <w:br/>
            </w:r>
            <w:r w:rsidR="00457D2F">
              <w:rPr>
                <w:rFonts w:eastAsia="楷体"/>
                <w:color w:val="000000"/>
                <w:kern w:val="0"/>
                <w:sz w:val="22"/>
              </w:rPr>
              <w:t>到</w:t>
            </w:r>
            <w:r w:rsidR="00457D2F" w:rsidRPr="009B7C90">
              <w:rPr>
                <w:rFonts w:eastAsia="楷体"/>
                <w:color w:val="000000"/>
                <w:kern w:val="0"/>
                <w:sz w:val="22"/>
              </w:rPr>
              <w:t>2030</w:t>
            </w:r>
            <w:r w:rsidRPr="009B7C90">
              <w:rPr>
                <w:rFonts w:eastAsia="楷体"/>
                <w:color w:val="000000"/>
                <w:kern w:val="0"/>
                <w:sz w:val="22"/>
              </w:rPr>
              <w:t>轻型货车</w:t>
            </w:r>
            <w:r w:rsidRPr="009B7C90">
              <w:rPr>
                <w:rFonts w:eastAsia="楷体"/>
                <w:color w:val="000000"/>
                <w:kern w:val="0"/>
                <w:sz w:val="22"/>
              </w:rPr>
              <w:t>5% ,</w:t>
            </w:r>
            <w:r w:rsidRPr="009B7C90">
              <w:rPr>
                <w:rFonts w:eastAsia="楷体"/>
                <w:color w:val="000000"/>
                <w:kern w:val="0"/>
                <w:sz w:val="22"/>
              </w:rPr>
              <w:t>中型货车</w:t>
            </w:r>
            <w:r w:rsidRPr="009B7C90">
              <w:rPr>
                <w:rFonts w:eastAsia="楷体"/>
                <w:color w:val="000000"/>
                <w:kern w:val="0"/>
                <w:sz w:val="22"/>
              </w:rPr>
              <w:t xml:space="preserve"> 1% , </w:t>
            </w:r>
            <w:r w:rsidRPr="009B7C90">
              <w:rPr>
                <w:rFonts w:eastAsia="楷体"/>
                <w:color w:val="000000"/>
                <w:kern w:val="0"/>
                <w:sz w:val="22"/>
              </w:rPr>
              <w:t>重型货车</w:t>
            </w:r>
            <w:r w:rsidRPr="009B7C90">
              <w:rPr>
                <w:rFonts w:eastAsia="楷体"/>
                <w:color w:val="000000"/>
                <w:kern w:val="0"/>
                <w:sz w:val="22"/>
              </w:rPr>
              <w:t>1%</w:t>
            </w:r>
            <w:r w:rsidR="004169E4">
              <w:rPr>
                <w:rFonts w:eastAsia="楷体" w:hint="eastAsia"/>
                <w:color w:val="000000"/>
                <w:kern w:val="0"/>
                <w:sz w:val="22"/>
              </w:rPr>
              <w:t>。</w:t>
            </w:r>
            <w:r w:rsidRPr="009B7C90">
              <w:rPr>
                <w:rFonts w:eastAsia="楷体"/>
                <w:color w:val="000000"/>
                <w:kern w:val="0"/>
                <w:sz w:val="22"/>
              </w:rPr>
              <w:br/>
            </w:r>
            <w:r w:rsidR="00457D2F">
              <w:rPr>
                <w:rFonts w:eastAsia="楷体"/>
                <w:color w:val="000000"/>
                <w:kern w:val="0"/>
                <w:sz w:val="22"/>
              </w:rPr>
              <w:t>到</w:t>
            </w:r>
            <w:r w:rsidR="00457D2F" w:rsidRPr="009B7C90">
              <w:rPr>
                <w:rFonts w:eastAsia="楷体"/>
                <w:color w:val="000000"/>
                <w:kern w:val="0"/>
                <w:sz w:val="22"/>
              </w:rPr>
              <w:t>2060</w:t>
            </w:r>
            <w:r w:rsidRPr="009B7C90">
              <w:rPr>
                <w:rFonts w:eastAsia="楷体"/>
                <w:color w:val="000000"/>
                <w:kern w:val="0"/>
                <w:sz w:val="22"/>
              </w:rPr>
              <w:t>轻型货车</w:t>
            </w:r>
            <w:r w:rsidRPr="009B7C90">
              <w:rPr>
                <w:rFonts w:eastAsia="楷体"/>
                <w:color w:val="000000"/>
                <w:kern w:val="0"/>
                <w:sz w:val="22"/>
              </w:rPr>
              <w:t>50% ,</w:t>
            </w:r>
            <w:r w:rsidRPr="009B7C90">
              <w:rPr>
                <w:rFonts w:eastAsia="楷体"/>
                <w:color w:val="000000"/>
                <w:kern w:val="0"/>
                <w:sz w:val="22"/>
              </w:rPr>
              <w:t>中型货车</w:t>
            </w:r>
            <w:r w:rsidRPr="009B7C90">
              <w:rPr>
                <w:rFonts w:eastAsia="楷体"/>
                <w:color w:val="000000"/>
                <w:kern w:val="0"/>
                <w:sz w:val="22"/>
              </w:rPr>
              <w:t xml:space="preserve">50% , </w:t>
            </w:r>
            <w:r w:rsidRPr="009B7C90">
              <w:rPr>
                <w:rFonts w:eastAsia="楷体"/>
                <w:color w:val="000000"/>
                <w:kern w:val="0"/>
                <w:sz w:val="22"/>
              </w:rPr>
              <w:t>重型货车</w:t>
            </w:r>
            <w:r w:rsidRPr="009B7C90">
              <w:rPr>
                <w:rFonts w:eastAsia="楷体"/>
                <w:color w:val="000000"/>
                <w:kern w:val="0"/>
                <w:sz w:val="22"/>
              </w:rPr>
              <w:t>50%</w:t>
            </w:r>
            <w:r w:rsidR="004169E4">
              <w:rPr>
                <w:rFonts w:eastAsia="楷体" w:hint="eastAsia"/>
                <w:color w:val="000000"/>
                <w:kern w:val="0"/>
                <w:sz w:val="22"/>
              </w:rPr>
              <w:t>。</w:t>
            </w:r>
            <w:r w:rsidRPr="009B7C90">
              <w:rPr>
                <w:rFonts w:eastAsia="楷体"/>
                <w:color w:val="000000"/>
                <w:kern w:val="0"/>
                <w:sz w:val="22"/>
              </w:rPr>
              <w:t xml:space="preserve"> </w:t>
            </w:r>
          </w:p>
        </w:tc>
        <w:tc>
          <w:tcPr>
            <w:tcW w:w="1270" w:type="pct"/>
            <w:tcBorders>
              <w:top w:val="nil"/>
              <w:left w:val="nil"/>
              <w:bottom w:val="single" w:sz="4" w:space="0" w:color="auto"/>
              <w:right w:val="single" w:sz="4" w:space="0" w:color="auto"/>
            </w:tcBorders>
            <w:shd w:val="clear" w:color="auto" w:fill="auto"/>
            <w:vAlign w:val="center"/>
            <w:hideMark/>
          </w:tcPr>
          <w:p w14:paraId="3F35D173" w14:textId="7BAF597A"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新能源应用比例</w:t>
            </w:r>
            <w:r w:rsidRPr="009B7C90">
              <w:rPr>
                <w:rFonts w:eastAsia="楷体"/>
                <w:color w:val="000000"/>
                <w:kern w:val="0"/>
                <w:sz w:val="22"/>
              </w:rPr>
              <w:t>:</w:t>
            </w:r>
            <w:r w:rsidRPr="009B7C90">
              <w:rPr>
                <w:rFonts w:eastAsia="楷体"/>
                <w:color w:val="000000"/>
                <w:kern w:val="0"/>
                <w:sz w:val="22"/>
              </w:rPr>
              <w:br/>
            </w:r>
            <w:r w:rsidR="00457D2F">
              <w:rPr>
                <w:rFonts w:eastAsia="楷体"/>
                <w:color w:val="000000"/>
                <w:kern w:val="0"/>
                <w:sz w:val="22"/>
              </w:rPr>
              <w:t>到</w:t>
            </w:r>
            <w:r w:rsidR="00457D2F" w:rsidRPr="009B7C90">
              <w:rPr>
                <w:rFonts w:eastAsia="楷体"/>
                <w:color w:val="000000"/>
                <w:kern w:val="0"/>
                <w:sz w:val="22"/>
              </w:rPr>
              <w:t>2025</w:t>
            </w:r>
            <w:r w:rsidRPr="009B7C90">
              <w:rPr>
                <w:rFonts w:eastAsia="楷体"/>
                <w:color w:val="000000"/>
                <w:kern w:val="0"/>
                <w:sz w:val="22"/>
              </w:rPr>
              <w:t>轻型货车</w:t>
            </w:r>
            <w:r w:rsidRPr="009B7C90">
              <w:rPr>
                <w:rFonts w:eastAsia="楷体"/>
                <w:color w:val="000000"/>
                <w:kern w:val="0"/>
                <w:sz w:val="22"/>
              </w:rPr>
              <w:t>2% ,</w:t>
            </w:r>
            <w:r w:rsidRPr="009B7C90">
              <w:rPr>
                <w:rFonts w:eastAsia="楷体"/>
                <w:color w:val="000000"/>
                <w:kern w:val="0"/>
                <w:sz w:val="22"/>
              </w:rPr>
              <w:t>中型货车</w:t>
            </w:r>
            <w:r w:rsidRPr="009B7C90">
              <w:rPr>
                <w:rFonts w:eastAsia="楷体"/>
                <w:color w:val="000000"/>
                <w:kern w:val="0"/>
                <w:sz w:val="22"/>
              </w:rPr>
              <w:t xml:space="preserve"> 0% , </w:t>
            </w:r>
            <w:r w:rsidRPr="009B7C90">
              <w:rPr>
                <w:rFonts w:eastAsia="楷体"/>
                <w:color w:val="000000"/>
                <w:kern w:val="0"/>
                <w:sz w:val="22"/>
              </w:rPr>
              <w:t>重型货车</w:t>
            </w:r>
            <w:r w:rsidRPr="009B7C90">
              <w:rPr>
                <w:rFonts w:eastAsia="楷体"/>
                <w:color w:val="000000"/>
                <w:kern w:val="0"/>
                <w:sz w:val="22"/>
              </w:rPr>
              <w:t>0%</w:t>
            </w:r>
            <w:r w:rsidR="004169E4">
              <w:rPr>
                <w:rFonts w:eastAsia="楷体" w:hint="eastAsia"/>
                <w:color w:val="000000"/>
                <w:kern w:val="0"/>
                <w:sz w:val="22"/>
              </w:rPr>
              <w:t>。</w:t>
            </w:r>
            <w:r w:rsidRPr="009B7C90">
              <w:rPr>
                <w:rFonts w:eastAsia="楷体"/>
                <w:color w:val="000000"/>
                <w:kern w:val="0"/>
                <w:sz w:val="22"/>
              </w:rPr>
              <w:br/>
            </w:r>
            <w:r w:rsidR="00457D2F">
              <w:rPr>
                <w:rFonts w:eastAsia="楷体"/>
                <w:color w:val="000000"/>
                <w:kern w:val="0"/>
                <w:sz w:val="22"/>
              </w:rPr>
              <w:t>到</w:t>
            </w:r>
            <w:r w:rsidR="00457D2F" w:rsidRPr="009B7C90">
              <w:rPr>
                <w:rFonts w:eastAsia="楷体"/>
                <w:color w:val="000000"/>
                <w:kern w:val="0"/>
                <w:sz w:val="22"/>
              </w:rPr>
              <w:t>2030</w:t>
            </w:r>
            <w:r w:rsidRPr="009B7C90">
              <w:rPr>
                <w:rFonts w:eastAsia="楷体"/>
                <w:color w:val="000000"/>
                <w:kern w:val="0"/>
                <w:sz w:val="22"/>
              </w:rPr>
              <w:t>轻型货车</w:t>
            </w:r>
            <w:r w:rsidRPr="009B7C90">
              <w:rPr>
                <w:rFonts w:eastAsia="楷体"/>
                <w:color w:val="000000"/>
                <w:kern w:val="0"/>
                <w:sz w:val="22"/>
              </w:rPr>
              <w:t>10% ,</w:t>
            </w:r>
            <w:r w:rsidRPr="009B7C90">
              <w:rPr>
                <w:rFonts w:eastAsia="楷体"/>
                <w:color w:val="000000"/>
                <w:kern w:val="0"/>
                <w:sz w:val="22"/>
              </w:rPr>
              <w:t>中型货车</w:t>
            </w:r>
            <w:r w:rsidRPr="009B7C90">
              <w:rPr>
                <w:rFonts w:eastAsia="楷体"/>
                <w:color w:val="000000"/>
                <w:kern w:val="0"/>
                <w:sz w:val="22"/>
              </w:rPr>
              <w:t xml:space="preserve">3% , </w:t>
            </w:r>
            <w:r w:rsidRPr="009B7C90">
              <w:rPr>
                <w:rFonts w:eastAsia="楷体"/>
                <w:color w:val="000000"/>
                <w:kern w:val="0"/>
                <w:sz w:val="22"/>
              </w:rPr>
              <w:t>重型货车</w:t>
            </w:r>
            <w:r w:rsidRPr="009B7C90">
              <w:rPr>
                <w:rFonts w:eastAsia="楷体"/>
                <w:color w:val="000000"/>
                <w:kern w:val="0"/>
                <w:sz w:val="22"/>
              </w:rPr>
              <w:t>3%</w:t>
            </w:r>
            <w:r w:rsidR="004169E4">
              <w:rPr>
                <w:rFonts w:eastAsia="楷体" w:hint="eastAsia"/>
                <w:color w:val="000000"/>
                <w:kern w:val="0"/>
                <w:sz w:val="22"/>
              </w:rPr>
              <w:t>。</w:t>
            </w:r>
            <w:r w:rsidRPr="009B7C90">
              <w:rPr>
                <w:rFonts w:eastAsia="楷体"/>
                <w:color w:val="000000"/>
                <w:kern w:val="0"/>
                <w:sz w:val="22"/>
              </w:rPr>
              <w:br/>
            </w:r>
            <w:r w:rsidR="00457D2F">
              <w:rPr>
                <w:rFonts w:eastAsia="楷体"/>
                <w:color w:val="000000"/>
                <w:kern w:val="0"/>
                <w:sz w:val="22"/>
              </w:rPr>
              <w:t>到</w:t>
            </w:r>
            <w:r w:rsidR="00457D2F" w:rsidRPr="009B7C90">
              <w:rPr>
                <w:rFonts w:eastAsia="楷体"/>
                <w:color w:val="000000"/>
                <w:kern w:val="0"/>
                <w:sz w:val="22"/>
              </w:rPr>
              <w:t>2060</w:t>
            </w:r>
            <w:r w:rsidRPr="009B7C90">
              <w:rPr>
                <w:rFonts w:eastAsia="楷体"/>
                <w:color w:val="000000"/>
                <w:kern w:val="0"/>
                <w:sz w:val="22"/>
              </w:rPr>
              <w:t>轻型货车</w:t>
            </w:r>
            <w:r w:rsidRPr="009B7C90">
              <w:rPr>
                <w:rFonts w:eastAsia="楷体"/>
                <w:color w:val="000000"/>
                <w:kern w:val="0"/>
                <w:sz w:val="22"/>
              </w:rPr>
              <w:t>80% ,</w:t>
            </w:r>
            <w:r w:rsidRPr="009B7C90">
              <w:rPr>
                <w:rFonts w:eastAsia="楷体"/>
                <w:color w:val="000000"/>
                <w:kern w:val="0"/>
                <w:sz w:val="22"/>
              </w:rPr>
              <w:t>中型货车</w:t>
            </w:r>
            <w:r w:rsidRPr="009B7C90">
              <w:rPr>
                <w:rFonts w:eastAsia="楷体"/>
                <w:color w:val="000000"/>
                <w:kern w:val="0"/>
                <w:sz w:val="22"/>
              </w:rPr>
              <w:t xml:space="preserve">70% , </w:t>
            </w:r>
            <w:r w:rsidRPr="009B7C90">
              <w:rPr>
                <w:rFonts w:eastAsia="楷体"/>
                <w:color w:val="000000"/>
                <w:kern w:val="0"/>
                <w:sz w:val="22"/>
              </w:rPr>
              <w:t>重型货车</w:t>
            </w:r>
            <w:r w:rsidR="007A5571">
              <w:rPr>
                <w:rFonts w:eastAsia="楷体"/>
                <w:color w:val="000000"/>
                <w:kern w:val="0"/>
                <w:sz w:val="22"/>
              </w:rPr>
              <w:t>95</w:t>
            </w:r>
            <w:r w:rsidRPr="009B7C90">
              <w:rPr>
                <w:rFonts w:eastAsia="楷体"/>
                <w:color w:val="000000"/>
                <w:kern w:val="0"/>
                <w:sz w:val="22"/>
              </w:rPr>
              <w:t>%</w:t>
            </w:r>
            <w:r w:rsidR="004169E4">
              <w:rPr>
                <w:rFonts w:eastAsia="楷体" w:hint="eastAsia"/>
                <w:color w:val="000000"/>
                <w:kern w:val="0"/>
                <w:sz w:val="22"/>
              </w:rPr>
              <w:t>。</w:t>
            </w:r>
          </w:p>
        </w:tc>
        <w:tc>
          <w:tcPr>
            <w:tcW w:w="1343" w:type="pct"/>
            <w:tcBorders>
              <w:top w:val="nil"/>
              <w:left w:val="nil"/>
              <w:bottom w:val="single" w:sz="4" w:space="0" w:color="auto"/>
              <w:right w:val="single" w:sz="4" w:space="0" w:color="auto"/>
            </w:tcBorders>
            <w:shd w:val="clear" w:color="auto" w:fill="auto"/>
            <w:vAlign w:val="center"/>
            <w:hideMark/>
          </w:tcPr>
          <w:p w14:paraId="0EB10FBB" w14:textId="13ACE46E"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新能源应用比例</w:t>
            </w:r>
            <w:r w:rsidRPr="009B7C90">
              <w:rPr>
                <w:rFonts w:eastAsia="楷体"/>
                <w:color w:val="000000"/>
                <w:kern w:val="0"/>
                <w:sz w:val="22"/>
              </w:rPr>
              <w:t>:</w:t>
            </w:r>
            <w:r w:rsidRPr="009B7C90">
              <w:rPr>
                <w:rFonts w:eastAsia="楷体"/>
                <w:color w:val="000000"/>
                <w:kern w:val="0"/>
                <w:sz w:val="22"/>
              </w:rPr>
              <w:br/>
            </w:r>
            <w:r w:rsidR="00457D2F">
              <w:rPr>
                <w:rFonts w:eastAsia="楷体"/>
                <w:color w:val="000000"/>
                <w:kern w:val="0"/>
                <w:sz w:val="22"/>
              </w:rPr>
              <w:t>到</w:t>
            </w:r>
            <w:r w:rsidR="00457D2F" w:rsidRPr="009B7C90">
              <w:rPr>
                <w:rFonts w:eastAsia="楷体"/>
                <w:color w:val="000000"/>
                <w:kern w:val="0"/>
                <w:sz w:val="22"/>
              </w:rPr>
              <w:t>2025</w:t>
            </w:r>
            <w:r w:rsidRPr="009B7C90">
              <w:rPr>
                <w:rFonts w:eastAsia="楷体"/>
                <w:color w:val="000000"/>
                <w:kern w:val="0"/>
                <w:sz w:val="22"/>
              </w:rPr>
              <w:t>轻型货车</w:t>
            </w:r>
            <w:r w:rsidRPr="009B7C90">
              <w:rPr>
                <w:rFonts w:eastAsia="楷体"/>
                <w:color w:val="000000"/>
                <w:kern w:val="0"/>
                <w:sz w:val="22"/>
              </w:rPr>
              <w:t>5% ,</w:t>
            </w:r>
            <w:r w:rsidRPr="009B7C90">
              <w:rPr>
                <w:rFonts w:eastAsia="楷体"/>
                <w:color w:val="000000"/>
                <w:kern w:val="0"/>
                <w:sz w:val="22"/>
              </w:rPr>
              <w:t>中型货车</w:t>
            </w:r>
            <w:r w:rsidRPr="009B7C90">
              <w:rPr>
                <w:rFonts w:eastAsia="楷体"/>
                <w:color w:val="000000"/>
                <w:kern w:val="0"/>
                <w:sz w:val="22"/>
              </w:rPr>
              <w:t xml:space="preserve">0% , </w:t>
            </w:r>
            <w:r w:rsidRPr="009B7C90">
              <w:rPr>
                <w:rFonts w:eastAsia="楷体"/>
                <w:color w:val="000000"/>
                <w:kern w:val="0"/>
                <w:sz w:val="22"/>
              </w:rPr>
              <w:t>重型货车</w:t>
            </w:r>
            <w:r w:rsidRPr="009B7C90">
              <w:rPr>
                <w:rFonts w:eastAsia="楷体"/>
                <w:color w:val="000000"/>
                <w:kern w:val="0"/>
                <w:sz w:val="22"/>
              </w:rPr>
              <w:t>0.5%</w:t>
            </w:r>
            <w:r w:rsidR="004169E4">
              <w:rPr>
                <w:rFonts w:eastAsia="楷体" w:hint="eastAsia"/>
                <w:color w:val="000000"/>
                <w:kern w:val="0"/>
                <w:sz w:val="22"/>
              </w:rPr>
              <w:t>。</w:t>
            </w:r>
            <w:r w:rsidRPr="009B7C90">
              <w:rPr>
                <w:rFonts w:eastAsia="楷体"/>
                <w:color w:val="000000"/>
                <w:kern w:val="0"/>
                <w:sz w:val="22"/>
              </w:rPr>
              <w:br/>
            </w:r>
            <w:r w:rsidR="00457D2F">
              <w:rPr>
                <w:rFonts w:eastAsia="楷体"/>
                <w:color w:val="000000"/>
                <w:kern w:val="0"/>
                <w:sz w:val="22"/>
              </w:rPr>
              <w:t>到</w:t>
            </w:r>
            <w:r w:rsidR="00457D2F" w:rsidRPr="009B7C90">
              <w:rPr>
                <w:rFonts w:eastAsia="楷体"/>
                <w:color w:val="000000"/>
                <w:kern w:val="0"/>
                <w:sz w:val="22"/>
              </w:rPr>
              <w:t>2030</w:t>
            </w:r>
            <w:r w:rsidRPr="009B7C90">
              <w:rPr>
                <w:rFonts w:eastAsia="楷体"/>
                <w:color w:val="000000"/>
                <w:kern w:val="0"/>
                <w:sz w:val="22"/>
              </w:rPr>
              <w:t>轻型货车</w:t>
            </w:r>
            <w:r w:rsidRPr="009B7C90">
              <w:rPr>
                <w:rFonts w:eastAsia="楷体"/>
                <w:color w:val="000000"/>
                <w:kern w:val="0"/>
                <w:sz w:val="22"/>
              </w:rPr>
              <w:t>15% ,</w:t>
            </w:r>
            <w:r w:rsidRPr="009B7C90">
              <w:rPr>
                <w:rFonts w:eastAsia="楷体"/>
                <w:color w:val="000000"/>
                <w:kern w:val="0"/>
                <w:sz w:val="22"/>
              </w:rPr>
              <w:t>中型货车</w:t>
            </w:r>
            <w:r w:rsidRPr="009B7C90">
              <w:rPr>
                <w:rFonts w:eastAsia="楷体"/>
                <w:color w:val="000000"/>
                <w:kern w:val="0"/>
                <w:sz w:val="22"/>
              </w:rPr>
              <w:t>8% ,</w:t>
            </w:r>
            <w:r w:rsidRPr="009B7C90">
              <w:rPr>
                <w:rFonts w:eastAsia="楷体"/>
                <w:color w:val="000000"/>
                <w:kern w:val="0"/>
                <w:sz w:val="22"/>
              </w:rPr>
              <w:t>重型货车</w:t>
            </w:r>
            <w:r w:rsidRPr="009B7C90">
              <w:rPr>
                <w:rFonts w:eastAsia="楷体"/>
                <w:color w:val="000000"/>
                <w:kern w:val="0"/>
                <w:sz w:val="22"/>
              </w:rPr>
              <w:t>5%</w:t>
            </w:r>
            <w:r w:rsidR="004169E4">
              <w:rPr>
                <w:rFonts w:eastAsia="楷体" w:hint="eastAsia"/>
                <w:color w:val="000000"/>
                <w:kern w:val="0"/>
                <w:sz w:val="22"/>
              </w:rPr>
              <w:t>。</w:t>
            </w:r>
            <w:r w:rsidRPr="009B7C90">
              <w:rPr>
                <w:rFonts w:eastAsia="楷体"/>
                <w:color w:val="000000"/>
                <w:kern w:val="0"/>
                <w:sz w:val="22"/>
              </w:rPr>
              <w:br/>
            </w:r>
            <w:r w:rsidR="00457D2F">
              <w:rPr>
                <w:rFonts w:eastAsia="楷体"/>
                <w:color w:val="000000"/>
                <w:kern w:val="0"/>
                <w:sz w:val="22"/>
              </w:rPr>
              <w:t>到</w:t>
            </w:r>
            <w:r w:rsidR="00457D2F" w:rsidRPr="009B7C90">
              <w:rPr>
                <w:rFonts w:eastAsia="楷体"/>
                <w:color w:val="000000"/>
                <w:kern w:val="0"/>
                <w:sz w:val="22"/>
              </w:rPr>
              <w:t>2060</w:t>
            </w:r>
            <w:r w:rsidRPr="009B7C90">
              <w:rPr>
                <w:rFonts w:eastAsia="楷体"/>
                <w:color w:val="000000"/>
                <w:kern w:val="0"/>
                <w:sz w:val="22"/>
              </w:rPr>
              <w:t>轻型货车</w:t>
            </w:r>
            <w:r w:rsidRPr="009B7C90">
              <w:rPr>
                <w:rFonts w:eastAsia="楷体"/>
                <w:color w:val="000000"/>
                <w:kern w:val="0"/>
                <w:sz w:val="22"/>
              </w:rPr>
              <w:t>100% ,</w:t>
            </w:r>
            <w:r w:rsidRPr="009B7C90">
              <w:rPr>
                <w:rFonts w:eastAsia="楷体"/>
                <w:color w:val="000000"/>
                <w:kern w:val="0"/>
                <w:sz w:val="22"/>
              </w:rPr>
              <w:t>中型货车</w:t>
            </w:r>
            <w:r w:rsidRPr="009B7C90">
              <w:rPr>
                <w:rFonts w:eastAsia="楷体"/>
                <w:color w:val="000000"/>
                <w:kern w:val="0"/>
                <w:sz w:val="22"/>
              </w:rPr>
              <w:t xml:space="preserve">100% , </w:t>
            </w:r>
            <w:r w:rsidRPr="009B7C90">
              <w:rPr>
                <w:rFonts w:eastAsia="楷体"/>
                <w:color w:val="000000"/>
                <w:kern w:val="0"/>
                <w:sz w:val="22"/>
              </w:rPr>
              <w:t>重型货车</w:t>
            </w:r>
            <w:r w:rsidR="00457D2F">
              <w:rPr>
                <w:rFonts w:eastAsia="楷体"/>
                <w:color w:val="000000"/>
                <w:kern w:val="0"/>
                <w:sz w:val="22"/>
              </w:rPr>
              <w:t>100</w:t>
            </w:r>
            <w:r w:rsidRPr="009B7C90">
              <w:rPr>
                <w:rFonts w:eastAsia="楷体"/>
                <w:color w:val="000000"/>
                <w:kern w:val="0"/>
                <w:sz w:val="22"/>
              </w:rPr>
              <w:t>%</w:t>
            </w:r>
            <w:r w:rsidR="004169E4">
              <w:rPr>
                <w:rFonts w:eastAsia="楷体" w:hint="eastAsia"/>
                <w:color w:val="000000"/>
                <w:kern w:val="0"/>
                <w:sz w:val="22"/>
              </w:rPr>
              <w:t>。</w:t>
            </w:r>
          </w:p>
        </w:tc>
      </w:tr>
      <w:tr w:rsidR="009B7C90" w:rsidRPr="009B7C90" w14:paraId="1E47AC1D" w14:textId="77777777" w:rsidTr="00495167">
        <w:trPr>
          <w:trHeight w:val="564"/>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79C2A3CB"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lastRenderedPageBreak/>
              <w:t>4.5</w:t>
            </w:r>
          </w:p>
        </w:tc>
        <w:tc>
          <w:tcPr>
            <w:tcW w:w="857" w:type="pct"/>
            <w:tcBorders>
              <w:top w:val="nil"/>
              <w:left w:val="nil"/>
              <w:bottom w:val="single" w:sz="4" w:space="0" w:color="auto"/>
              <w:right w:val="single" w:sz="4" w:space="0" w:color="auto"/>
            </w:tcBorders>
            <w:shd w:val="clear" w:color="auto" w:fill="auto"/>
            <w:noWrap/>
            <w:vAlign w:val="center"/>
            <w:hideMark/>
          </w:tcPr>
          <w:p w14:paraId="3B128C2C"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公路客运领域新能源应用比例</w:t>
            </w:r>
          </w:p>
        </w:tc>
        <w:tc>
          <w:tcPr>
            <w:tcW w:w="1271" w:type="pct"/>
            <w:tcBorders>
              <w:top w:val="nil"/>
              <w:left w:val="nil"/>
              <w:bottom w:val="single" w:sz="4" w:space="0" w:color="auto"/>
              <w:right w:val="single" w:sz="4" w:space="0" w:color="auto"/>
            </w:tcBorders>
            <w:shd w:val="clear" w:color="auto" w:fill="auto"/>
            <w:vAlign w:val="center"/>
            <w:hideMark/>
          </w:tcPr>
          <w:p w14:paraId="51983D57" w14:textId="0C00A6CA" w:rsidR="009B7C90" w:rsidRPr="009B7C90" w:rsidRDefault="009B7C90" w:rsidP="00331183">
            <w:pPr>
              <w:widowControl/>
              <w:spacing w:line="240" w:lineRule="auto"/>
              <w:ind w:firstLineChars="0" w:firstLine="0"/>
              <w:jc w:val="left"/>
              <w:rPr>
                <w:rFonts w:eastAsia="楷体"/>
                <w:color w:val="000000"/>
                <w:kern w:val="0"/>
                <w:sz w:val="22"/>
              </w:rPr>
            </w:pPr>
            <w:r w:rsidRPr="009B7C90">
              <w:rPr>
                <w:rFonts w:eastAsia="楷体"/>
                <w:color w:val="000000"/>
                <w:kern w:val="0"/>
                <w:sz w:val="22"/>
              </w:rPr>
              <w:t>公路客运领域新能源应用比例</w:t>
            </w:r>
            <w:r w:rsidRPr="009B7C90">
              <w:rPr>
                <w:rFonts w:eastAsia="楷体"/>
                <w:color w:val="000000"/>
                <w:kern w:val="0"/>
                <w:sz w:val="22"/>
              </w:rPr>
              <w:br/>
              <w:t>1%</w:t>
            </w:r>
            <w:r w:rsidR="004169E4">
              <w:rPr>
                <w:rFonts w:eastAsia="楷体"/>
                <w:color w:val="000000"/>
                <w:kern w:val="0"/>
                <w:sz w:val="22"/>
              </w:rPr>
              <w:t>到</w:t>
            </w:r>
            <w:r w:rsidRPr="009B7C90">
              <w:rPr>
                <w:rFonts w:eastAsia="楷体"/>
                <w:color w:val="000000"/>
                <w:kern w:val="0"/>
                <w:sz w:val="22"/>
              </w:rPr>
              <w:t>2025, 5%</w:t>
            </w:r>
            <w:r w:rsidR="004169E4">
              <w:rPr>
                <w:rFonts w:eastAsia="楷体"/>
                <w:color w:val="000000"/>
                <w:kern w:val="0"/>
                <w:sz w:val="22"/>
              </w:rPr>
              <w:t>到</w:t>
            </w:r>
            <w:r w:rsidRPr="009B7C90">
              <w:rPr>
                <w:rFonts w:eastAsia="楷体"/>
                <w:color w:val="000000"/>
                <w:kern w:val="0"/>
                <w:sz w:val="22"/>
              </w:rPr>
              <w:t xml:space="preserve">2030, </w:t>
            </w:r>
            <w:r w:rsidR="0098310A">
              <w:rPr>
                <w:rFonts w:eastAsia="楷体"/>
                <w:color w:val="000000"/>
                <w:kern w:val="0"/>
                <w:sz w:val="22"/>
              </w:rPr>
              <w:t>到</w:t>
            </w:r>
            <w:r w:rsidR="0098310A" w:rsidRPr="009B7C90">
              <w:rPr>
                <w:rFonts w:eastAsia="楷体"/>
                <w:color w:val="000000"/>
                <w:kern w:val="0"/>
                <w:sz w:val="22"/>
              </w:rPr>
              <w:t>2060</w:t>
            </w:r>
            <w:r w:rsidR="00FE7AE9">
              <w:rPr>
                <w:rFonts w:eastAsia="楷体" w:hint="eastAsia"/>
                <w:color w:val="000000"/>
                <w:kern w:val="0"/>
                <w:sz w:val="22"/>
              </w:rPr>
              <w:t>年</w:t>
            </w:r>
            <w:r w:rsidRPr="009B7C90">
              <w:rPr>
                <w:rFonts w:eastAsia="楷体"/>
                <w:color w:val="000000"/>
                <w:kern w:val="0"/>
                <w:sz w:val="22"/>
              </w:rPr>
              <w:t>50%</w:t>
            </w:r>
            <w:r w:rsidR="004169E4">
              <w:rPr>
                <w:rFonts w:eastAsia="楷体" w:hint="eastAsia"/>
                <w:color w:val="000000"/>
                <w:kern w:val="0"/>
                <w:sz w:val="22"/>
              </w:rPr>
              <w:t>。</w:t>
            </w:r>
          </w:p>
        </w:tc>
        <w:tc>
          <w:tcPr>
            <w:tcW w:w="1270" w:type="pct"/>
            <w:tcBorders>
              <w:top w:val="nil"/>
              <w:left w:val="nil"/>
              <w:bottom w:val="single" w:sz="4" w:space="0" w:color="auto"/>
              <w:right w:val="single" w:sz="4" w:space="0" w:color="auto"/>
            </w:tcBorders>
            <w:shd w:val="clear" w:color="auto" w:fill="auto"/>
            <w:vAlign w:val="center"/>
            <w:hideMark/>
          </w:tcPr>
          <w:p w14:paraId="587605C6" w14:textId="3A8AFCD4" w:rsidR="009B7C90" w:rsidRPr="009B7C90" w:rsidRDefault="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公路客运领域新能源应用比例</w:t>
            </w:r>
            <w:r w:rsidRPr="009B7C90">
              <w:rPr>
                <w:rFonts w:eastAsia="楷体"/>
                <w:color w:val="000000"/>
                <w:kern w:val="0"/>
                <w:sz w:val="22"/>
              </w:rPr>
              <w:br/>
              <w:t>3%</w:t>
            </w:r>
            <w:r w:rsidR="004169E4">
              <w:rPr>
                <w:rFonts w:eastAsia="楷体"/>
                <w:color w:val="000000"/>
                <w:kern w:val="0"/>
                <w:sz w:val="22"/>
              </w:rPr>
              <w:t>到</w:t>
            </w:r>
            <w:r w:rsidRPr="009B7C90">
              <w:rPr>
                <w:rFonts w:eastAsia="楷体"/>
                <w:color w:val="000000"/>
                <w:kern w:val="0"/>
                <w:sz w:val="22"/>
              </w:rPr>
              <w:t>2025, 10%</w:t>
            </w:r>
            <w:r w:rsidR="004169E4">
              <w:rPr>
                <w:rFonts w:eastAsia="楷体"/>
                <w:color w:val="000000"/>
                <w:kern w:val="0"/>
                <w:sz w:val="22"/>
              </w:rPr>
              <w:t>到</w:t>
            </w:r>
            <w:r w:rsidRPr="009B7C90">
              <w:rPr>
                <w:rFonts w:eastAsia="楷体"/>
                <w:color w:val="000000"/>
                <w:kern w:val="0"/>
                <w:sz w:val="22"/>
              </w:rPr>
              <w:t xml:space="preserve">2030, </w:t>
            </w:r>
            <w:r w:rsidR="0098310A">
              <w:rPr>
                <w:rFonts w:eastAsia="楷体"/>
                <w:color w:val="000000"/>
                <w:kern w:val="0"/>
                <w:sz w:val="22"/>
              </w:rPr>
              <w:t>到</w:t>
            </w:r>
            <w:r w:rsidR="0098310A" w:rsidRPr="009B7C90">
              <w:rPr>
                <w:rFonts w:eastAsia="楷体"/>
                <w:color w:val="000000"/>
                <w:kern w:val="0"/>
                <w:sz w:val="22"/>
              </w:rPr>
              <w:t>2060</w:t>
            </w:r>
            <w:r w:rsidR="0098310A">
              <w:rPr>
                <w:rFonts w:eastAsia="楷体" w:hint="eastAsia"/>
                <w:color w:val="000000"/>
                <w:kern w:val="0"/>
                <w:sz w:val="22"/>
              </w:rPr>
              <w:t>年</w:t>
            </w:r>
            <w:r w:rsidRPr="009B7C90">
              <w:rPr>
                <w:rFonts w:eastAsia="楷体"/>
                <w:color w:val="000000"/>
                <w:kern w:val="0"/>
                <w:sz w:val="22"/>
              </w:rPr>
              <w:t>80%</w:t>
            </w:r>
            <w:r w:rsidR="004169E4">
              <w:rPr>
                <w:rFonts w:eastAsia="楷体" w:hint="eastAsia"/>
                <w:color w:val="000000"/>
                <w:kern w:val="0"/>
                <w:sz w:val="22"/>
              </w:rPr>
              <w:t>。</w:t>
            </w:r>
          </w:p>
        </w:tc>
        <w:tc>
          <w:tcPr>
            <w:tcW w:w="1343" w:type="pct"/>
            <w:tcBorders>
              <w:top w:val="nil"/>
              <w:left w:val="nil"/>
              <w:bottom w:val="single" w:sz="4" w:space="0" w:color="auto"/>
              <w:right w:val="single" w:sz="4" w:space="0" w:color="auto"/>
            </w:tcBorders>
            <w:shd w:val="clear" w:color="auto" w:fill="auto"/>
            <w:vAlign w:val="center"/>
            <w:hideMark/>
          </w:tcPr>
          <w:p w14:paraId="42C86E99" w14:textId="22E23B68"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公路客运领域新能源应用比例</w:t>
            </w:r>
            <w:r w:rsidRPr="009B7C90">
              <w:rPr>
                <w:rFonts w:eastAsia="楷体"/>
                <w:color w:val="000000"/>
                <w:kern w:val="0"/>
                <w:sz w:val="22"/>
              </w:rPr>
              <w:br/>
              <w:t>5%</w:t>
            </w:r>
            <w:r w:rsidR="004169E4">
              <w:rPr>
                <w:rFonts w:eastAsia="楷体"/>
                <w:color w:val="000000"/>
                <w:kern w:val="0"/>
                <w:sz w:val="22"/>
              </w:rPr>
              <w:t>到</w:t>
            </w:r>
            <w:r w:rsidRPr="009B7C90">
              <w:rPr>
                <w:rFonts w:eastAsia="楷体"/>
                <w:color w:val="000000"/>
                <w:kern w:val="0"/>
                <w:sz w:val="22"/>
              </w:rPr>
              <w:t>2025, 15%</w:t>
            </w:r>
            <w:r w:rsidR="004169E4">
              <w:rPr>
                <w:rFonts w:eastAsia="楷体"/>
                <w:color w:val="000000"/>
                <w:kern w:val="0"/>
                <w:sz w:val="22"/>
              </w:rPr>
              <w:t>到</w:t>
            </w:r>
            <w:r w:rsidRPr="009B7C90">
              <w:rPr>
                <w:rFonts w:eastAsia="楷体"/>
                <w:color w:val="000000"/>
                <w:kern w:val="0"/>
                <w:sz w:val="22"/>
              </w:rPr>
              <w:t xml:space="preserve">2030, </w:t>
            </w:r>
            <w:r w:rsidR="00643372">
              <w:rPr>
                <w:rFonts w:eastAsia="楷体" w:hint="eastAsia"/>
                <w:color w:val="000000"/>
                <w:kern w:val="0"/>
                <w:sz w:val="22"/>
              </w:rPr>
              <w:t>到</w:t>
            </w:r>
            <w:r w:rsidR="00643372">
              <w:rPr>
                <w:rFonts w:eastAsia="楷体" w:hint="eastAsia"/>
                <w:color w:val="000000"/>
                <w:kern w:val="0"/>
                <w:sz w:val="22"/>
              </w:rPr>
              <w:t>2</w:t>
            </w:r>
            <w:r w:rsidR="00643372">
              <w:rPr>
                <w:rFonts w:eastAsia="楷体"/>
                <w:color w:val="000000"/>
                <w:kern w:val="0"/>
                <w:sz w:val="22"/>
              </w:rPr>
              <w:t>060</w:t>
            </w:r>
            <w:r w:rsidR="00643372">
              <w:rPr>
                <w:rFonts w:eastAsia="楷体" w:hint="eastAsia"/>
                <w:color w:val="000000"/>
                <w:kern w:val="0"/>
                <w:sz w:val="22"/>
              </w:rPr>
              <w:t>年</w:t>
            </w:r>
            <w:r w:rsidRPr="009B7C90">
              <w:rPr>
                <w:rFonts w:eastAsia="楷体"/>
                <w:color w:val="000000"/>
                <w:kern w:val="0"/>
                <w:sz w:val="22"/>
              </w:rPr>
              <w:t>100%</w:t>
            </w:r>
            <w:r w:rsidR="004169E4">
              <w:rPr>
                <w:rFonts w:eastAsia="楷体" w:hint="eastAsia"/>
                <w:color w:val="000000"/>
                <w:kern w:val="0"/>
                <w:sz w:val="22"/>
              </w:rPr>
              <w:t>。</w:t>
            </w:r>
          </w:p>
        </w:tc>
      </w:tr>
      <w:tr w:rsidR="009B7C90" w:rsidRPr="009B7C90" w14:paraId="55D8204C" w14:textId="77777777" w:rsidTr="00495167">
        <w:trPr>
          <w:trHeight w:val="2016"/>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3EA2A7C8" w14:textId="77777777" w:rsidR="009B7C90" w:rsidRPr="009B7C90" w:rsidRDefault="009B7C90" w:rsidP="009B7C90">
            <w:pPr>
              <w:widowControl/>
              <w:spacing w:line="240" w:lineRule="auto"/>
              <w:ind w:firstLineChars="0" w:firstLine="0"/>
              <w:jc w:val="center"/>
              <w:rPr>
                <w:rFonts w:eastAsia="楷体"/>
                <w:color w:val="000000"/>
                <w:kern w:val="0"/>
                <w:sz w:val="22"/>
              </w:rPr>
            </w:pPr>
            <w:r w:rsidRPr="009B7C90">
              <w:rPr>
                <w:rFonts w:eastAsia="楷体"/>
                <w:color w:val="000000"/>
                <w:kern w:val="0"/>
                <w:sz w:val="22"/>
              </w:rPr>
              <w:t>4.6</w:t>
            </w:r>
          </w:p>
        </w:tc>
        <w:tc>
          <w:tcPr>
            <w:tcW w:w="857" w:type="pct"/>
            <w:tcBorders>
              <w:top w:val="nil"/>
              <w:left w:val="nil"/>
              <w:bottom w:val="single" w:sz="4" w:space="0" w:color="auto"/>
              <w:right w:val="single" w:sz="4" w:space="0" w:color="auto"/>
            </w:tcBorders>
            <w:shd w:val="clear" w:color="auto" w:fill="auto"/>
            <w:noWrap/>
            <w:vAlign w:val="center"/>
            <w:hideMark/>
          </w:tcPr>
          <w:p w14:paraId="010B75EF" w14:textId="77777777" w:rsidR="009B7C90" w:rsidRPr="009B7C90" w:rsidRDefault="009B7C90" w:rsidP="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城市客运领域新能源应用比例</w:t>
            </w:r>
          </w:p>
        </w:tc>
        <w:tc>
          <w:tcPr>
            <w:tcW w:w="1271" w:type="pct"/>
            <w:tcBorders>
              <w:top w:val="nil"/>
              <w:left w:val="nil"/>
              <w:bottom w:val="single" w:sz="4" w:space="0" w:color="auto"/>
              <w:right w:val="single" w:sz="4" w:space="0" w:color="auto"/>
            </w:tcBorders>
            <w:shd w:val="clear" w:color="auto" w:fill="auto"/>
            <w:vAlign w:val="center"/>
            <w:hideMark/>
          </w:tcPr>
          <w:p w14:paraId="44F7F577" w14:textId="50CDF1C0" w:rsidR="0098310A" w:rsidRDefault="009B7C90" w:rsidP="00331183">
            <w:pPr>
              <w:widowControl/>
              <w:spacing w:line="240" w:lineRule="auto"/>
              <w:ind w:firstLineChars="0" w:firstLine="0"/>
              <w:jc w:val="left"/>
              <w:rPr>
                <w:rFonts w:eastAsia="楷体"/>
                <w:color w:val="000000"/>
                <w:kern w:val="0"/>
                <w:sz w:val="22"/>
              </w:rPr>
            </w:pPr>
            <w:r w:rsidRPr="009B7C90">
              <w:rPr>
                <w:rFonts w:eastAsia="楷体"/>
                <w:color w:val="000000"/>
                <w:kern w:val="0"/>
                <w:sz w:val="22"/>
              </w:rPr>
              <w:t>当年新能源车辆销售比例</w:t>
            </w:r>
            <w:r w:rsidRPr="009B7C90">
              <w:rPr>
                <w:rFonts w:eastAsia="楷体"/>
                <w:color w:val="000000"/>
                <w:kern w:val="0"/>
                <w:sz w:val="22"/>
              </w:rPr>
              <w:t>:</w:t>
            </w:r>
            <w:r w:rsidRPr="009B7C90">
              <w:rPr>
                <w:rFonts w:eastAsia="楷体"/>
                <w:color w:val="000000"/>
                <w:kern w:val="0"/>
                <w:sz w:val="22"/>
              </w:rPr>
              <w:br/>
            </w:r>
            <w:r w:rsidR="004169E4">
              <w:rPr>
                <w:rFonts w:eastAsia="楷体"/>
                <w:color w:val="000000"/>
                <w:kern w:val="0"/>
                <w:sz w:val="22"/>
              </w:rPr>
              <w:t>到</w:t>
            </w:r>
            <w:r w:rsidR="004169E4" w:rsidRPr="009B7C90">
              <w:rPr>
                <w:rFonts w:eastAsia="楷体"/>
                <w:color w:val="000000"/>
                <w:kern w:val="0"/>
                <w:sz w:val="22"/>
              </w:rPr>
              <w:t>2025</w:t>
            </w:r>
            <w:r w:rsidRPr="009B7C90">
              <w:rPr>
                <w:rFonts w:eastAsia="楷体"/>
                <w:color w:val="000000"/>
                <w:kern w:val="0"/>
                <w:sz w:val="22"/>
              </w:rPr>
              <w:t>私家车</w:t>
            </w:r>
            <w:r w:rsidR="00471B96">
              <w:rPr>
                <w:rFonts w:eastAsia="楷体"/>
                <w:color w:val="000000"/>
                <w:kern w:val="0"/>
                <w:sz w:val="22"/>
              </w:rPr>
              <w:t>8</w:t>
            </w:r>
            <w:r w:rsidRPr="009B7C90">
              <w:rPr>
                <w:rFonts w:eastAsia="楷体"/>
                <w:color w:val="000000"/>
                <w:kern w:val="0"/>
                <w:sz w:val="22"/>
              </w:rPr>
              <w:t xml:space="preserve">%, </w:t>
            </w:r>
            <w:r w:rsidRPr="009B7C90">
              <w:rPr>
                <w:rFonts w:eastAsia="楷体"/>
                <w:color w:val="000000"/>
                <w:kern w:val="0"/>
                <w:sz w:val="22"/>
              </w:rPr>
              <w:t>公交车</w:t>
            </w:r>
            <w:r w:rsidRPr="009B7C90">
              <w:rPr>
                <w:rFonts w:eastAsia="楷体"/>
                <w:color w:val="000000"/>
                <w:kern w:val="0"/>
                <w:sz w:val="22"/>
              </w:rPr>
              <w:t xml:space="preserve">80% , </w:t>
            </w:r>
            <w:r w:rsidRPr="009B7C90">
              <w:rPr>
                <w:rFonts w:eastAsia="楷体"/>
                <w:color w:val="000000"/>
                <w:kern w:val="0"/>
                <w:sz w:val="22"/>
              </w:rPr>
              <w:t>出租车</w:t>
            </w:r>
            <w:r w:rsidRPr="009B7C90">
              <w:rPr>
                <w:rFonts w:eastAsia="楷体"/>
                <w:color w:val="000000"/>
                <w:kern w:val="0"/>
                <w:sz w:val="22"/>
              </w:rPr>
              <w:t>10% ,</w:t>
            </w:r>
            <w:r w:rsidRPr="009B7C90">
              <w:rPr>
                <w:rFonts w:eastAsia="楷体"/>
                <w:color w:val="000000"/>
                <w:kern w:val="0"/>
                <w:sz w:val="22"/>
              </w:rPr>
              <w:t>网约车</w:t>
            </w:r>
            <w:r w:rsidRPr="009B7C90">
              <w:rPr>
                <w:rFonts w:eastAsia="楷体"/>
                <w:color w:val="000000"/>
                <w:kern w:val="0"/>
                <w:sz w:val="22"/>
              </w:rPr>
              <w:t xml:space="preserve"> 10%</w:t>
            </w:r>
            <w:r w:rsidR="004169E4">
              <w:rPr>
                <w:rFonts w:eastAsia="楷体" w:hint="eastAsia"/>
                <w:color w:val="000000"/>
                <w:kern w:val="0"/>
                <w:sz w:val="22"/>
              </w:rPr>
              <w:t>。</w:t>
            </w:r>
            <w:r w:rsidRPr="009B7C90">
              <w:rPr>
                <w:rFonts w:eastAsia="楷体"/>
                <w:color w:val="000000"/>
                <w:kern w:val="0"/>
                <w:sz w:val="22"/>
              </w:rPr>
              <w:br/>
            </w:r>
            <w:r w:rsidR="004169E4">
              <w:rPr>
                <w:rFonts w:eastAsia="楷体"/>
                <w:color w:val="000000"/>
                <w:kern w:val="0"/>
                <w:sz w:val="22"/>
              </w:rPr>
              <w:t>到</w:t>
            </w:r>
            <w:r w:rsidR="004169E4" w:rsidRPr="009B7C90">
              <w:rPr>
                <w:rFonts w:eastAsia="楷体"/>
                <w:color w:val="000000"/>
                <w:kern w:val="0"/>
                <w:sz w:val="22"/>
              </w:rPr>
              <w:t>2030</w:t>
            </w:r>
            <w:r w:rsidRPr="009B7C90">
              <w:rPr>
                <w:rFonts w:eastAsia="楷体"/>
                <w:color w:val="000000"/>
                <w:kern w:val="0"/>
                <w:sz w:val="22"/>
              </w:rPr>
              <w:t>私家车</w:t>
            </w:r>
            <w:r w:rsidRPr="009B7C90">
              <w:rPr>
                <w:rFonts w:eastAsia="楷体"/>
                <w:color w:val="000000"/>
                <w:kern w:val="0"/>
                <w:sz w:val="22"/>
              </w:rPr>
              <w:t xml:space="preserve">20%, </w:t>
            </w:r>
            <w:r w:rsidRPr="009B7C90">
              <w:rPr>
                <w:rFonts w:eastAsia="楷体"/>
                <w:color w:val="000000"/>
                <w:kern w:val="0"/>
                <w:sz w:val="22"/>
              </w:rPr>
              <w:t>公交车</w:t>
            </w:r>
            <w:r w:rsidRPr="009B7C90">
              <w:rPr>
                <w:rFonts w:eastAsia="楷体"/>
                <w:color w:val="000000"/>
                <w:kern w:val="0"/>
                <w:sz w:val="22"/>
              </w:rPr>
              <w:t xml:space="preserve">90% , </w:t>
            </w:r>
            <w:r w:rsidRPr="009B7C90">
              <w:rPr>
                <w:rFonts w:eastAsia="楷体"/>
                <w:color w:val="000000"/>
                <w:kern w:val="0"/>
                <w:sz w:val="22"/>
              </w:rPr>
              <w:t>出租车</w:t>
            </w:r>
            <w:r w:rsidRPr="009B7C90">
              <w:rPr>
                <w:rFonts w:eastAsia="楷体"/>
                <w:color w:val="000000"/>
                <w:kern w:val="0"/>
                <w:sz w:val="22"/>
              </w:rPr>
              <w:t>30% ,</w:t>
            </w:r>
            <w:r w:rsidRPr="009B7C90">
              <w:rPr>
                <w:rFonts w:eastAsia="楷体"/>
                <w:color w:val="000000"/>
                <w:kern w:val="0"/>
                <w:sz w:val="22"/>
              </w:rPr>
              <w:t>网约车</w:t>
            </w:r>
            <w:r w:rsidRPr="009B7C90">
              <w:rPr>
                <w:rFonts w:eastAsia="楷体"/>
                <w:color w:val="000000"/>
                <w:kern w:val="0"/>
                <w:sz w:val="22"/>
              </w:rPr>
              <w:t xml:space="preserve"> 30%</w:t>
            </w:r>
            <w:r w:rsidR="004169E4">
              <w:rPr>
                <w:rFonts w:eastAsia="楷体" w:hint="eastAsia"/>
                <w:color w:val="000000"/>
                <w:kern w:val="0"/>
                <w:sz w:val="22"/>
              </w:rPr>
              <w:t>。</w:t>
            </w:r>
          </w:p>
          <w:p w14:paraId="2FB7EFDF" w14:textId="25F8CC6A" w:rsidR="009B7C90" w:rsidRPr="009B7C90" w:rsidRDefault="004169E4">
            <w:pPr>
              <w:widowControl/>
              <w:spacing w:line="240" w:lineRule="auto"/>
              <w:ind w:firstLineChars="0" w:firstLine="0"/>
              <w:jc w:val="left"/>
              <w:rPr>
                <w:rFonts w:eastAsia="楷体"/>
                <w:color w:val="000000"/>
                <w:kern w:val="0"/>
                <w:sz w:val="22"/>
              </w:rPr>
            </w:pPr>
            <w:r>
              <w:rPr>
                <w:rFonts w:eastAsia="楷体"/>
                <w:color w:val="000000"/>
                <w:kern w:val="0"/>
                <w:sz w:val="22"/>
              </w:rPr>
              <w:t>到</w:t>
            </w:r>
            <w:r w:rsidRPr="009B7C90">
              <w:rPr>
                <w:rFonts w:eastAsia="楷体"/>
                <w:color w:val="000000"/>
                <w:kern w:val="0"/>
                <w:sz w:val="22"/>
              </w:rPr>
              <w:t>2060</w:t>
            </w:r>
            <w:r w:rsidR="009B7C90" w:rsidRPr="009B7C90">
              <w:rPr>
                <w:rFonts w:eastAsia="楷体"/>
                <w:color w:val="000000"/>
                <w:kern w:val="0"/>
                <w:sz w:val="22"/>
              </w:rPr>
              <w:t>私家车</w:t>
            </w:r>
            <w:r w:rsidR="009B7C90" w:rsidRPr="009B7C90">
              <w:rPr>
                <w:rFonts w:eastAsia="楷体"/>
                <w:color w:val="000000"/>
                <w:kern w:val="0"/>
                <w:sz w:val="22"/>
              </w:rPr>
              <w:t xml:space="preserve">50%, </w:t>
            </w:r>
            <w:r w:rsidR="009B7C90" w:rsidRPr="009B7C90">
              <w:rPr>
                <w:rFonts w:eastAsia="楷体"/>
                <w:color w:val="000000"/>
                <w:kern w:val="0"/>
                <w:sz w:val="22"/>
              </w:rPr>
              <w:t>公交车</w:t>
            </w:r>
            <w:r w:rsidR="009B7C90" w:rsidRPr="009B7C90">
              <w:rPr>
                <w:rFonts w:eastAsia="楷体"/>
                <w:color w:val="000000"/>
                <w:kern w:val="0"/>
                <w:sz w:val="22"/>
              </w:rPr>
              <w:t xml:space="preserve">90% , </w:t>
            </w:r>
            <w:r w:rsidR="009B7C90" w:rsidRPr="009B7C90">
              <w:rPr>
                <w:rFonts w:eastAsia="楷体"/>
                <w:color w:val="000000"/>
                <w:kern w:val="0"/>
                <w:sz w:val="22"/>
              </w:rPr>
              <w:t>出租车</w:t>
            </w:r>
            <w:r w:rsidR="009B7C90" w:rsidRPr="009B7C90">
              <w:rPr>
                <w:rFonts w:eastAsia="楷体"/>
                <w:color w:val="000000"/>
                <w:kern w:val="0"/>
                <w:sz w:val="22"/>
              </w:rPr>
              <w:t>60% ,</w:t>
            </w:r>
            <w:r w:rsidR="009B7C90" w:rsidRPr="009B7C90">
              <w:rPr>
                <w:rFonts w:eastAsia="楷体"/>
                <w:color w:val="000000"/>
                <w:kern w:val="0"/>
                <w:sz w:val="22"/>
              </w:rPr>
              <w:t>网约车</w:t>
            </w:r>
            <w:r w:rsidR="009B7C90" w:rsidRPr="009B7C90">
              <w:rPr>
                <w:rFonts w:eastAsia="楷体"/>
                <w:color w:val="000000"/>
                <w:kern w:val="0"/>
                <w:sz w:val="22"/>
              </w:rPr>
              <w:t xml:space="preserve"> 60%</w:t>
            </w:r>
            <w:r>
              <w:rPr>
                <w:rFonts w:eastAsia="楷体" w:hint="eastAsia"/>
                <w:color w:val="000000"/>
                <w:kern w:val="0"/>
                <w:sz w:val="22"/>
              </w:rPr>
              <w:t>。</w:t>
            </w:r>
          </w:p>
        </w:tc>
        <w:tc>
          <w:tcPr>
            <w:tcW w:w="1270" w:type="pct"/>
            <w:tcBorders>
              <w:top w:val="nil"/>
              <w:left w:val="nil"/>
              <w:bottom w:val="single" w:sz="4" w:space="0" w:color="auto"/>
              <w:right w:val="single" w:sz="4" w:space="0" w:color="auto"/>
            </w:tcBorders>
            <w:shd w:val="clear" w:color="auto" w:fill="auto"/>
            <w:vAlign w:val="center"/>
            <w:hideMark/>
          </w:tcPr>
          <w:p w14:paraId="3E7A11A2" w14:textId="4234D0E9" w:rsidR="009B7C90" w:rsidRPr="009B7C90" w:rsidRDefault="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当年新能源车辆销售比例</w:t>
            </w:r>
            <w:r w:rsidRPr="009B7C90">
              <w:rPr>
                <w:rFonts w:eastAsia="楷体"/>
                <w:color w:val="000000"/>
                <w:kern w:val="0"/>
                <w:sz w:val="22"/>
              </w:rPr>
              <w:t>:</w:t>
            </w:r>
            <w:r w:rsidRPr="009B7C90">
              <w:rPr>
                <w:rFonts w:eastAsia="楷体"/>
                <w:color w:val="000000"/>
                <w:kern w:val="0"/>
                <w:sz w:val="22"/>
              </w:rPr>
              <w:br/>
            </w:r>
            <w:r w:rsidR="004169E4">
              <w:rPr>
                <w:rFonts w:eastAsia="楷体"/>
                <w:color w:val="000000"/>
                <w:kern w:val="0"/>
                <w:sz w:val="22"/>
              </w:rPr>
              <w:t>到</w:t>
            </w:r>
            <w:r w:rsidR="004169E4" w:rsidRPr="009B7C90">
              <w:rPr>
                <w:rFonts w:eastAsia="楷体"/>
                <w:color w:val="000000"/>
                <w:kern w:val="0"/>
                <w:sz w:val="22"/>
              </w:rPr>
              <w:t>2025</w:t>
            </w:r>
            <w:r w:rsidRPr="009B7C90">
              <w:rPr>
                <w:rFonts w:eastAsia="楷体"/>
                <w:color w:val="000000"/>
                <w:kern w:val="0"/>
                <w:sz w:val="22"/>
              </w:rPr>
              <w:t>私家车</w:t>
            </w:r>
            <w:r w:rsidR="00471B96">
              <w:rPr>
                <w:rFonts w:eastAsia="楷体"/>
                <w:color w:val="000000"/>
                <w:kern w:val="0"/>
                <w:sz w:val="22"/>
              </w:rPr>
              <w:t>2</w:t>
            </w:r>
            <w:r w:rsidRPr="009B7C90">
              <w:rPr>
                <w:rFonts w:eastAsia="楷体"/>
                <w:color w:val="000000"/>
                <w:kern w:val="0"/>
                <w:sz w:val="22"/>
              </w:rPr>
              <w:t xml:space="preserve">0%, </w:t>
            </w:r>
            <w:r w:rsidRPr="009B7C90">
              <w:rPr>
                <w:rFonts w:eastAsia="楷体"/>
                <w:color w:val="000000"/>
                <w:kern w:val="0"/>
                <w:sz w:val="22"/>
              </w:rPr>
              <w:t>公交车</w:t>
            </w:r>
            <w:r w:rsidRPr="009B7C90">
              <w:rPr>
                <w:rFonts w:eastAsia="楷体"/>
                <w:color w:val="000000"/>
                <w:kern w:val="0"/>
                <w:sz w:val="22"/>
              </w:rPr>
              <w:t xml:space="preserve">90% , </w:t>
            </w:r>
            <w:r w:rsidRPr="009B7C90">
              <w:rPr>
                <w:rFonts w:eastAsia="楷体"/>
                <w:color w:val="000000"/>
                <w:kern w:val="0"/>
                <w:sz w:val="22"/>
              </w:rPr>
              <w:t>出租车</w:t>
            </w:r>
            <w:r w:rsidRPr="009B7C90">
              <w:rPr>
                <w:rFonts w:eastAsia="楷体"/>
                <w:color w:val="000000"/>
                <w:kern w:val="0"/>
                <w:sz w:val="22"/>
              </w:rPr>
              <w:t>20% ,</w:t>
            </w:r>
            <w:r w:rsidRPr="009B7C90">
              <w:rPr>
                <w:rFonts w:eastAsia="楷体"/>
                <w:color w:val="000000"/>
                <w:kern w:val="0"/>
                <w:sz w:val="22"/>
              </w:rPr>
              <w:t>网约车</w:t>
            </w:r>
            <w:r w:rsidRPr="009B7C90">
              <w:rPr>
                <w:rFonts w:eastAsia="楷体"/>
                <w:color w:val="000000"/>
                <w:kern w:val="0"/>
                <w:sz w:val="22"/>
              </w:rPr>
              <w:t xml:space="preserve"> 20%</w:t>
            </w:r>
            <w:r w:rsidR="004169E4">
              <w:rPr>
                <w:rFonts w:eastAsia="楷体" w:hint="eastAsia"/>
                <w:color w:val="000000"/>
                <w:kern w:val="0"/>
                <w:sz w:val="22"/>
              </w:rPr>
              <w:t>。</w:t>
            </w:r>
            <w:r w:rsidRPr="009B7C90">
              <w:rPr>
                <w:rFonts w:eastAsia="楷体"/>
                <w:color w:val="000000"/>
                <w:kern w:val="0"/>
                <w:sz w:val="22"/>
              </w:rPr>
              <w:br/>
            </w:r>
            <w:r w:rsidR="004169E4">
              <w:rPr>
                <w:rFonts w:eastAsia="楷体"/>
                <w:color w:val="000000"/>
                <w:kern w:val="0"/>
                <w:sz w:val="22"/>
              </w:rPr>
              <w:t>到</w:t>
            </w:r>
            <w:r w:rsidR="004169E4" w:rsidRPr="009B7C90">
              <w:rPr>
                <w:rFonts w:eastAsia="楷体"/>
                <w:color w:val="000000"/>
                <w:kern w:val="0"/>
                <w:sz w:val="22"/>
              </w:rPr>
              <w:t>2030</w:t>
            </w:r>
            <w:r w:rsidRPr="009B7C90">
              <w:rPr>
                <w:rFonts w:eastAsia="楷体"/>
                <w:color w:val="000000"/>
                <w:kern w:val="0"/>
                <w:sz w:val="22"/>
              </w:rPr>
              <w:t>私家车</w:t>
            </w:r>
            <w:r w:rsidRPr="009B7C90">
              <w:rPr>
                <w:rFonts w:eastAsia="楷体"/>
                <w:color w:val="000000"/>
                <w:kern w:val="0"/>
                <w:sz w:val="22"/>
              </w:rPr>
              <w:t xml:space="preserve">30%, </w:t>
            </w:r>
            <w:r w:rsidRPr="009B7C90">
              <w:rPr>
                <w:rFonts w:eastAsia="楷体"/>
                <w:color w:val="000000"/>
                <w:kern w:val="0"/>
                <w:sz w:val="22"/>
              </w:rPr>
              <w:t>公交车</w:t>
            </w:r>
            <w:r w:rsidRPr="009B7C90">
              <w:rPr>
                <w:rFonts w:eastAsia="楷体"/>
                <w:color w:val="000000"/>
                <w:kern w:val="0"/>
                <w:sz w:val="22"/>
              </w:rPr>
              <w:t xml:space="preserve">100% , </w:t>
            </w:r>
            <w:r w:rsidRPr="009B7C90">
              <w:rPr>
                <w:rFonts w:eastAsia="楷体"/>
                <w:color w:val="000000"/>
                <w:kern w:val="0"/>
                <w:sz w:val="22"/>
              </w:rPr>
              <w:t>出租车</w:t>
            </w:r>
            <w:r w:rsidR="00965B48">
              <w:rPr>
                <w:rFonts w:eastAsia="楷体"/>
                <w:color w:val="000000"/>
                <w:kern w:val="0"/>
                <w:sz w:val="22"/>
              </w:rPr>
              <w:t>6</w:t>
            </w:r>
            <w:r w:rsidRPr="009B7C90">
              <w:rPr>
                <w:rFonts w:eastAsia="楷体"/>
                <w:color w:val="000000"/>
                <w:kern w:val="0"/>
                <w:sz w:val="22"/>
              </w:rPr>
              <w:t>0% ,</w:t>
            </w:r>
            <w:r w:rsidRPr="009B7C90">
              <w:rPr>
                <w:rFonts w:eastAsia="楷体"/>
                <w:color w:val="000000"/>
                <w:kern w:val="0"/>
                <w:sz w:val="22"/>
              </w:rPr>
              <w:t>网约车</w:t>
            </w:r>
            <w:r w:rsidRPr="009B7C90">
              <w:rPr>
                <w:rFonts w:eastAsia="楷体"/>
                <w:color w:val="000000"/>
                <w:kern w:val="0"/>
                <w:sz w:val="22"/>
              </w:rPr>
              <w:t xml:space="preserve"> </w:t>
            </w:r>
            <w:r w:rsidR="00965B48">
              <w:rPr>
                <w:rFonts w:eastAsia="楷体"/>
                <w:color w:val="000000"/>
                <w:kern w:val="0"/>
                <w:sz w:val="22"/>
              </w:rPr>
              <w:t>5</w:t>
            </w:r>
            <w:r w:rsidRPr="009B7C90">
              <w:rPr>
                <w:rFonts w:eastAsia="楷体"/>
                <w:color w:val="000000"/>
                <w:kern w:val="0"/>
                <w:sz w:val="22"/>
              </w:rPr>
              <w:t>0%</w:t>
            </w:r>
            <w:r w:rsidR="004169E4">
              <w:rPr>
                <w:rFonts w:eastAsia="楷体" w:hint="eastAsia"/>
                <w:color w:val="000000"/>
                <w:kern w:val="0"/>
                <w:sz w:val="22"/>
              </w:rPr>
              <w:t>。</w:t>
            </w:r>
            <w:r w:rsidRPr="009B7C90">
              <w:rPr>
                <w:rFonts w:eastAsia="楷体"/>
                <w:color w:val="000000"/>
                <w:kern w:val="0"/>
                <w:sz w:val="22"/>
              </w:rPr>
              <w:br/>
            </w:r>
            <w:r w:rsidR="004169E4">
              <w:rPr>
                <w:rFonts w:eastAsia="楷体"/>
                <w:color w:val="000000"/>
                <w:kern w:val="0"/>
                <w:sz w:val="22"/>
              </w:rPr>
              <w:t>到</w:t>
            </w:r>
            <w:r w:rsidR="004169E4" w:rsidRPr="009B7C90">
              <w:rPr>
                <w:rFonts w:eastAsia="楷体"/>
                <w:color w:val="000000"/>
                <w:kern w:val="0"/>
                <w:sz w:val="22"/>
              </w:rPr>
              <w:t>2060</w:t>
            </w:r>
            <w:r w:rsidRPr="009B7C90">
              <w:rPr>
                <w:rFonts w:eastAsia="楷体"/>
                <w:color w:val="000000"/>
                <w:kern w:val="0"/>
                <w:sz w:val="22"/>
              </w:rPr>
              <w:t>私家车</w:t>
            </w:r>
            <w:r w:rsidRPr="009B7C90">
              <w:rPr>
                <w:rFonts w:eastAsia="楷体"/>
                <w:color w:val="000000"/>
                <w:kern w:val="0"/>
                <w:sz w:val="22"/>
              </w:rPr>
              <w:t xml:space="preserve">80%, </w:t>
            </w:r>
            <w:r w:rsidRPr="009B7C90">
              <w:rPr>
                <w:rFonts w:eastAsia="楷体"/>
                <w:color w:val="000000"/>
                <w:kern w:val="0"/>
                <w:sz w:val="22"/>
              </w:rPr>
              <w:t>公交车</w:t>
            </w:r>
            <w:r w:rsidRPr="009B7C90">
              <w:rPr>
                <w:rFonts w:eastAsia="楷体"/>
                <w:color w:val="000000"/>
                <w:kern w:val="0"/>
                <w:sz w:val="22"/>
              </w:rPr>
              <w:t xml:space="preserve">100% , </w:t>
            </w:r>
            <w:r w:rsidRPr="009B7C90">
              <w:rPr>
                <w:rFonts w:eastAsia="楷体"/>
                <w:color w:val="000000"/>
                <w:kern w:val="0"/>
                <w:sz w:val="22"/>
              </w:rPr>
              <w:t>出租车</w:t>
            </w:r>
            <w:r w:rsidRPr="009B7C90">
              <w:rPr>
                <w:rFonts w:eastAsia="楷体"/>
                <w:color w:val="000000"/>
                <w:kern w:val="0"/>
                <w:sz w:val="22"/>
              </w:rPr>
              <w:t>100% ,</w:t>
            </w:r>
            <w:r w:rsidRPr="009B7C90">
              <w:rPr>
                <w:rFonts w:eastAsia="楷体"/>
                <w:color w:val="000000"/>
                <w:kern w:val="0"/>
                <w:sz w:val="22"/>
              </w:rPr>
              <w:t>网约车</w:t>
            </w:r>
            <w:r w:rsidRPr="009B7C90">
              <w:rPr>
                <w:rFonts w:eastAsia="楷体"/>
                <w:color w:val="000000"/>
                <w:kern w:val="0"/>
                <w:sz w:val="22"/>
              </w:rPr>
              <w:t xml:space="preserve"> 100%</w:t>
            </w:r>
            <w:r w:rsidR="004169E4">
              <w:rPr>
                <w:rFonts w:eastAsia="楷体" w:hint="eastAsia"/>
                <w:color w:val="000000"/>
                <w:kern w:val="0"/>
                <w:sz w:val="22"/>
              </w:rPr>
              <w:t>。</w:t>
            </w:r>
          </w:p>
        </w:tc>
        <w:tc>
          <w:tcPr>
            <w:tcW w:w="1343" w:type="pct"/>
            <w:tcBorders>
              <w:top w:val="nil"/>
              <w:left w:val="nil"/>
              <w:bottom w:val="single" w:sz="4" w:space="0" w:color="auto"/>
              <w:right w:val="single" w:sz="4" w:space="0" w:color="auto"/>
            </w:tcBorders>
            <w:shd w:val="clear" w:color="auto" w:fill="auto"/>
            <w:vAlign w:val="center"/>
            <w:hideMark/>
          </w:tcPr>
          <w:p w14:paraId="6C034E1A" w14:textId="3CC0FA2B" w:rsidR="009B7C90" w:rsidRPr="009B7C90" w:rsidRDefault="009B7C90">
            <w:pPr>
              <w:widowControl/>
              <w:spacing w:line="240" w:lineRule="auto"/>
              <w:ind w:firstLineChars="0" w:firstLine="0"/>
              <w:jc w:val="left"/>
              <w:rPr>
                <w:rFonts w:eastAsia="楷体"/>
                <w:color w:val="000000"/>
                <w:kern w:val="0"/>
                <w:sz w:val="22"/>
              </w:rPr>
            </w:pPr>
            <w:r w:rsidRPr="009B7C90">
              <w:rPr>
                <w:rFonts w:eastAsia="楷体"/>
                <w:color w:val="000000"/>
                <w:kern w:val="0"/>
                <w:sz w:val="22"/>
              </w:rPr>
              <w:t>当年新能源车辆销售比例</w:t>
            </w:r>
            <w:r w:rsidRPr="009B7C90">
              <w:rPr>
                <w:rFonts w:eastAsia="楷体"/>
                <w:color w:val="000000"/>
                <w:kern w:val="0"/>
                <w:sz w:val="22"/>
              </w:rPr>
              <w:t>:</w:t>
            </w:r>
            <w:r w:rsidRPr="009B7C90">
              <w:rPr>
                <w:rFonts w:eastAsia="楷体"/>
                <w:color w:val="000000"/>
                <w:kern w:val="0"/>
                <w:sz w:val="22"/>
              </w:rPr>
              <w:br/>
            </w:r>
            <w:r w:rsidR="004169E4">
              <w:rPr>
                <w:rFonts w:eastAsia="楷体"/>
                <w:color w:val="000000"/>
                <w:kern w:val="0"/>
                <w:sz w:val="22"/>
              </w:rPr>
              <w:t>到</w:t>
            </w:r>
            <w:r w:rsidR="004169E4" w:rsidRPr="009B7C90">
              <w:rPr>
                <w:rFonts w:eastAsia="楷体"/>
                <w:color w:val="000000"/>
                <w:kern w:val="0"/>
                <w:sz w:val="22"/>
              </w:rPr>
              <w:t>2025</w:t>
            </w:r>
            <w:r w:rsidRPr="009B7C90">
              <w:rPr>
                <w:rFonts w:eastAsia="楷体"/>
                <w:color w:val="000000"/>
                <w:kern w:val="0"/>
                <w:sz w:val="22"/>
              </w:rPr>
              <w:t>私家车</w:t>
            </w:r>
            <w:r w:rsidR="00471B96">
              <w:rPr>
                <w:rFonts w:eastAsia="楷体"/>
                <w:color w:val="000000"/>
                <w:kern w:val="0"/>
                <w:sz w:val="22"/>
              </w:rPr>
              <w:t>2</w:t>
            </w:r>
            <w:r w:rsidRPr="009B7C90">
              <w:rPr>
                <w:rFonts w:eastAsia="楷体"/>
                <w:color w:val="000000"/>
                <w:kern w:val="0"/>
                <w:sz w:val="22"/>
              </w:rPr>
              <w:t xml:space="preserve">5%, </w:t>
            </w:r>
            <w:r w:rsidRPr="009B7C90">
              <w:rPr>
                <w:rFonts w:eastAsia="楷体"/>
                <w:color w:val="000000"/>
                <w:kern w:val="0"/>
                <w:sz w:val="22"/>
              </w:rPr>
              <w:t>公交车</w:t>
            </w:r>
            <w:r w:rsidRPr="009B7C90">
              <w:rPr>
                <w:rFonts w:eastAsia="楷体"/>
                <w:color w:val="000000"/>
                <w:kern w:val="0"/>
                <w:sz w:val="22"/>
              </w:rPr>
              <w:t xml:space="preserve">100% , </w:t>
            </w:r>
            <w:r w:rsidRPr="009B7C90">
              <w:rPr>
                <w:rFonts w:eastAsia="楷体"/>
                <w:color w:val="000000"/>
                <w:kern w:val="0"/>
                <w:sz w:val="22"/>
              </w:rPr>
              <w:t>出租车</w:t>
            </w:r>
            <w:r w:rsidRPr="009B7C90">
              <w:rPr>
                <w:rFonts w:eastAsia="楷体"/>
                <w:color w:val="000000"/>
                <w:kern w:val="0"/>
                <w:sz w:val="22"/>
              </w:rPr>
              <w:t>30% ,</w:t>
            </w:r>
            <w:r w:rsidRPr="009B7C90">
              <w:rPr>
                <w:rFonts w:eastAsia="楷体"/>
                <w:color w:val="000000"/>
                <w:kern w:val="0"/>
                <w:sz w:val="22"/>
              </w:rPr>
              <w:t>网约车</w:t>
            </w:r>
            <w:r w:rsidRPr="009B7C90">
              <w:rPr>
                <w:rFonts w:eastAsia="楷体"/>
                <w:color w:val="000000"/>
                <w:kern w:val="0"/>
                <w:sz w:val="22"/>
              </w:rPr>
              <w:t xml:space="preserve"> 35%</w:t>
            </w:r>
            <w:r w:rsidR="004169E4">
              <w:rPr>
                <w:rFonts w:eastAsia="楷体" w:hint="eastAsia"/>
                <w:color w:val="000000"/>
                <w:kern w:val="0"/>
                <w:sz w:val="22"/>
              </w:rPr>
              <w:t>。</w:t>
            </w:r>
            <w:r w:rsidRPr="009B7C90">
              <w:rPr>
                <w:rFonts w:eastAsia="楷体"/>
                <w:color w:val="000000"/>
                <w:kern w:val="0"/>
                <w:sz w:val="22"/>
              </w:rPr>
              <w:br/>
            </w:r>
            <w:r w:rsidR="004169E4">
              <w:rPr>
                <w:rFonts w:eastAsia="楷体"/>
                <w:color w:val="000000"/>
                <w:kern w:val="0"/>
                <w:sz w:val="22"/>
              </w:rPr>
              <w:t>到</w:t>
            </w:r>
            <w:r w:rsidR="004169E4" w:rsidRPr="009B7C90">
              <w:rPr>
                <w:rFonts w:eastAsia="楷体"/>
                <w:color w:val="000000"/>
                <w:kern w:val="0"/>
                <w:sz w:val="22"/>
              </w:rPr>
              <w:t>2030</w:t>
            </w:r>
            <w:r w:rsidRPr="009B7C90">
              <w:rPr>
                <w:rFonts w:eastAsia="楷体"/>
                <w:color w:val="000000"/>
                <w:kern w:val="0"/>
                <w:sz w:val="22"/>
              </w:rPr>
              <w:t>私家车</w:t>
            </w:r>
            <w:r w:rsidRPr="009B7C90">
              <w:rPr>
                <w:rFonts w:eastAsia="楷体"/>
                <w:color w:val="000000"/>
                <w:kern w:val="0"/>
                <w:sz w:val="22"/>
              </w:rPr>
              <w:t xml:space="preserve">40%, </w:t>
            </w:r>
            <w:r w:rsidRPr="009B7C90">
              <w:rPr>
                <w:rFonts w:eastAsia="楷体"/>
                <w:color w:val="000000"/>
                <w:kern w:val="0"/>
                <w:sz w:val="22"/>
              </w:rPr>
              <w:t>公交车</w:t>
            </w:r>
            <w:r w:rsidRPr="009B7C90">
              <w:rPr>
                <w:rFonts w:eastAsia="楷体"/>
                <w:color w:val="000000"/>
                <w:kern w:val="0"/>
                <w:sz w:val="22"/>
              </w:rPr>
              <w:t xml:space="preserve">100% , </w:t>
            </w:r>
            <w:r w:rsidRPr="009B7C90">
              <w:rPr>
                <w:rFonts w:eastAsia="楷体"/>
                <w:color w:val="000000"/>
                <w:kern w:val="0"/>
                <w:sz w:val="22"/>
              </w:rPr>
              <w:t>出租车</w:t>
            </w:r>
            <w:r w:rsidR="00965B48">
              <w:rPr>
                <w:rFonts w:eastAsia="楷体"/>
                <w:color w:val="000000"/>
                <w:kern w:val="0"/>
                <w:sz w:val="22"/>
              </w:rPr>
              <w:t>8</w:t>
            </w:r>
            <w:r w:rsidRPr="009B7C90">
              <w:rPr>
                <w:rFonts w:eastAsia="楷体"/>
                <w:color w:val="000000"/>
                <w:kern w:val="0"/>
                <w:sz w:val="22"/>
              </w:rPr>
              <w:t>0% ,</w:t>
            </w:r>
            <w:r w:rsidRPr="009B7C90">
              <w:rPr>
                <w:rFonts w:eastAsia="楷体"/>
                <w:color w:val="000000"/>
                <w:kern w:val="0"/>
                <w:sz w:val="22"/>
              </w:rPr>
              <w:t>网约车</w:t>
            </w:r>
            <w:r w:rsidR="00965B48">
              <w:rPr>
                <w:rFonts w:eastAsia="楷体"/>
                <w:color w:val="000000"/>
                <w:kern w:val="0"/>
                <w:sz w:val="22"/>
              </w:rPr>
              <w:t>7</w:t>
            </w:r>
            <w:r w:rsidRPr="009B7C90">
              <w:rPr>
                <w:rFonts w:eastAsia="楷体"/>
                <w:color w:val="000000"/>
                <w:kern w:val="0"/>
                <w:sz w:val="22"/>
              </w:rPr>
              <w:t>0%</w:t>
            </w:r>
            <w:r w:rsidR="004169E4">
              <w:rPr>
                <w:rFonts w:eastAsia="楷体" w:hint="eastAsia"/>
                <w:color w:val="000000"/>
                <w:kern w:val="0"/>
                <w:sz w:val="22"/>
              </w:rPr>
              <w:t>。</w:t>
            </w:r>
            <w:r w:rsidRPr="009B7C90">
              <w:rPr>
                <w:rFonts w:eastAsia="楷体"/>
                <w:color w:val="000000"/>
                <w:kern w:val="0"/>
                <w:sz w:val="22"/>
              </w:rPr>
              <w:br/>
            </w:r>
            <w:r w:rsidR="004169E4">
              <w:rPr>
                <w:rFonts w:eastAsia="楷体"/>
                <w:color w:val="000000"/>
                <w:kern w:val="0"/>
                <w:sz w:val="22"/>
              </w:rPr>
              <w:t>到</w:t>
            </w:r>
            <w:r w:rsidR="004169E4" w:rsidRPr="009B7C90">
              <w:rPr>
                <w:rFonts w:eastAsia="楷体"/>
                <w:color w:val="000000"/>
                <w:kern w:val="0"/>
                <w:sz w:val="22"/>
              </w:rPr>
              <w:t>2060</w:t>
            </w:r>
            <w:r w:rsidRPr="009B7C90">
              <w:rPr>
                <w:rFonts w:eastAsia="楷体"/>
                <w:color w:val="000000"/>
                <w:kern w:val="0"/>
                <w:sz w:val="22"/>
              </w:rPr>
              <w:t>私家车</w:t>
            </w:r>
            <w:r w:rsidRPr="009B7C90">
              <w:rPr>
                <w:rFonts w:eastAsia="楷体"/>
                <w:color w:val="000000"/>
                <w:kern w:val="0"/>
                <w:sz w:val="22"/>
              </w:rPr>
              <w:t xml:space="preserve">80%, </w:t>
            </w:r>
            <w:r w:rsidRPr="009B7C90">
              <w:rPr>
                <w:rFonts w:eastAsia="楷体"/>
                <w:color w:val="000000"/>
                <w:kern w:val="0"/>
                <w:sz w:val="22"/>
              </w:rPr>
              <w:t>公交车</w:t>
            </w:r>
            <w:r w:rsidRPr="009B7C90">
              <w:rPr>
                <w:rFonts w:eastAsia="楷体"/>
                <w:color w:val="000000"/>
                <w:kern w:val="0"/>
                <w:sz w:val="22"/>
              </w:rPr>
              <w:t xml:space="preserve">100% , </w:t>
            </w:r>
            <w:r w:rsidRPr="009B7C90">
              <w:rPr>
                <w:rFonts w:eastAsia="楷体"/>
                <w:color w:val="000000"/>
                <w:kern w:val="0"/>
                <w:sz w:val="22"/>
              </w:rPr>
              <w:t>出租车</w:t>
            </w:r>
            <w:r w:rsidRPr="009B7C90">
              <w:rPr>
                <w:rFonts w:eastAsia="楷体"/>
                <w:color w:val="000000"/>
                <w:kern w:val="0"/>
                <w:sz w:val="22"/>
              </w:rPr>
              <w:t>100% ,</w:t>
            </w:r>
            <w:r w:rsidRPr="009B7C90">
              <w:rPr>
                <w:rFonts w:eastAsia="楷体"/>
                <w:color w:val="000000"/>
                <w:kern w:val="0"/>
                <w:sz w:val="22"/>
              </w:rPr>
              <w:t>网约车</w:t>
            </w:r>
            <w:r w:rsidRPr="009B7C90">
              <w:rPr>
                <w:rFonts w:eastAsia="楷体"/>
                <w:color w:val="000000"/>
                <w:kern w:val="0"/>
                <w:sz w:val="22"/>
              </w:rPr>
              <w:t xml:space="preserve"> 100%</w:t>
            </w:r>
            <w:r w:rsidR="004169E4">
              <w:rPr>
                <w:rFonts w:eastAsia="楷体" w:hint="eastAsia"/>
                <w:color w:val="000000"/>
                <w:kern w:val="0"/>
                <w:sz w:val="22"/>
              </w:rPr>
              <w:t>。</w:t>
            </w:r>
          </w:p>
        </w:tc>
      </w:tr>
    </w:tbl>
    <w:p w14:paraId="3AFBD49C" w14:textId="2EA0C336" w:rsidR="00410B2B" w:rsidRPr="009B7C90" w:rsidRDefault="00410B2B" w:rsidP="00230375">
      <w:pPr>
        <w:ind w:firstLineChars="0" w:firstLine="0"/>
      </w:pPr>
    </w:p>
    <w:p w14:paraId="40F4A450" w14:textId="04505B05" w:rsidR="00410B2B" w:rsidRDefault="00410B2B" w:rsidP="00487D13">
      <w:pPr>
        <w:ind w:firstLine="560"/>
      </w:pPr>
    </w:p>
    <w:p w14:paraId="74765F1F" w14:textId="77777777" w:rsidR="00410B2B" w:rsidRDefault="00410B2B" w:rsidP="00487D13">
      <w:pPr>
        <w:ind w:firstLine="560"/>
        <w:sectPr w:rsidR="00410B2B" w:rsidSect="00B01D38">
          <w:pgSz w:w="16838" w:h="11906" w:orient="landscape"/>
          <w:pgMar w:top="1800" w:right="1440" w:bottom="1800" w:left="1440" w:header="851" w:footer="992" w:gutter="0"/>
          <w:pgNumType w:fmt="numberInDash"/>
          <w:cols w:space="425"/>
          <w:docGrid w:type="lines" w:linePitch="381"/>
        </w:sectPr>
      </w:pPr>
    </w:p>
    <w:p w14:paraId="1943FF33" w14:textId="7F85D58D" w:rsidR="00560FB1" w:rsidRPr="008E25D8" w:rsidRDefault="006A60A9" w:rsidP="008E25D8">
      <w:pPr>
        <w:pStyle w:val="3"/>
      </w:pPr>
      <w:bookmarkStart w:id="40" w:name="_Toc93782317"/>
      <w:r>
        <w:rPr>
          <w:rFonts w:hint="eastAsia"/>
        </w:rPr>
        <w:lastRenderedPageBreak/>
        <w:t>4</w:t>
      </w:r>
      <w:r>
        <w:t xml:space="preserve">.2 </w:t>
      </w:r>
      <w:r w:rsidR="009838A4">
        <w:rPr>
          <w:rFonts w:hint="eastAsia"/>
        </w:rPr>
        <w:t>影响因素未来趋势</w:t>
      </w:r>
      <w:r w:rsidR="0094728D">
        <w:rPr>
          <w:rFonts w:hint="eastAsia"/>
        </w:rPr>
        <w:t>分析</w:t>
      </w:r>
      <w:bookmarkEnd w:id="40"/>
    </w:p>
    <w:p w14:paraId="5DDD36C9" w14:textId="32D150AA" w:rsidR="00B14EE4" w:rsidRDefault="00A8551D" w:rsidP="002827C1">
      <w:pPr>
        <w:ind w:firstLineChars="0" w:firstLine="560"/>
      </w:pPr>
      <w:r>
        <w:rPr>
          <w:rFonts w:hint="eastAsia"/>
        </w:rPr>
        <w:t>本小节主要分析了</w:t>
      </w:r>
      <w:r w:rsidR="00B526E1" w:rsidRPr="00B526E1">
        <w:rPr>
          <w:rFonts w:hint="eastAsia"/>
        </w:rPr>
        <w:t>影响交通运输行业的</w:t>
      </w:r>
      <w:r w:rsidR="00AB1A75">
        <w:rPr>
          <w:rFonts w:hint="eastAsia"/>
        </w:rPr>
        <w:t>四</w:t>
      </w:r>
      <w:r w:rsidR="00B526E1" w:rsidRPr="00B526E1">
        <w:rPr>
          <w:rFonts w:hint="eastAsia"/>
        </w:rPr>
        <w:t>类</w:t>
      </w:r>
      <w:r>
        <w:rPr>
          <w:rFonts w:hint="eastAsia"/>
        </w:rPr>
        <w:t>因素，即</w:t>
      </w:r>
      <w:r w:rsidR="00B526E1" w:rsidRPr="00B526E1">
        <w:rPr>
          <w:rFonts w:hint="eastAsia"/>
        </w:rPr>
        <w:t>宏观需求因素、</w:t>
      </w:r>
      <w:r w:rsidR="00AB1A75">
        <w:rPr>
          <w:rFonts w:hint="eastAsia"/>
        </w:rPr>
        <w:t>优化</w:t>
      </w:r>
      <w:r w:rsidR="00B526E1" w:rsidRPr="00B526E1">
        <w:rPr>
          <w:rFonts w:hint="eastAsia"/>
        </w:rPr>
        <w:t>结构因素、</w:t>
      </w:r>
      <w:r w:rsidR="00AB1A75">
        <w:rPr>
          <w:rFonts w:hint="eastAsia"/>
        </w:rPr>
        <w:t>能效提升</w:t>
      </w:r>
      <w:r w:rsidR="00B526E1" w:rsidRPr="00B526E1">
        <w:rPr>
          <w:rFonts w:hint="eastAsia"/>
        </w:rPr>
        <w:t>因素</w:t>
      </w:r>
      <w:r w:rsidR="00AB1A75">
        <w:rPr>
          <w:rFonts w:hint="eastAsia"/>
        </w:rPr>
        <w:t>及新能源应用因素</w:t>
      </w:r>
      <w:r>
        <w:rPr>
          <w:rFonts w:hint="eastAsia"/>
        </w:rPr>
        <w:t>如何影响交通部门碳排放，并对这些因素的发展趋势进行了梳理</w:t>
      </w:r>
      <w:r w:rsidR="00567DF4">
        <w:rPr>
          <w:rFonts w:hint="eastAsia"/>
        </w:rPr>
        <w:t>、分析及预测</w:t>
      </w:r>
      <w:r w:rsidR="00B526E1" w:rsidRPr="00B526E1">
        <w:rPr>
          <w:rFonts w:hint="eastAsia"/>
        </w:rPr>
        <w:t>。</w:t>
      </w:r>
    </w:p>
    <w:p w14:paraId="2DD4F222" w14:textId="3731447C" w:rsidR="006F6DA0" w:rsidRDefault="006F6DA0" w:rsidP="006F6DA0">
      <w:pPr>
        <w:pStyle w:val="4"/>
      </w:pPr>
      <w:r>
        <w:rPr>
          <w:rFonts w:hint="eastAsia"/>
        </w:rPr>
        <w:t>4</w:t>
      </w:r>
      <w:r>
        <w:t xml:space="preserve">.2.1 </w:t>
      </w:r>
      <w:r>
        <w:rPr>
          <w:rFonts w:hint="eastAsia"/>
        </w:rPr>
        <w:t>宏观</w:t>
      </w:r>
      <w:r w:rsidR="00520F50">
        <w:rPr>
          <w:rFonts w:hint="eastAsia"/>
        </w:rPr>
        <w:t>参数</w:t>
      </w:r>
    </w:p>
    <w:p w14:paraId="11CA44E3" w14:textId="26C013CB" w:rsidR="00B526E1" w:rsidRPr="00CD32C3" w:rsidRDefault="00B526E1" w:rsidP="00B526E1">
      <w:pPr>
        <w:ind w:firstLine="562"/>
        <w:rPr>
          <w:rFonts w:eastAsia="仿宋_GB2312"/>
          <w:b/>
          <w:bCs/>
        </w:rPr>
      </w:pPr>
      <w:r w:rsidRPr="00CD32C3">
        <w:rPr>
          <w:rFonts w:eastAsia="仿宋_GB2312" w:hint="eastAsia"/>
          <w:b/>
          <w:bCs/>
        </w:rPr>
        <w:t>（</w:t>
      </w:r>
      <w:r w:rsidRPr="00CD32C3">
        <w:rPr>
          <w:rFonts w:eastAsia="仿宋_GB2312" w:hint="eastAsia"/>
          <w:b/>
          <w:bCs/>
        </w:rPr>
        <w:t>1</w:t>
      </w:r>
      <w:r w:rsidRPr="00CD32C3">
        <w:rPr>
          <w:rFonts w:eastAsia="仿宋_GB2312" w:hint="eastAsia"/>
          <w:b/>
          <w:bCs/>
        </w:rPr>
        <w:t>）</w:t>
      </w:r>
      <w:r w:rsidRPr="00CD32C3">
        <w:rPr>
          <w:rFonts w:eastAsia="仿宋_GB2312" w:hint="eastAsia"/>
          <w:b/>
          <w:bCs/>
        </w:rPr>
        <w:t>GDP</w:t>
      </w:r>
    </w:p>
    <w:p w14:paraId="53361F9B" w14:textId="0B7D151B" w:rsidR="003450F0" w:rsidRPr="003450F0" w:rsidRDefault="003450F0" w:rsidP="003450F0">
      <w:pPr>
        <w:ind w:firstLine="560"/>
        <w:rPr>
          <w:rFonts w:eastAsia="仿宋_GB2312"/>
        </w:rPr>
      </w:pPr>
      <w:r w:rsidRPr="003450F0">
        <w:rPr>
          <w:rFonts w:eastAsia="仿宋_GB2312" w:hint="eastAsia"/>
        </w:rPr>
        <w:t>在一定经济规范范围内</w:t>
      </w:r>
      <w:r w:rsidRPr="003450F0">
        <w:rPr>
          <w:rFonts w:eastAsia="仿宋_GB2312" w:hint="eastAsia"/>
        </w:rPr>
        <w:t>GDP</w:t>
      </w:r>
      <w:r w:rsidRPr="003450F0">
        <w:rPr>
          <w:rFonts w:eastAsia="仿宋_GB2312" w:hint="eastAsia"/>
        </w:rPr>
        <w:t>直接影响着交通运输客货运的需求和交通运输结构</w:t>
      </w:r>
      <w:r w:rsidRPr="003450F0">
        <w:rPr>
          <w:rFonts w:eastAsia="仿宋_GB2312"/>
          <w:vertAlign w:val="superscript"/>
        </w:rPr>
        <w:footnoteReference w:id="2"/>
      </w:r>
      <w:r w:rsidRPr="003450F0">
        <w:rPr>
          <w:rFonts w:eastAsia="仿宋_GB2312" w:hint="eastAsia"/>
        </w:rPr>
        <w:t>。</w:t>
      </w:r>
      <w:r w:rsidR="004D4495" w:rsidRPr="00B526E1">
        <w:rPr>
          <w:rFonts w:eastAsia="仿宋_GB2312" w:hint="eastAsia"/>
        </w:rPr>
        <w:t>GDP</w:t>
      </w:r>
      <w:r w:rsidR="004D4495" w:rsidRPr="00B526E1">
        <w:rPr>
          <w:rFonts w:eastAsia="仿宋_GB2312" w:hint="eastAsia"/>
        </w:rPr>
        <w:t>的增长</w:t>
      </w:r>
      <w:r w:rsidR="00855F1E">
        <w:rPr>
          <w:rFonts w:eastAsia="仿宋_GB2312" w:hint="eastAsia"/>
        </w:rPr>
        <w:t>反映了</w:t>
      </w:r>
      <w:r w:rsidR="004D4495" w:rsidRPr="00B526E1">
        <w:rPr>
          <w:rFonts w:eastAsia="仿宋_GB2312" w:hint="eastAsia"/>
        </w:rPr>
        <w:t>国民基本需求</w:t>
      </w:r>
      <w:r w:rsidR="00855F1E">
        <w:rPr>
          <w:rFonts w:eastAsia="仿宋_GB2312" w:hint="eastAsia"/>
        </w:rPr>
        <w:t>的</w:t>
      </w:r>
      <w:r w:rsidR="004D4495">
        <w:rPr>
          <w:rFonts w:eastAsia="仿宋_GB2312" w:hint="eastAsia"/>
        </w:rPr>
        <w:t>增长</w:t>
      </w:r>
      <w:r w:rsidR="004D4495" w:rsidRPr="00B526E1">
        <w:rPr>
          <w:rFonts w:eastAsia="仿宋_GB2312" w:hint="eastAsia"/>
        </w:rPr>
        <w:t>，</w:t>
      </w:r>
      <w:r w:rsidR="00B526E1" w:rsidRPr="00B526E1">
        <w:rPr>
          <w:rFonts w:eastAsia="仿宋_GB2312" w:hint="eastAsia"/>
        </w:rPr>
        <w:t>人民生活水平提高的同时对交通的需求逐渐加大，使交通运输能源消费量和碳排放量迅速增长。</w:t>
      </w:r>
      <w:r w:rsidR="00855F1E">
        <w:rPr>
          <w:rFonts w:eastAsia="仿宋_GB2312" w:hint="eastAsia"/>
        </w:rPr>
        <w:t>随着</w:t>
      </w:r>
      <w:r w:rsidR="00B526E1" w:rsidRPr="00B526E1">
        <w:rPr>
          <w:rFonts w:eastAsia="仿宋_GB2312" w:hint="eastAsia"/>
        </w:rPr>
        <w:t>经济发展初期，</w:t>
      </w:r>
      <w:r w:rsidR="00855F1E">
        <w:rPr>
          <w:rFonts w:eastAsia="仿宋_GB2312" w:hint="eastAsia"/>
        </w:rPr>
        <w:t>交通运输的货运量、客运量</w:t>
      </w:r>
      <w:r w:rsidR="00B526E1" w:rsidRPr="00B526E1">
        <w:rPr>
          <w:rFonts w:eastAsia="仿宋_GB2312" w:hint="eastAsia"/>
        </w:rPr>
        <w:t>与经济产出（</w:t>
      </w:r>
      <w:r w:rsidR="00B526E1" w:rsidRPr="00B526E1">
        <w:rPr>
          <w:rFonts w:eastAsia="仿宋_GB2312" w:hint="eastAsia"/>
        </w:rPr>
        <w:t>GDP</w:t>
      </w:r>
      <w:r w:rsidR="00B526E1" w:rsidRPr="00B526E1">
        <w:rPr>
          <w:rFonts w:eastAsia="仿宋_GB2312" w:hint="eastAsia"/>
        </w:rPr>
        <w:t>等）无疑会保持较高的相关度，如图</w:t>
      </w:r>
      <w:r w:rsidR="00855F1E">
        <w:rPr>
          <w:rFonts w:eastAsia="仿宋_GB2312" w:hint="eastAsia"/>
        </w:rPr>
        <w:t>4-</w:t>
      </w:r>
      <w:r w:rsidR="00855F1E">
        <w:rPr>
          <w:rFonts w:eastAsia="仿宋_GB2312"/>
        </w:rPr>
        <w:t>2</w:t>
      </w:r>
      <w:r w:rsidR="00855F1E">
        <w:rPr>
          <w:rFonts w:eastAsia="仿宋_GB2312" w:hint="eastAsia"/>
        </w:rPr>
        <w:t>，图</w:t>
      </w:r>
      <w:r w:rsidR="00855F1E">
        <w:rPr>
          <w:rFonts w:eastAsia="仿宋_GB2312" w:hint="eastAsia"/>
        </w:rPr>
        <w:t>4-</w:t>
      </w:r>
      <w:r w:rsidR="00855F1E">
        <w:rPr>
          <w:rFonts w:eastAsia="仿宋_GB2312"/>
        </w:rPr>
        <w:t>3</w:t>
      </w:r>
      <w:r w:rsidR="00B526E1" w:rsidRPr="00B526E1">
        <w:rPr>
          <w:rFonts w:eastAsia="仿宋_GB2312" w:hint="eastAsia"/>
        </w:rPr>
        <w:t>所示。</w:t>
      </w:r>
    </w:p>
    <w:p w14:paraId="1DEE0ADA" w14:textId="5189526A" w:rsidR="003450F0" w:rsidRDefault="00AF13DA" w:rsidP="003450F0">
      <w:pPr>
        <w:ind w:firstLineChars="0" w:firstLine="0"/>
      </w:pPr>
      <w:r>
        <w:rPr>
          <w:noProof/>
        </w:rPr>
        <w:drawing>
          <wp:inline distT="0" distB="0" distL="0" distR="0" wp14:anchorId="1C2B84B3" wp14:editId="42F8E714">
            <wp:extent cx="5220000" cy="3091543"/>
            <wp:effectExtent l="0" t="0" r="0" b="13970"/>
            <wp:docPr id="4" name="图表 4">
              <a:extLst xmlns:a="http://schemas.openxmlformats.org/drawingml/2006/main">
                <a:ext uri="{FF2B5EF4-FFF2-40B4-BE49-F238E27FC236}">
                  <a16:creationId xmlns:a16="http://schemas.microsoft.com/office/drawing/2014/main" id="{28824E79-DDC6-4903-8497-9DA6264782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197349EE" w14:textId="7BED74A1" w:rsidR="003450F0" w:rsidRPr="00A8551D" w:rsidRDefault="00B526E1" w:rsidP="00B526E1">
      <w:pPr>
        <w:ind w:firstLineChars="0" w:firstLine="0"/>
        <w:jc w:val="center"/>
        <w:rPr>
          <w:rFonts w:eastAsia="黑体"/>
          <w:sz w:val="24"/>
          <w:szCs w:val="21"/>
        </w:rPr>
      </w:pPr>
      <w:r w:rsidRPr="00A8551D">
        <w:rPr>
          <w:rFonts w:eastAsia="黑体"/>
          <w:sz w:val="24"/>
          <w:szCs w:val="21"/>
        </w:rPr>
        <w:t>图</w:t>
      </w:r>
      <w:r w:rsidR="00AB1A75" w:rsidRPr="00A8551D">
        <w:rPr>
          <w:rFonts w:eastAsia="黑体"/>
          <w:sz w:val="24"/>
          <w:szCs w:val="21"/>
        </w:rPr>
        <w:t>4-2</w:t>
      </w:r>
      <w:r w:rsidRPr="00A8551D">
        <w:rPr>
          <w:rFonts w:eastAsia="黑体"/>
          <w:sz w:val="24"/>
          <w:szCs w:val="21"/>
        </w:rPr>
        <w:t>中国货运量和</w:t>
      </w:r>
      <w:r w:rsidRPr="00A8551D">
        <w:rPr>
          <w:rFonts w:eastAsia="黑体"/>
          <w:sz w:val="24"/>
          <w:szCs w:val="21"/>
        </w:rPr>
        <w:t>GDP</w:t>
      </w:r>
      <w:r w:rsidRPr="00A8551D">
        <w:rPr>
          <w:rFonts w:eastAsia="黑体"/>
          <w:sz w:val="24"/>
          <w:szCs w:val="21"/>
        </w:rPr>
        <w:t>趋势关系</w:t>
      </w:r>
    </w:p>
    <w:p w14:paraId="2670DC21" w14:textId="15A7E50D" w:rsidR="003450F0" w:rsidRDefault="00AF13DA" w:rsidP="00CD32C3">
      <w:pPr>
        <w:ind w:firstLineChars="0" w:firstLine="0"/>
      </w:pPr>
      <w:r>
        <w:rPr>
          <w:noProof/>
        </w:rPr>
        <w:lastRenderedPageBreak/>
        <w:drawing>
          <wp:inline distT="0" distB="0" distL="0" distR="0" wp14:anchorId="650AE150" wp14:editId="5A8ED7B3">
            <wp:extent cx="5220000" cy="3091543"/>
            <wp:effectExtent l="0" t="0" r="0" b="13970"/>
            <wp:docPr id="5" name="图表 5">
              <a:extLst xmlns:a="http://schemas.openxmlformats.org/drawingml/2006/main">
                <a:ext uri="{FF2B5EF4-FFF2-40B4-BE49-F238E27FC236}">
                  <a16:creationId xmlns:a16="http://schemas.microsoft.com/office/drawing/2014/main" id="{3C2F2F7B-D1C0-4638-881A-A7F4EC7B9E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21FA86B3" w14:textId="0F3272A3" w:rsidR="00B526E1" w:rsidRPr="00A8551D" w:rsidRDefault="00B526E1" w:rsidP="00B526E1">
      <w:pPr>
        <w:ind w:firstLineChars="0" w:firstLine="0"/>
        <w:jc w:val="center"/>
        <w:rPr>
          <w:rFonts w:eastAsia="黑体"/>
          <w:sz w:val="24"/>
          <w:szCs w:val="21"/>
        </w:rPr>
      </w:pPr>
      <w:r w:rsidRPr="00A8551D">
        <w:rPr>
          <w:rFonts w:eastAsia="黑体" w:hint="eastAsia"/>
          <w:sz w:val="24"/>
          <w:szCs w:val="21"/>
        </w:rPr>
        <w:t>图</w:t>
      </w:r>
      <w:r w:rsidR="00CD32C3" w:rsidRPr="00A8551D">
        <w:rPr>
          <w:rFonts w:eastAsia="黑体"/>
          <w:sz w:val="24"/>
          <w:szCs w:val="21"/>
        </w:rPr>
        <w:t>4-3</w:t>
      </w:r>
      <w:r w:rsidRPr="00A8551D">
        <w:rPr>
          <w:rFonts w:eastAsia="黑体" w:hint="eastAsia"/>
          <w:sz w:val="24"/>
          <w:szCs w:val="21"/>
        </w:rPr>
        <w:t xml:space="preserve"> </w:t>
      </w:r>
      <w:r w:rsidRPr="00A8551D">
        <w:rPr>
          <w:rFonts w:eastAsia="黑体" w:hint="eastAsia"/>
          <w:sz w:val="24"/>
          <w:szCs w:val="21"/>
        </w:rPr>
        <w:t>中国客运量量和</w:t>
      </w:r>
      <w:r w:rsidRPr="00A8551D">
        <w:rPr>
          <w:rFonts w:eastAsia="黑体" w:hint="eastAsia"/>
          <w:sz w:val="24"/>
          <w:szCs w:val="21"/>
        </w:rPr>
        <w:t>GDP</w:t>
      </w:r>
      <w:r w:rsidRPr="00A8551D">
        <w:rPr>
          <w:rFonts w:eastAsia="黑体" w:hint="eastAsia"/>
          <w:sz w:val="24"/>
          <w:szCs w:val="21"/>
        </w:rPr>
        <w:t>趋势关系</w:t>
      </w:r>
    </w:p>
    <w:p w14:paraId="43FE3FDC" w14:textId="1E4D420B" w:rsidR="00855F1E" w:rsidRDefault="000D698D" w:rsidP="003450F0">
      <w:pPr>
        <w:ind w:firstLine="560"/>
      </w:pPr>
      <w:r>
        <w:rPr>
          <w:rFonts w:hint="eastAsia"/>
        </w:rPr>
        <w:t>依照《</w:t>
      </w:r>
      <w:r w:rsidRPr="007D05CA">
        <w:rPr>
          <w:rFonts w:hint="eastAsia"/>
        </w:rPr>
        <w:t>中华人民共和国国民经济和社会发展第十四个五年规划和</w:t>
      </w:r>
      <w:r w:rsidRPr="007D05CA">
        <w:rPr>
          <w:rFonts w:hint="eastAsia"/>
        </w:rPr>
        <w:t>2035</w:t>
      </w:r>
      <w:r w:rsidRPr="007D05CA">
        <w:rPr>
          <w:rFonts w:hint="eastAsia"/>
        </w:rPr>
        <w:t>年远景目标纲要</w:t>
      </w:r>
      <w:r>
        <w:rPr>
          <w:rFonts w:hint="eastAsia"/>
        </w:rPr>
        <w:t>》及世界银行</w:t>
      </w:r>
      <w:r>
        <w:rPr>
          <w:rFonts w:hint="eastAsia"/>
        </w:rPr>
        <w:t>C</w:t>
      </w:r>
      <w:r>
        <w:t>GE</w:t>
      </w:r>
      <w:r>
        <w:rPr>
          <w:rFonts w:hint="eastAsia"/>
        </w:rPr>
        <w:t>团队对中国经济的预测，</w:t>
      </w:r>
      <w:r w:rsidR="007D05CA">
        <w:rPr>
          <w:rFonts w:hint="eastAsia"/>
        </w:rPr>
        <w:t>中国经济还将进一步增长。到</w:t>
      </w:r>
      <w:r w:rsidR="007D05CA" w:rsidRPr="007D05CA">
        <w:rPr>
          <w:rFonts w:hint="eastAsia"/>
        </w:rPr>
        <w:t>2035</w:t>
      </w:r>
      <w:r w:rsidR="007D05CA" w:rsidRPr="007D05CA">
        <w:rPr>
          <w:rFonts w:hint="eastAsia"/>
        </w:rPr>
        <w:t>年，</w:t>
      </w:r>
      <w:r w:rsidR="00ED2758">
        <w:rPr>
          <w:rFonts w:hint="eastAsia"/>
        </w:rPr>
        <w:t>中国</w:t>
      </w:r>
      <w:r w:rsidR="007D05CA" w:rsidRPr="007D05CA">
        <w:rPr>
          <w:rFonts w:hint="eastAsia"/>
        </w:rPr>
        <w:t>将基本实现社会主义现代化</w:t>
      </w:r>
      <w:r w:rsidR="003F16FD">
        <w:rPr>
          <w:rFonts w:hint="eastAsia"/>
        </w:rPr>
        <w:t>，</w:t>
      </w:r>
      <w:r w:rsidR="007D05CA" w:rsidRPr="007D05CA">
        <w:rPr>
          <w:rFonts w:hint="eastAsia"/>
        </w:rPr>
        <w:t>经济实力、科技实力、综合国力将大幅跃升，经济总量和城乡居民人均收入将再迈上新的大台阶</w:t>
      </w:r>
      <w:r w:rsidR="007D05CA">
        <w:rPr>
          <w:rFonts w:hint="eastAsia"/>
        </w:rPr>
        <w:t>。到</w:t>
      </w:r>
      <w:r w:rsidR="007D05CA">
        <w:rPr>
          <w:rFonts w:hint="eastAsia"/>
        </w:rPr>
        <w:t>2</w:t>
      </w:r>
      <w:r w:rsidR="007D05CA">
        <w:t>022</w:t>
      </w:r>
      <w:r w:rsidR="007D05CA">
        <w:rPr>
          <w:rFonts w:hint="eastAsia"/>
        </w:rPr>
        <w:t>-2</w:t>
      </w:r>
      <w:r w:rsidR="007D05CA" w:rsidRPr="007D05CA">
        <w:rPr>
          <w:rFonts w:hint="eastAsia"/>
        </w:rPr>
        <w:t>025</w:t>
      </w:r>
      <w:r w:rsidR="007D05CA" w:rsidRPr="007D05CA">
        <w:rPr>
          <w:rFonts w:hint="eastAsia"/>
        </w:rPr>
        <w:t>年按照</w:t>
      </w:r>
      <w:r w:rsidR="007D05CA">
        <w:rPr>
          <w:rFonts w:hint="eastAsia"/>
        </w:rPr>
        <w:t>年均</w:t>
      </w:r>
      <w:r w:rsidR="007D05CA">
        <w:t>5.2</w:t>
      </w:r>
      <w:r w:rsidR="007D05CA" w:rsidRPr="007D05CA">
        <w:rPr>
          <w:rFonts w:hint="eastAsia"/>
        </w:rPr>
        <w:t>%</w:t>
      </w:r>
      <w:r w:rsidR="007D05CA">
        <w:rPr>
          <w:rFonts w:hint="eastAsia"/>
        </w:rPr>
        <w:t>增长，</w:t>
      </w:r>
      <w:r w:rsidR="007D05CA">
        <w:rPr>
          <w:rFonts w:hint="eastAsia"/>
        </w:rPr>
        <w:t>2</w:t>
      </w:r>
      <w:r w:rsidR="007D05CA">
        <w:t>026</w:t>
      </w:r>
      <w:r w:rsidR="007D05CA">
        <w:rPr>
          <w:rFonts w:hint="eastAsia"/>
        </w:rPr>
        <w:t>--</w:t>
      </w:r>
      <w:r w:rsidR="007D05CA" w:rsidRPr="007D05CA">
        <w:rPr>
          <w:rFonts w:hint="eastAsia"/>
        </w:rPr>
        <w:t>2035</w:t>
      </w:r>
      <w:r w:rsidR="007D05CA" w:rsidRPr="007D05CA">
        <w:rPr>
          <w:rFonts w:hint="eastAsia"/>
        </w:rPr>
        <w:t>年按照</w:t>
      </w:r>
      <w:r w:rsidR="007D05CA">
        <w:rPr>
          <w:rFonts w:hint="eastAsia"/>
        </w:rPr>
        <w:t>年均</w:t>
      </w:r>
      <w:r w:rsidR="007D05CA">
        <w:t>4.4</w:t>
      </w:r>
      <w:r w:rsidR="007D05CA" w:rsidRPr="007D05CA">
        <w:rPr>
          <w:rFonts w:hint="eastAsia"/>
        </w:rPr>
        <w:t>%</w:t>
      </w:r>
      <w:r w:rsidR="007D05CA">
        <w:rPr>
          <w:rFonts w:hint="eastAsia"/>
        </w:rPr>
        <w:t>增长。</w:t>
      </w:r>
    </w:p>
    <w:p w14:paraId="345350CD" w14:textId="178AD430" w:rsidR="003450F0" w:rsidRPr="00CD32C3" w:rsidRDefault="00B526E1" w:rsidP="003450F0">
      <w:pPr>
        <w:ind w:firstLine="562"/>
        <w:rPr>
          <w:b/>
          <w:bCs/>
        </w:rPr>
      </w:pPr>
      <w:r w:rsidRPr="00CD32C3">
        <w:rPr>
          <w:rFonts w:hint="eastAsia"/>
          <w:b/>
          <w:bCs/>
        </w:rPr>
        <w:t>（</w:t>
      </w:r>
      <w:r w:rsidRPr="00CD32C3">
        <w:rPr>
          <w:rFonts w:hint="eastAsia"/>
          <w:b/>
          <w:bCs/>
        </w:rPr>
        <w:t>2</w:t>
      </w:r>
      <w:r w:rsidRPr="00CD32C3">
        <w:rPr>
          <w:rFonts w:hint="eastAsia"/>
          <w:b/>
          <w:bCs/>
        </w:rPr>
        <w:t>）人均</w:t>
      </w:r>
      <w:r w:rsidRPr="00CD32C3">
        <w:rPr>
          <w:rFonts w:hint="eastAsia"/>
          <w:b/>
          <w:bCs/>
        </w:rPr>
        <w:t>GDP</w:t>
      </w:r>
    </w:p>
    <w:p w14:paraId="35AE8FCB" w14:textId="61A6CB70" w:rsidR="003450F0" w:rsidRPr="003450F0" w:rsidRDefault="00B526E1" w:rsidP="003450F0">
      <w:pPr>
        <w:ind w:firstLine="560"/>
      </w:pPr>
      <w:r w:rsidRPr="00B526E1">
        <w:rPr>
          <w:rFonts w:hint="eastAsia"/>
        </w:rPr>
        <w:t>在一定经济规范范围内人均</w:t>
      </w:r>
      <w:r w:rsidRPr="00B526E1">
        <w:rPr>
          <w:rFonts w:hint="eastAsia"/>
        </w:rPr>
        <w:t>GDP</w:t>
      </w:r>
      <w:r w:rsidRPr="00B526E1">
        <w:rPr>
          <w:rFonts w:hint="eastAsia"/>
        </w:rPr>
        <w:t>直接影响着交通运输的需求和交通运输结构，尤其是客运需求与人均</w:t>
      </w:r>
      <w:r w:rsidRPr="00B526E1">
        <w:rPr>
          <w:rFonts w:hint="eastAsia"/>
        </w:rPr>
        <w:t>GDP</w:t>
      </w:r>
      <w:r w:rsidRPr="00B526E1">
        <w:rPr>
          <w:rFonts w:hint="eastAsia"/>
        </w:rPr>
        <w:t>直接相关。</w:t>
      </w:r>
    </w:p>
    <w:p w14:paraId="2E5E02B2" w14:textId="19F458E9" w:rsidR="00B526E1" w:rsidRDefault="00B526E1" w:rsidP="00B526E1">
      <w:pPr>
        <w:ind w:firstLineChars="0" w:firstLine="0"/>
      </w:pPr>
      <w:r>
        <w:rPr>
          <w:rFonts w:eastAsia="仿宋_GB2312"/>
          <w:noProof/>
        </w:rPr>
        <w:lastRenderedPageBreak/>
        <w:drawing>
          <wp:inline distT="0" distB="0" distL="0" distR="0" wp14:anchorId="4E039FB6" wp14:editId="62368F01">
            <wp:extent cx="5274310" cy="3804285"/>
            <wp:effectExtent l="0" t="0" r="0" b="0"/>
            <wp:docPr id="6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274310" cy="3804285"/>
                    </a:xfrm>
                    <a:prstGeom prst="rect">
                      <a:avLst/>
                    </a:prstGeom>
                    <a:noFill/>
                    <a:ln>
                      <a:noFill/>
                    </a:ln>
                    <a:effectLst/>
                  </pic:spPr>
                </pic:pic>
              </a:graphicData>
            </a:graphic>
          </wp:inline>
        </w:drawing>
      </w:r>
    </w:p>
    <w:p w14:paraId="6DC30B47" w14:textId="176BEB4A" w:rsidR="003450F0" w:rsidRPr="00A8551D" w:rsidRDefault="00B526E1" w:rsidP="00AB1A75">
      <w:pPr>
        <w:ind w:firstLineChars="0" w:firstLine="0"/>
        <w:jc w:val="center"/>
        <w:rPr>
          <w:rFonts w:eastAsia="黑体"/>
          <w:sz w:val="24"/>
          <w:szCs w:val="21"/>
        </w:rPr>
      </w:pPr>
      <w:r w:rsidRPr="00A8551D">
        <w:rPr>
          <w:rFonts w:eastAsia="黑体" w:hint="eastAsia"/>
          <w:sz w:val="24"/>
          <w:szCs w:val="21"/>
        </w:rPr>
        <w:t>图</w:t>
      </w:r>
      <w:r w:rsidR="00CD32C3" w:rsidRPr="00A8551D">
        <w:rPr>
          <w:rFonts w:eastAsia="黑体"/>
          <w:sz w:val="24"/>
          <w:szCs w:val="21"/>
        </w:rPr>
        <w:t>4-4</w:t>
      </w:r>
      <w:r w:rsidRPr="00A8551D">
        <w:rPr>
          <w:rFonts w:eastAsia="黑体" w:hint="eastAsia"/>
          <w:sz w:val="24"/>
          <w:szCs w:val="21"/>
        </w:rPr>
        <w:t xml:space="preserve"> </w:t>
      </w:r>
      <w:r w:rsidRPr="00A8551D">
        <w:rPr>
          <w:rFonts w:eastAsia="黑体" w:hint="eastAsia"/>
          <w:sz w:val="24"/>
          <w:szCs w:val="21"/>
        </w:rPr>
        <w:t>世界各国人均</w:t>
      </w:r>
      <w:r w:rsidRPr="00A8551D">
        <w:rPr>
          <w:rFonts w:eastAsia="黑体" w:hint="eastAsia"/>
          <w:sz w:val="24"/>
          <w:szCs w:val="21"/>
        </w:rPr>
        <w:t>GDP</w:t>
      </w:r>
      <w:r w:rsidRPr="00A8551D">
        <w:rPr>
          <w:rFonts w:eastAsia="黑体" w:hint="eastAsia"/>
          <w:sz w:val="24"/>
          <w:szCs w:val="21"/>
        </w:rPr>
        <w:t>与人均出行距离间的关系</w:t>
      </w:r>
    </w:p>
    <w:p w14:paraId="351EC5E2" w14:textId="14EB6109" w:rsidR="00B526E1" w:rsidRDefault="00ED2758" w:rsidP="00B526E1">
      <w:pPr>
        <w:ind w:firstLine="560"/>
      </w:pPr>
      <w:r>
        <w:rPr>
          <w:rFonts w:hint="eastAsia"/>
        </w:rPr>
        <w:t>中国</w:t>
      </w:r>
      <w:r w:rsidR="00B526E1" w:rsidRPr="00B526E1">
        <w:rPr>
          <w:rFonts w:hint="eastAsia"/>
        </w:rPr>
        <w:t>居民收入水平将不断增长，人均收入增长速度保持较高水平。城镇居民家庭人均可支配收入“十</w:t>
      </w:r>
      <w:r w:rsidR="00B526E1">
        <w:rPr>
          <w:rFonts w:hint="eastAsia"/>
        </w:rPr>
        <w:t>二</w:t>
      </w:r>
      <w:r w:rsidR="00B526E1" w:rsidRPr="00B526E1">
        <w:rPr>
          <w:rFonts w:hint="eastAsia"/>
        </w:rPr>
        <w:t>五”年均增长</w:t>
      </w:r>
      <w:r w:rsidR="00B526E1">
        <w:t>7.2</w:t>
      </w:r>
      <w:r w:rsidR="00B526E1" w:rsidRPr="00B526E1">
        <w:rPr>
          <w:rFonts w:hint="eastAsia"/>
        </w:rPr>
        <w:t>5%</w:t>
      </w:r>
      <w:r w:rsidR="00B526E1" w:rsidRPr="00B526E1">
        <w:rPr>
          <w:rFonts w:hint="eastAsia"/>
        </w:rPr>
        <w:t>，</w:t>
      </w:r>
      <w:r w:rsidR="00B526E1">
        <w:rPr>
          <w:rFonts w:hint="eastAsia"/>
        </w:rPr>
        <w:t>“</w:t>
      </w:r>
      <w:r w:rsidR="00B526E1" w:rsidRPr="00B526E1">
        <w:rPr>
          <w:rFonts w:hint="eastAsia"/>
        </w:rPr>
        <w:t>十</w:t>
      </w:r>
      <w:r w:rsidR="00B526E1">
        <w:rPr>
          <w:rFonts w:hint="eastAsia"/>
        </w:rPr>
        <w:t>三</w:t>
      </w:r>
      <w:r w:rsidR="00B526E1" w:rsidRPr="00B526E1">
        <w:rPr>
          <w:rFonts w:hint="eastAsia"/>
        </w:rPr>
        <w:t>五”年均增长</w:t>
      </w:r>
      <w:r w:rsidR="00B526E1">
        <w:t>6</w:t>
      </w:r>
      <w:r w:rsidR="00B526E1" w:rsidRPr="00B526E1">
        <w:rPr>
          <w:rFonts w:hint="eastAsia"/>
        </w:rPr>
        <w:t>.25%</w:t>
      </w:r>
      <w:r w:rsidR="00B526E1" w:rsidRPr="00B526E1">
        <w:rPr>
          <w:rFonts w:hint="eastAsia"/>
        </w:rPr>
        <w:t>。</w:t>
      </w:r>
      <w:r w:rsidR="00855F1E">
        <w:rPr>
          <w:rFonts w:hint="eastAsia"/>
        </w:rPr>
        <w:t>与</w:t>
      </w:r>
      <w:r w:rsidR="00855F1E">
        <w:rPr>
          <w:rFonts w:hint="eastAsia"/>
        </w:rPr>
        <w:t>GDP</w:t>
      </w:r>
      <w:r w:rsidR="00855F1E">
        <w:rPr>
          <w:rFonts w:hint="eastAsia"/>
        </w:rPr>
        <w:t>相似，依照《</w:t>
      </w:r>
      <w:r w:rsidR="00855F1E" w:rsidRPr="007D05CA">
        <w:rPr>
          <w:rFonts w:hint="eastAsia"/>
        </w:rPr>
        <w:t>中华人民共和国国民经济和社会发展第十四个五年规划和</w:t>
      </w:r>
      <w:r w:rsidR="00855F1E" w:rsidRPr="007D05CA">
        <w:rPr>
          <w:rFonts w:hint="eastAsia"/>
        </w:rPr>
        <w:t>2035</w:t>
      </w:r>
      <w:r w:rsidR="00855F1E" w:rsidRPr="007D05CA">
        <w:rPr>
          <w:rFonts w:hint="eastAsia"/>
        </w:rPr>
        <w:t>年远景目标纲要</w:t>
      </w:r>
      <w:r w:rsidR="00855F1E">
        <w:rPr>
          <w:rFonts w:hint="eastAsia"/>
        </w:rPr>
        <w:t>》等规划及</w:t>
      </w:r>
      <w:r w:rsidR="00997FCB">
        <w:rPr>
          <w:rFonts w:hint="eastAsia"/>
        </w:rPr>
        <w:t>国内外研究团队的成果显示，</w:t>
      </w:r>
      <w:r w:rsidR="003C0A0C">
        <w:rPr>
          <w:rFonts w:hint="eastAsia"/>
        </w:rPr>
        <w:t>到</w:t>
      </w:r>
      <w:r w:rsidR="003C0A0C">
        <w:rPr>
          <w:rFonts w:hint="eastAsia"/>
        </w:rPr>
        <w:t>2</w:t>
      </w:r>
      <w:r w:rsidR="003C0A0C">
        <w:t>035</w:t>
      </w:r>
      <w:r w:rsidR="003C0A0C">
        <w:rPr>
          <w:rFonts w:hint="eastAsia"/>
        </w:rPr>
        <w:t>年</w:t>
      </w:r>
      <w:r w:rsidR="003C0A0C" w:rsidRPr="003C0A0C">
        <w:rPr>
          <w:rFonts w:hint="eastAsia"/>
        </w:rPr>
        <w:t>人均国内生产总值达到中等发达国家水平，中等收入群体显著扩大</w:t>
      </w:r>
      <w:r w:rsidR="003C0A0C">
        <w:rPr>
          <w:rFonts w:hint="eastAsia"/>
        </w:rPr>
        <w:t>。</w:t>
      </w:r>
    </w:p>
    <w:p w14:paraId="1AE781A4" w14:textId="39043CAA" w:rsidR="00B526E1" w:rsidRPr="00CD32C3" w:rsidRDefault="00B526E1" w:rsidP="00B526E1">
      <w:pPr>
        <w:ind w:firstLine="562"/>
        <w:rPr>
          <w:b/>
          <w:bCs/>
        </w:rPr>
      </w:pPr>
      <w:r w:rsidRPr="00CD32C3">
        <w:rPr>
          <w:rFonts w:hint="eastAsia"/>
          <w:b/>
          <w:bCs/>
        </w:rPr>
        <w:t>（</w:t>
      </w:r>
      <w:r w:rsidRPr="00CD32C3">
        <w:rPr>
          <w:rFonts w:hint="eastAsia"/>
          <w:b/>
          <w:bCs/>
        </w:rPr>
        <w:t>3</w:t>
      </w:r>
      <w:r w:rsidRPr="00CD32C3">
        <w:rPr>
          <w:rFonts w:hint="eastAsia"/>
          <w:b/>
          <w:bCs/>
        </w:rPr>
        <w:t>）</w:t>
      </w:r>
      <w:r w:rsidR="0062581E" w:rsidRPr="00CD32C3">
        <w:rPr>
          <w:rFonts w:hint="eastAsia"/>
          <w:b/>
          <w:bCs/>
        </w:rPr>
        <w:t>人口</w:t>
      </w:r>
    </w:p>
    <w:p w14:paraId="2D793A7A" w14:textId="25677292" w:rsidR="0062581E" w:rsidRDefault="00B526E1" w:rsidP="00CD32C3">
      <w:pPr>
        <w:ind w:firstLine="560"/>
      </w:pPr>
      <w:r w:rsidRPr="00B526E1">
        <w:rPr>
          <w:rFonts w:hint="eastAsia"/>
        </w:rPr>
        <w:t>交通运输是经济社会发展的基础性、先导性和服务性行业，交通运输活动是提供服务和保障经济生产和人民生活的派生需求。</w:t>
      </w:r>
      <w:r w:rsidR="003C0A0C" w:rsidRPr="003C0A0C">
        <w:rPr>
          <w:rFonts w:hint="eastAsia"/>
        </w:rPr>
        <w:t>人口数量会对交通运输服务需求总量及其结构产生重要影响，</w:t>
      </w:r>
      <w:r w:rsidR="003C0A0C">
        <w:rPr>
          <w:rFonts w:hint="eastAsia"/>
        </w:rPr>
        <w:t>如图</w:t>
      </w:r>
      <w:r w:rsidR="00997FCB">
        <w:rPr>
          <w:rFonts w:hint="eastAsia"/>
        </w:rPr>
        <w:t>4-</w:t>
      </w:r>
      <w:r w:rsidR="00997FCB">
        <w:t>5</w:t>
      </w:r>
      <w:r w:rsidR="003C0A0C">
        <w:rPr>
          <w:rFonts w:hint="eastAsia"/>
        </w:rPr>
        <w:t>所示（</w:t>
      </w:r>
      <w:r w:rsidR="003C0A0C" w:rsidRPr="003C0A0C">
        <w:rPr>
          <w:rFonts w:hint="eastAsia"/>
        </w:rPr>
        <w:t>201</w:t>
      </w:r>
      <w:r w:rsidR="00075A99">
        <w:t>3</w:t>
      </w:r>
      <w:r w:rsidR="003C0A0C" w:rsidRPr="003C0A0C">
        <w:rPr>
          <w:rFonts w:hint="eastAsia"/>
        </w:rPr>
        <w:t>年客运周转量出现较大幅度的变动，主要受营运型公路统计</w:t>
      </w:r>
      <w:r w:rsidR="003C0A0C" w:rsidRPr="003C0A0C">
        <w:rPr>
          <w:rFonts w:hint="eastAsia"/>
        </w:rPr>
        <w:lastRenderedPageBreak/>
        <w:t>口径的变化影响</w:t>
      </w:r>
      <w:r w:rsidR="003C0A0C">
        <w:rPr>
          <w:rFonts w:hint="eastAsia"/>
        </w:rPr>
        <w:t>）。同时，</w:t>
      </w:r>
      <w:r w:rsidRPr="00B526E1">
        <w:rPr>
          <w:rFonts w:hint="eastAsia"/>
        </w:rPr>
        <w:t>人口</w:t>
      </w:r>
      <w:r w:rsidR="00D35F51">
        <w:rPr>
          <w:rFonts w:hint="eastAsia"/>
        </w:rPr>
        <w:t>老龄化</w:t>
      </w:r>
      <w:r w:rsidRPr="00B526E1">
        <w:rPr>
          <w:rFonts w:hint="eastAsia"/>
        </w:rPr>
        <w:t>对出行需求存在抑制效应，对比日本与欧洲的人口结构和出行需求的数据，老龄化在一定程度上会抑制出行需求。目前</w:t>
      </w:r>
      <w:r w:rsidR="00E64647">
        <w:rPr>
          <w:rFonts w:hint="eastAsia"/>
        </w:rPr>
        <w:t>中国</w:t>
      </w:r>
      <w:r w:rsidRPr="00B526E1">
        <w:rPr>
          <w:rFonts w:hint="eastAsia"/>
        </w:rPr>
        <w:t>正处于工业化、城镇化、现代化建设的关键时期，随着经济社会的不断发展</w:t>
      </w:r>
      <w:r w:rsidR="00896C90">
        <w:rPr>
          <w:rFonts w:hint="eastAsia"/>
        </w:rPr>
        <w:t>，</w:t>
      </w:r>
      <w:r w:rsidRPr="00B526E1">
        <w:rPr>
          <w:rFonts w:hint="eastAsia"/>
        </w:rPr>
        <w:t>加上人口基数较大，对交通运输的需求会越来越大，对交通运输服务水平的要求会越来越高，</w:t>
      </w:r>
      <w:r w:rsidR="0062581E">
        <w:rPr>
          <w:rFonts w:hint="eastAsia"/>
        </w:rPr>
        <w:t>中国</w:t>
      </w:r>
      <w:r w:rsidRPr="00B526E1">
        <w:rPr>
          <w:rFonts w:hint="eastAsia"/>
        </w:rPr>
        <w:t>的交通运输行业还有很大发展空间，这也意味着其能源消耗量和</w:t>
      </w:r>
      <w:r w:rsidR="00C3292A">
        <w:rPr>
          <w:rFonts w:hint="eastAsia"/>
        </w:rPr>
        <w:t>碳排放</w:t>
      </w:r>
      <w:r w:rsidRPr="00B526E1">
        <w:rPr>
          <w:rFonts w:hint="eastAsia"/>
        </w:rPr>
        <w:t>量也会持续上升。</w:t>
      </w:r>
    </w:p>
    <w:p w14:paraId="62D23F86" w14:textId="4314576A" w:rsidR="00E47F27" w:rsidRDefault="003C0A0C" w:rsidP="00E47F27">
      <w:pPr>
        <w:ind w:firstLineChars="0" w:firstLine="0"/>
      </w:pPr>
      <w:r>
        <w:rPr>
          <w:noProof/>
        </w:rPr>
        <w:drawing>
          <wp:inline distT="0" distB="0" distL="0" distR="0" wp14:anchorId="7E6A45E3" wp14:editId="0F14FFDB">
            <wp:extent cx="5220000" cy="3091543"/>
            <wp:effectExtent l="0" t="0" r="0" b="13970"/>
            <wp:docPr id="8" name="图表 8">
              <a:extLst xmlns:a="http://schemas.openxmlformats.org/drawingml/2006/main">
                <a:ext uri="{FF2B5EF4-FFF2-40B4-BE49-F238E27FC236}">
                  <a16:creationId xmlns:a16="http://schemas.microsoft.com/office/drawing/2014/main" id="{45B69845-B0FF-4AA1-97E6-4F1BA70555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60F68050" w14:textId="4D3BF022" w:rsidR="00CD32C3" w:rsidRPr="00A8551D" w:rsidRDefault="00CD32C3" w:rsidP="00CD32C3">
      <w:pPr>
        <w:ind w:firstLineChars="0" w:firstLine="0"/>
        <w:jc w:val="center"/>
        <w:rPr>
          <w:rFonts w:eastAsia="黑体"/>
          <w:sz w:val="24"/>
          <w:szCs w:val="21"/>
        </w:rPr>
      </w:pPr>
      <w:r w:rsidRPr="00A8551D">
        <w:rPr>
          <w:rFonts w:eastAsia="黑体" w:hint="eastAsia"/>
          <w:sz w:val="24"/>
          <w:szCs w:val="21"/>
        </w:rPr>
        <w:t>图</w:t>
      </w:r>
      <w:r w:rsidRPr="00A8551D">
        <w:rPr>
          <w:rFonts w:eastAsia="黑体"/>
          <w:sz w:val="24"/>
          <w:szCs w:val="21"/>
        </w:rPr>
        <w:t>4-5 2005</w:t>
      </w:r>
      <w:r w:rsidRPr="00A8551D">
        <w:rPr>
          <w:rFonts w:eastAsia="黑体" w:hint="eastAsia"/>
          <w:sz w:val="24"/>
          <w:szCs w:val="21"/>
        </w:rPr>
        <w:t>-</w:t>
      </w:r>
      <w:r w:rsidRPr="00A8551D">
        <w:rPr>
          <w:rFonts w:eastAsia="黑体"/>
          <w:sz w:val="24"/>
          <w:szCs w:val="21"/>
        </w:rPr>
        <w:t>2020</w:t>
      </w:r>
      <w:r w:rsidRPr="00A8551D">
        <w:rPr>
          <w:rFonts w:eastAsia="黑体" w:hint="eastAsia"/>
          <w:sz w:val="24"/>
          <w:szCs w:val="21"/>
        </w:rPr>
        <w:t>年旅客周转量与人口间关系的关系</w:t>
      </w:r>
    </w:p>
    <w:p w14:paraId="0C6971D9" w14:textId="435994C0" w:rsidR="0062581E" w:rsidRPr="00CD32C3" w:rsidRDefault="0062581E" w:rsidP="00CD32C3">
      <w:pPr>
        <w:ind w:firstLineChars="0" w:firstLine="0"/>
      </w:pPr>
    </w:p>
    <w:p w14:paraId="18E9E3E8" w14:textId="6F99E9F7" w:rsidR="0062581E" w:rsidRDefault="00E47F27" w:rsidP="00B526E1">
      <w:pPr>
        <w:ind w:firstLine="560"/>
      </w:pPr>
      <w:r>
        <w:rPr>
          <w:rFonts w:hint="eastAsia"/>
        </w:rPr>
        <w:t>根据国务院发布的</w:t>
      </w:r>
      <w:r w:rsidRPr="00E47F27">
        <w:rPr>
          <w:rFonts w:hint="eastAsia"/>
        </w:rPr>
        <w:t>《国家人口发展规划（</w:t>
      </w:r>
      <w:r w:rsidRPr="00E47F27">
        <w:rPr>
          <w:rFonts w:hint="eastAsia"/>
        </w:rPr>
        <w:t>2016-2030</w:t>
      </w:r>
      <w:r w:rsidRPr="00E47F27">
        <w:rPr>
          <w:rFonts w:hint="eastAsia"/>
        </w:rPr>
        <w:t>年）》等</w:t>
      </w:r>
      <w:r w:rsidR="007D05CA">
        <w:rPr>
          <w:rFonts w:hint="eastAsia"/>
        </w:rPr>
        <w:t>研究</w:t>
      </w:r>
      <w:r w:rsidRPr="00E47F27">
        <w:rPr>
          <w:rFonts w:hint="eastAsia"/>
        </w:rPr>
        <w:t>预测，到</w:t>
      </w:r>
      <w:r w:rsidRPr="00E47F27">
        <w:rPr>
          <w:rFonts w:hint="eastAsia"/>
        </w:rPr>
        <w:t>2030</w:t>
      </w:r>
      <w:r w:rsidRPr="00E47F27">
        <w:rPr>
          <w:rFonts w:hint="eastAsia"/>
        </w:rPr>
        <w:t>年</w:t>
      </w:r>
      <w:r w:rsidR="00ED2758">
        <w:rPr>
          <w:rFonts w:hint="eastAsia"/>
        </w:rPr>
        <w:t>中国</w:t>
      </w:r>
      <w:r w:rsidRPr="00E47F27">
        <w:rPr>
          <w:rFonts w:hint="eastAsia"/>
        </w:rPr>
        <w:t>社会将逐渐进入老龄化阶段</w:t>
      </w:r>
      <w:r>
        <w:rPr>
          <w:rFonts w:hint="eastAsia"/>
        </w:rPr>
        <w:t>。</w:t>
      </w:r>
      <w:r w:rsidR="007D05CA" w:rsidRPr="007D05CA">
        <w:rPr>
          <w:rFonts w:hint="eastAsia"/>
        </w:rPr>
        <w:t>2020</w:t>
      </w:r>
      <w:r w:rsidR="007D05CA" w:rsidRPr="007D05CA">
        <w:rPr>
          <w:rFonts w:hint="eastAsia"/>
        </w:rPr>
        <w:t>年</w:t>
      </w:r>
      <w:r w:rsidR="007D05CA" w:rsidRPr="007D05CA">
        <w:rPr>
          <w:rFonts w:hint="eastAsia"/>
        </w:rPr>
        <w:t>11</w:t>
      </w:r>
      <w:r w:rsidR="007D05CA" w:rsidRPr="007D05CA">
        <w:rPr>
          <w:rFonts w:hint="eastAsia"/>
        </w:rPr>
        <w:t>月</w:t>
      </w:r>
      <w:r w:rsidR="007D05CA" w:rsidRPr="007D05CA">
        <w:rPr>
          <w:rFonts w:hint="eastAsia"/>
        </w:rPr>
        <w:t>1</w:t>
      </w:r>
      <w:r w:rsidR="007D05CA" w:rsidRPr="007D05CA">
        <w:rPr>
          <w:rFonts w:hint="eastAsia"/>
        </w:rPr>
        <w:t>日，中国总人口为</w:t>
      </w:r>
      <w:r w:rsidR="007D05CA" w:rsidRPr="007D05CA">
        <w:rPr>
          <w:rFonts w:hint="eastAsia"/>
        </w:rPr>
        <w:t>14</w:t>
      </w:r>
      <w:r w:rsidR="007D05CA" w:rsidRPr="007D05CA">
        <w:rPr>
          <w:rFonts w:hint="eastAsia"/>
        </w:rPr>
        <w:t>亿</w:t>
      </w:r>
      <w:r w:rsidR="007D05CA" w:rsidRPr="007D05CA">
        <w:rPr>
          <w:rFonts w:hint="eastAsia"/>
        </w:rPr>
        <w:t>1178</w:t>
      </w:r>
      <w:r w:rsidR="007D05CA" w:rsidRPr="007D05CA">
        <w:rPr>
          <w:rFonts w:hint="eastAsia"/>
        </w:rPr>
        <w:t>万人</w:t>
      </w:r>
      <w:r w:rsidR="007D05CA">
        <w:rPr>
          <w:rFonts w:hint="eastAsia"/>
        </w:rPr>
        <w:t>，中国人口将在</w:t>
      </w:r>
      <w:r w:rsidR="007D05CA">
        <w:rPr>
          <w:rFonts w:hint="eastAsia"/>
        </w:rPr>
        <w:t>2</w:t>
      </w:r>
      <w:r w:rsidR="007D05CA">
        <w:t>028</w:t>
      </w:r>
      <w:r w:rsidR="007D05CA">
        <w:rPr>
          <w:rFonts w:hint="eastAsia"/>
        </w:rPr>
        <w:t>年左右达峰，达到</w:t>
      </w:r>
      <w:r w:rsidR="007D05CA">
        <w:rPr>
          <w:rFonts w:hint="eastAsia"/>
        </w:rPr>
        <w:t>1</w:t>
      </w:r>
      <w:r w:rsidR="007D05CA">
        <w:t>4.38</w:t>
      </w:r>
      <w:r w:rsidR="007D05CA">
        <w:rPr>
          <w:rFonts w:hint="eastAsia"/>
        </w:rPr>
        <w:t>亿人，到</w:t>
      </w:r>
      <w:r w:rsidR="007D05CA">
        <w:rPr>
          <w:rFonts w:hint="eastAsia"/>
        </w:rPr>
        <w:t>2</w:t>
      </w:r>
      <w:r w:rsidR="007D05CA">
        <w:t>035</w:t>
      </w:r>
      <w:r w:rsidR="007D05CA">
        <w:rPr>
          <w:rFonts w:hint="eastAsia"/>
        </w:rPr>
        <w:t>年人口达到</w:t>
      </w:r>
      <w:r w:rsidR="009E09F3">
        <w:rPr>
          <w:rFonts w:hint="eastAsia"/>
        </w:rPr>
        <w:t>1</w:t>
      </w:r>
      <w:r w:rsidR="009E09F3">
        <w:t>4.01</w:t>
      </w:r>
      <w:r w:rsidR="009E09F3">
        <w:rPr>
          <w:rFonts w:hint="eastAsia"/>
        </w:rPr>
        <w:t>亿人。</w:t>
      </w:r>
    </w:p>
    <w:p w14:paraId="5203B69D" w14:textId="2ED74CBF" w:rsidR="0062581E" w:rsidRPr="00CD32C3" w:rsidRDefault="0062581E" w:rsidP="00B526E1">
      <w:pPr>
        <w:ind w:firstLine="562"/>
        <w:rPr>
          <w:b/>
          <w:bCs/>
        </w:rPr>
      </w:pPr>
      <w:r w:rsidRPr="00CD32C3">
        <w:rPr>
          <w:rFonts w:hint="eastAsia"/>
          <w:b/>
          <w:bCs/>
        </w:rPr>
        <w:t>（</w:t>
      </w:r>
      <w:r w:rsidRPr="00CD32C3">
        <w:rPr>
          <w:rFonts w:hint="eastAsia"/>
          <w:b/>
          <w:bCs/>
        </w:rPr>
        <w:t>4</w:t>
      </w:r>
      <w:r w:rsidRPr="00CD32C3">
        <w:rPr>
          <w:rFonts w:hint="eastAsia"/>
          <w:b/>
          <w:bCs/>
        </w:rPr>
        <w:t>）城镇化率</w:t>
      </w:r>
    </w:p>
    <w:p w14:paraId="14A8008C" w14:textId="26619C20" w:rsidR="0062581E" w:rsidRDefault="0062581E" w:rsidP="00B526E1">
      <w:pPr>
        <w:ind w:firstLine="560"/>
      </w:pPr>
      <w:r w:rsidRPr="0062581E">
        <w:rPr>
          <w:rFonts w:hint="eastAsia"/>
        </w:rPr>
        <w:lastRenderedPageBreak/>
        <w:t>城镇化过程中的人口迁移、人口规模、人均出行次数等，是交通运输碳排放的关键影响因素。城镇居民消费水平是农民平均消费水平的约</w:t>
      </w:r>
      <w:r w:rsidRPr="0062581E">
        <w:rPr>
          <w:rFonts w:hint="eastAsia"/>
        </w:rPr>
        <w:t>3.5</w:t>
      </w:r>
      <w:r w:rsidRPr="0062581E">
        <w:rPr>
          <w:rFonts w:hint="eastAsia"/>
        </w:rPr>
        <w:t>倍，同时，城镇化率与旅客运输量之间存在显著的线性相关关系</w:t>
      </w:r>
      <w:r w:rsidR="000C54EB">
        <w:rPr>
          <w:rFonts w:hint="eastAsia"/>
        </w:rPr>
        <w:t>。</w:t>
      </w:r>
      <w:r w:rsidRPr="0062581E">
        <w:rPr>
          <w:rFonts w:hint="eastAsia"/>
        </w:rPr>
        <w:t>据统计，</w:t>
      </w:r>
      <w:r w:rsidR="00ED2758">
        <w:rPr>
          <w:rFonts w:hint="eastAsia"/>
        </w:rPr>
        <w:t>中国</w:t>
      </w:r>
      <w:r w:rsidRPr="0062581E">
        <w:rPr>
          <w:rFonts w:hint="eastAsia"/>
        </w:rPr>
        <w:t>城镇化率每提高</w:t>
      </w:r>
      <w:r w:rsidRPr="0062581E">
        <w:rPr>
          <w:rFonts w:hint="eastAsia"/>
        </w:rPr>
        <w:t>1</w:t>
      </w:r>
      <w:r w:rsidRPr="0062581E">
        <w:rPr>
          <w:rFonts w:hint="eastAsia"/>
        </w:rPr>
        <w:t>个百分点，旅客运输量增加</w:t>
      </w:r>
      <w:r w:rsidRPr="0062581E">
        <w:rPr>
          <w:rFonts w:hint="eastAsia"/>
        </w:rPr>
        <w:t>7.21</w:t>
      </w:r>
      <w:r w:rsidRPr="0062581E">
        <w:rPr>
          <w:rFonts w:hint="eastAsia"/>
        </w:rPr>
        <w:t>亿人次，旅客周转量增加</w:t>
      </w:r>
      <w:r w:rsidRPr="0062581E">
        <w:rPr>
          <w:rFonts w:hint="eastAsia"/>
        </w:rPr>
        <w:t>698.9</w:t>
      </w:r>
      <w:r w:rsidRPr="0062581E">
        <w:rPr>
          <w:rFonts w:hint="eastAsia"/>
        </w:rPr>
        <w:t>亿人公里</w:t>
      </w:r>
      <w:r w:rsidR="003C0A0C">
        <w:rPr>
          <w:rFonts w:hint="eastAsia"/>
        </w:rPr>
        <w:t>，</w:t>
      </w:r>
      <w:r w:rsidR="003C0A0C" w:rsidRPr="003C0A0C">
        <w:rPr>
          <w:rFonts w:hint="eastAsia"/>
        </w:rPr>
        <w:t>如图</w:t>
      </w:r>
      <w:r w:rsidR="00010735">
        <w:rPr>
          <w:rFonts w:hint="eastAsia"/>
        </w:rPr>
        <w:t>4-</w:t>
      </w:r>
      <w:r w:rsidR="00010735">
        <w:t>6</w:t>
      </w:r>
      <w:r w:rsidR="003C0A0C" w:rsidRPr="003C0A0C">
        <w:rPr>
          <w:rFonts w:hint="eastAsia"/>
        </w:rPr>
        <w:t>所示</w:t>
      </w:r>
      <w:r w:rsidRPr="0062581E">
        <w:rPr>
          <w:rFonts w:hint="eastAsia"/>
        </w:rPr>
        <w:t>。随着城镇化的推进，人口规模增加、城镇人口比重提高、城市居民交通消费比重加大等因素，将推动旅客运输需求保持较快增长。同时，城市化率越高，产业聚集度也随之提高，产业间在城市群体系内的联系也更为紧密，从而使得区域间的短距离货物运输需求不断提升，将持续促进货物运输的需求增长。同时，在城镇化过程中演变形成的城市空间布局也对出行需求产生重要影响，</w:t>
      </w:r>
      <w:r w:rsidR="003E5CA6">
        <w:rPr>
          <w:rFonts w:hint="eastAsia"/>
        </w:rPr>
        <w:t>如</w:t>
      </w:r>
      <w:r w:rsidR="000C54EB">
        <w:rPr>
          <w:rFonts w:hint="eastAsia"/>
        </w:rPr>
        <w:t>未来选择</w:t>
      </w:r>
      <w:r w:rsidRPr="0062581E">
        <w:rPr>
          <w:rFonts w:hint="eastAsia"/>
        </w:rPr>
        <w:t>TOD</w:t>
      </w:r>
      <w:r w:rsidR="003E5CA6">
        <w:rPr>
          <w:rFonts w:hint="eastAsia"/>
        </w:rPr>
        <w:t>还是</w:t>
      </w:r>
      <w:r w:rsidRPr="0062581E">
        <w:rPr>
          <w:rFonts w:hint="eastAsia"/>
        </w:rPr>
        <w:t>紧凑型发展模式，会对交通通勤距离和频率、私家车出行比例等交通需求结构产生影响。</w:t>
      </w:r>
    </w:p>
    <w:p w14:paraId="7696F617" w14:textId="7D7901B6" w:rsidR="009E09F3" w:rsidRDefault="003C0A0C" w:rsidP="009E09F3">
      <w:pPr>
        <w:ind w:firstLineChars="0" w:firstLine="0"/>
      </w:pPr>
      <w:r>
        <w:rPr>
          <w:noProof/>
        </w:rPr>
        <w:drawing>
          <wp:inline distT="0" distB="0" distL="0" distR="0" wp14:anchorId="2121DF12" wp14:editId="19848C8B">
            <wp:extent cx="5220000" cy="3091543"/>
            <wp:effectExtent l="0" t="0" r="0" b="13970"/>
            <wp:docPr id="9" name="图表 9">
              <a:extLst xmlns:a="http://schemas.openxmlformats.org/drawingml/2006/main">
                <a:ext uri="{FF2B5EF4-FFF2-40B4-BE49-F238E27FC236}">
                  <a16:creationId xmlns:a16="http://schemas.microsoft.com/office/drawing/2014/main" id="{E6EEFEB2-C854-4727-9A45-CAC458BD86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26438E0B" w14:textId="01A3D696" w:rsidR="003C0A0C" w:rsidRPr="00A8551D" w:rsidRDefault="003C0A0C" w:rsidP="00AB1A75">
      <w:pPr>
        <w:ind w:firstLineChars="0" w:firstLine="0"/>
        <w:jc w:val="center"/>
        <w:rPr>
          <w:rFonts w:eastAsia="黑体"/>
          <w:sz w:val="24"/>
          <w:szCs w:val="21"/>
        </w:rPr>
      </w:pPr>
      <w:r w:rsidRPr="00A8551D">
        <w:rPr>
          <w:rFonts w:eastAsia="黑体" w:hint="eastAsia"/>
          <w:sz w:val="24"/>
          <w:szCs w:val="21"/>
        </w:rPr>
        <w:t>图</w:t>
      </w:r>
      <w:r w:rsidR="00CD32C3" w:rsidRPr="00A8551D">
        <w:rPr>
          <w:rFonts w:eastAsia="黑体" w:hint="eastAsia"/>
          <w:sz w:val="24"/>
          <w:szCs w:val="21"/>
        </w:rPr>
        <w:t>4</w:t>
      </w:r>
      <w:r w:rsidR="00CD32C3" w:rsidRPr="00A8551D">
        <w:rPr>
          <w:rFonts w:eastAsia="黑体"/>
          <w:sz w:val="24"/>
          <w:szCs w:val="21"/>
        </w:rPr>
        <w:t>-6</w:t>
      </w:r>
      <w:r w:rsidRPr="00A8551D">
        <w:rPr>
          <w:rFonts w:eastAsia="黑体"/>
          <w:sz w:val="24"/>
          <w:szCs w:val="21"/>
        </w:rPr>
        <w:t xml:space="preserve"> </w:t>
      </w:r>
      <w:r w:rsidRPr="00A8551D">
        <w:rPr>
          <w:rFonts w:eastAsia="黑体" w:hint="eastAsia"/>
          <w:sz w:val="24"/>
          <w:szCs w:val="21"/>
        </w:rPr>
        <w:t xml:space="preserve"> 20</w:t>
      </w:r>
      <w:r w:rsidRPr="00A8551D">
        <w:rPr>
          <w:rFonts w:eastAsia="黑体"/>
          <w:sz w:val="24"/>
          <w:szCs w:val="21"/>
        </w:rPr>
        <w:t>05</w:t>
      </w:r>
      <w:r w:rsidRPr="00A8551D">
        <w:rPr>
          <w:rFonts w:eastAsia="黑体" w:hint="eastAsia"/>
          <w:sz w:val="24"/>
          <w:szCs w:val="21"/>
        </w:rPr>
        <w:t>-2020</w:t>
      </w:r>
      <w:r w:rsidRPr="00A8551D">
        <w:rPr>
          <w:rFonts w:eastAsia="黑体" w:hint="eastAsia"/>
          <w:sz w:val="24"/>
          <w:szCs w:val="21"/>
        </w:rPr>
        <w:t>年城市客运量与城镇化率的趋势关系</w:t>
      </w:r>
    </w:p>
    <w:p w14:paraId="2FFE9447" w14:textId="09AF4D46" w:rsidR="009E09F3" w:rsidRDefault="009E09F3" w:rsidP="00B526E1">
      <w:pPr>
        <w:ind w:firstLine="560"/>
      </w:pPr>
      <w:r>
        <w:rPr>
          <w:rFonts w:hint="eastAsia"/>
        </w:rPr>
        <w:lastRenderedPageBreak/>
        <w:t>依照《</w:t>
      </w:r>
      <w:r w:rsidRPr="007D05CA">
        <w:rPr>
          <w:rFonts w:hint="eastAsia"/>
        </w:rPr>
        <w:t>中华人民共和国国民经济和社会发展第十四个五年规划和</w:t>
      </w:r>
      <w:r w:rsidRPr="007D05CA">
        <w:rPr>
          <w:rFonts w:hint="eastAsia"/>
        </w:rPr>
        <w:t>2035</w:t>
      </w:r>
      <w:r w:rsidRPr="007D05CA">
        <w:rPr>
          <w:rFonts w:hint="eastAsia"/>
        </w:rPr>
        <w:t>年远景目标纲要</w:t>
      </w:r>
      <w:r>
        <w:rPr>
          <w:rFonts w:hint="eastAsia"/>
        </w:rPr>
        <w:t>》及世界银行预测，</w:t>
      </w:r>
      <w:r w:rsidR="00ED2758">
        <w:rPr>
          <w:rFonts w:hint="eastAsia"/>
        </w:rPr>
        <w:t>中国</w:t>
      </w:r>
      <w:r>
        <w:rPr>
          <w:rFonts w:hint="eastAsia"/>
        </w:rPr>
        <w:t>城镇化率将从</w:t>
      </w:r>
      <w:r>
        <w:rPr>
          <w:rFonts w:hint="eastAsia"/>
        </w:rPr>
        <w:t>2</w:t>
      </w:r>
      <w:r>
        <w:t>020</w:t>
      </w:r>
      <w:r>
        <w:rPr>
          <w:rFonts w:hint="eastAsia"/>
        </w:rPr>
        <w:t>年的</w:t>
      </w:r>
      <w:r w:rsidRPr="009E09F3">
        <w:t>63.89%</w:t>
      </w:r>
      <w:r>
        <w:rPr>
          <w:rFonts w:hint="eastAsia"/>
        </w:rPr>
        <w:t>增长到</w:t>
      </w:r>
      <w:r>
        <w:rPr>
          <w:rFonts w:hint="eastAsia"/>
        </w:rPr>
        <w:t>2</w:t>
      </w:r>
      <w:r>
        <w:t>025</w:t>
      </w:r>
      <w:r>
        <w:rPr>
          <w:rFonts w:hint="eastAsia"/>
        </w:rPr>
        <w:t>年的</w:t>
      </w:r>
      <w:r>
        <w:rPr>
          <w:rFonts w:hint="eastAsia"/>
        </w:rPr>
        <w:t>6</w:t>
      </w:r>
      <w:r>
        <w:t>5</w:t>
      </w:r>
      <w:r>
        <w:rPr>
          <w:rFonts w:hint="eastAsia"/>
        </w:rPr>
        <w:t>%</w:t>
      </w:r>
      <w:r>
        <w:rPr>
          <w:rFonts w:hint="eastAsia"/>
        </w:rPr>
        <w:t>，</w:t>
      </w:r>
      <w:r>
        <w:rPr>
          <w:rFonts w:hint="eastAsia"/>
        </w:rPr>
        <w:t>2</w:t>
      </w:r>
      <w:r>
        <w:t>035</w:t>
      </w:r>
      <w:r>
        <w:rPr>
          <w:rFonts w:hint="eastAsia"/>
        </w:rPr>
        <w:t>年达到</w:t>
      </w:r>
      <w:r>
        <w:t>72</w:t>
      </w:r>
      <w:r>
        <w:rPr>
          <w:rFonts w:hint="eastAsia"/>
        </w:rPr>
        <w:t>%</w:t>
      </w:r>
      <w:r>
        <w:rPr>
          <w:rFonts w:hint="eastAsia"/>
        </w:rPr>
        <w:t>左右。</w:t>
      </w:r>
    </w:p>
    <w:p w14:paraId="1EDF9414" w14:textId="022CE9C1" w:rsidR="009E09F3" w:rsidRPr="00CD32C3" w:rsidRDefault="009E09F3" w:rsidP="00B526E1">
      <w:pPr>
        <w:ind w:firstLine="562"/>
        <w:rPr>
          <w:b/>
          <w:bCs/>
        </w:rPr>
      </w:pPr>
      <w:r w:rsidRPr="00CD32C3">
        <w:rPr>
          <w:rFonts w:hint="eastAsia"/>
          <w:b/>
          <w:bCs/>
        </w:rPr>
        <w:t>（</w:t>
      </w:r>
      <w:r w:rsidR="00CD32C3" w:rsidRPr="00CD32C3">
        <w:rPr>
          <w:b/>
          <w:bCs/>
        </w:rPr>
        <w:t>5</w:t>
      </w:r>
      <w:r w:rsidRPr="00CD32C3">
        <w:rPr>
          <w:rFonts w:hint="eastAsia"/>
          <w:b/>
          <w:bCs/>
        </w:rPr>
        <w:t>）产业结构</w:t>
      </w:r>
    </w:p>
    <w:p w14:paraId="7C31033B" w14:textId="0093283C" w:rsidR="009E09F3" w:rsidRDefault="009E09F3" w:rsidP="00B526E1">
      <w:pPr>
        <w:ind w:firstLine="560"/>
      </w:pPr>
      <w:r w:rsidRPr="009E09F3">
        <w:rPr>
          <w:rFonts w:hint="eastAsia"/>
        </w:rPr>
        <w:t>由于工业部门单位增加值更多的依赖于大宗货物的运输，而大宗货物运输的能源消耗强度和碳排放强度远高于同等服务业增加值，因此工业化的不同阶段对交通运输碳排放的影响有显著的不同。众多研究表明，第二产业的规模和比重与交通能源消耗强度密切相关，特别是当一个地区处于工业化加速阶段，将不可避免的涉及到包括矿石、矿渣、煤炭、石油、水泥、钢材、玻璃等大量大宗货物的运输。</w:t>
      </w:r>
      <w:r w:rsidR="003F16FD">
        <w:rPr>
          <w:rFonts w:hint="eastAsia"/>
        </w:rPr>
        <w:t>随着产业结构的升级，对</w:t>
      </w:r>
      <w:r w:rsidR="000D2A41">
        <w:rPr>
          <w:rFonts w:hint="eastAsia"/>
        </w:rPr>
        <w:t>大宗货物的</w:t>
      </w:r>
      <w:r w:rsidR="0084017B">
        <w:rPr>
          <w:rFonts w:hint="eastAsia"/>
        </w:rPr>
        <w:t>需求将一定程度下降，而对小批量、高价值的货物需求将快速增长。</w:t>
      </w:r>
    </w:p>
    <w:p w14:paraId="1B18DE59" w14:textId="77357CB4" w:rsidR="009E09F3" w:rsidRDefault="009E09F3" w:rsidP="003C0A0C">
      <w:pPr>
        <w:ind w:firstLineChars="0" w:firstLine="0"/>
      </w:pPr>
    </w:p>
    <w:p w14:paraId="59FDF64E" w14:textId="5C78D6FD" w:rsidR="003C0A0C" w:rsidRDefault="003C0A0C" w:rsidP="003C0A0C">
      <w:pPr>
        <w:ind w:firstLineChars="0" w:firstLine="0"/>
      </w:pPr>
      <w:r>
        <w:rPr>
          <w:noProof/>
        </w:rPr>
        <w:drawing>
          <wp:inline distT="0" distB="0" distL="0" distR="0" wp14:anchorId="22DC95FB" wp14:editId="4BCD5974">
            <wp:extent cx="5219700" cy="3031066"/>
            <wp:effectExtent l="0" t="0" r="0" b="17145"/>
            <wp:docPr id="10" name="图表 10">
              <a:extLst xmlns:a="http://schemas.openxmlformats.org/drawingml/2006/main">
                <a:ext uri="{FF2B5EF4-FFF2-40B4-BE49-F238E27FC236}">
                  <a16:creationId xmlns:a16="http://schemas.microsoft.com/office/drawing/2014/main" id="{CD6653A8-53BC-4AA2-916A-9CDBBA0B24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188845AA" w14:textId="7EA23F91" w:rsidR="009E09F3" w:rsidRPr="00A8551D" w:rsidRDefault="003C0A0C" w:rsidP="00AB1A75">
      <w:pPr>
        <w:ind w:firstLineChars="0" w:firstLine="0"/>
        <w:jc w:val="center"/>
        <w:rPr>
          <w:rFonts w:eastAsia="黑体"/>
          <w:sz w:val="24"/>
          <w:szCs w:val="21"/>
        </w:rPr>
      </w:pPr>
      <w:r w:rsidRPr="00A8551D">
        <w:rPr>
          <w:rFonts w:eastAsia="黑体" w:hint="eastAsia"/>
          <w:sz w:val="24"/>
          <w:szCs w:val="21"/>
        </w:rPr>
        <w:t>图</w:t>
      </w:r>
      <w:r w:rsidR="00CD32C3" w:rsidRPr="00A8551D">
        <w:rPr>
          <w:rFonts w:eastAsia="黑体"/>
          <w:sz w:val="24"/>
          <w:szCs w:val="21"/>
        </w:rPr>
        <w:t>4</w:t>
      </w:r>
      <w:r w:rsidRPr="00A8551D">
        <w:rPr>
          <w:rFonts w:eastAsia="黑体" w:hint="eastAsia"/>
          <w:sz w:val="24"/>
          <w:szCs w:val="21"/>
        </w:rPr>
        <w:t>-</w:t>
      </w:r>
      <w:r w:rsidR="00CD32C3" w:rsidRPr="00A8551D">
        <w:rPr>
          <w:rFonts w:eastAsia="黑体"/>
          <w:sz w:val="24"/>
          <w:szCs w:val="21"/>
        </w:rPr>
        <w:t>7</w:t>
      </w:r>
      <w:r w:rsidRPr="00A8551D">
        <w:rPr>
          <w:rFonts w:eastAsia="黑体" w:hint="eastAsia"/>
          <w:sz w:val="24"/>
          <w:szCs w:val="21"/>
        </w:rPr>
        <w:t xml:space="preserve"> 2005-2020</w:t>
      </w:r>
      <w:r w:rsidRPr="00A8551D">
        <w:rPr>
          <w:rFonts w:eastAsia="黑体" w:hint="eastAsia"/>
          <w:sz w:val="24"/>
          <w:szCs w:val="21"/>
        </w:rPr>
        <w:t>年货运周转量与第二产业增加值的关系</w:t>
      </w:r>
    </w:p>
    <w:p w14:paraId="4D004EF1" w14:textId="287B4377" w:rsidR="009E09F3" w:rsidRDefault="003C0A0C" w:rsidP="00CD32C3">
      <w:pPr>
        <w:ind w:firstLine="560"/>
      </w:pPr>
      <w:r w:rsidRPr="003C0A0C">
        <w:rPr>
          <w:rFonts w:hint="eastAsia"/>
        </w:rPr>
        <w:lastRenderedPageBreak/>
        <w:t>目前，</w:t>
      </w:r>
      <w:bookmarkStart w:id="41" w:name="OLE_LINK1"/>
      <w:bookmarkStart w:id="42" w:name="OLE_LINK2"/>
      <w:r>
        <w:rPr>
          <w:rFonts w:hint="eastAsia"/>
        </w:rPr>
        <w:t>中国</w:t>
      </w:r>
      <w:r w:rsidRPr="003C0A0C">
        <w:rPr>
          <w:rFonts w:hint="eastAsia"/>
        </w:rPr>
        <w:t>三次产业结构</w:t>
      </w:r>
      <w:r w:rsidR="00F13AAB">
        <w:rPr>
          <w:rFonts w:hint="eastAsia"/>
        </w:rPr>
        <w:t>比例</w:t>
      </w:r>
      <w:r w:rsidRPr="003C0A0C">
        <w:rPr>
          <w:rFonts w:hint="eastAsia"/>
        </w:rPr>
        <w:t>为</w:t>
      </w:r>
      <w:bookmarkEnd w:id="41"/>
      <w:bookmarkEnd w:id="42"/>
      <w:r>
        <w:t>7.7</w:t>
      </w:r>
      <w:r w:rsidRPr="003C0A0C">
        <w:rPr>
          <w:rFonts w:hint="eastAsia"/>
        </w:rPr>
        <w:t>∶</w:t>
      </w:r>
      <w:r>
        <w:t>37.8</w:t>
      </w:r>
      <w:r w:rsidRPr="003C0A0C">
        <w:rPr>
          <w:rFonts w:hint="eastAsia"/>
        </w:rPr>
        <w:t>∶</w:t>
      </w:r>
      <w:r w:rsidRPr="003C0A0C">
        <w:rPr>
          <w:rFonts w:hint="eastAsia"/>
        </w:rPr>
        <w:t>5</w:t>
      </w:r>
      <w:r>
        <w:t>4.5</w:t>
      </w:r>
      <w:r w:rsidRPr="003C0A0C">
        <w:rPr>
          <w:rFonts w:hint="eastAsia"/>
        </w:rPr>
        <w:t>（其中，</w:t>
      </w:r>
      <w:r w:rsidRPr="003C0A0C">
        <w:rPr>
          <w:rFonts w:hint="eastAsia"/>
        </w:rPr>
        <w:t>2019</w:t>
      </w:r>
      <w:r w:rsidRPr="003C0A0C">
        <w:rPr>
          <w:rFonts w:hint="eastAsia"/>
        </w:rPr>
        <w:t>年为</w:t>
      </w:r>
      <w:r>
        <w:t>7.1</w:t>
      </w:r>
      <w:r w:rsidRPr="003C0A0C">
        <w:rPr>
          <w:rFonts w:hint="eastAsia"/>
        </w:rPr>
        <w:t>∶</w:t>
      </w:r>
      <w:r>
        <w:t>38.6</w:t>
      </w:r>
      <w:r w:rsidRPr="003C0A0C">
        <w:rPr>
          <w:rFonts w:hint="eastAsia"/>
        </w:rPr>
        <w:t>∶</w:t>
      </w:r>
      <w:r w:rsidRPr="003C0A0C">
        <w:rPr>
          <w:rFonts w:hint="eastAsia"/>
        </w:rPr>
        <w:t>5</w:t>
      </w:r>
      <w:r>
        <w:t>4.3</w:t>
      </w:r>
      <w:r w:rsidRPr="003C0A0C">
        <w:rPr>
          <w:rFonts w:hint="eastAsia"/>
        </w:rPr>
        <w:t>）</w:t>
      </w:r>
      <w:r w:rsidR="00F13AAB">
        <w:rPr>
          <w:rFonts w:hint="eastAsia"/>
        </w:rPr>
        <w:t>。</w:t>
      </w:r>
      <w:r w:rsidRPr="003C0A0C">
        <w:rPr>
          <w:rFonts w:hint="eastAsia"/>
        </w:rPr>
        <w:t>未来，</w:t>
      </w:r>
      <w:r>
        <w:rPr>
          <w:rFonts w:hint="eastAsia"/>
        </w:rPr>
        <w:t>中国</w:t>
      </w:r>
      <w:r w:rsidRPr="003C0A0C">
        <w:rPr>
          <w:rFonts w:hint="eastAsia"/>
        </w:rPr>
        <w:t>经济结构更加优化，创新能力显著提升，产业基础高级化、产业链现代化水平明显提高，农业基础更加稳固</w:t>
      </w:r>
      <w:r>
        <w:rPr>
          <w:rFonts w:hint="eastAsia"/>
        </w:rPr>
        <w:t>。到</w:t>
      </w:r>
      <w:r>
        <w:rPr>
          <w:rFonts w:hint="eastAsia"/>
        </w:rPr>
        <w:t>2</w:t>
      </w:r>
      <w:r>
        <w:t>025</w:t>
      </w:r>
      <w:r>
        <w:rPr>
          <w:rFonts w:hint="eastAsia"/>
        </w:rPr>
        <w:t>年，</w:t>
      </w:r>
      <w:r w:rsidR="002170D4">
        <w:rPr>
          <w:rFonts w:hint="eastAsia"/>
        </w:rPr>
        <w:t>第二产业占比降至</w:t>
      </w:r>
      <w:r w:rsidR="002170D4">
        <w:rPr>
          <w:rFonts w:hint="eastAsia"/>
        </w:rPr>
        <w:t>3</w:t>
      </w:r>
      <w:r w:rsidR="002170D4">
        <w:t>7.3</w:t>
      </w:r>
      <w:r w:rsidR="002170D4">
        <w:rPr>
          <w:rFonts w:hint="eastAsia"/>
        </w:rPr>
        <w:t>%</w:t>
      </w:r>
      <w:r w:rsidR="002170D4">
        <w:rPr>
          <w:rFonts w:hint="eastAsia"/>
        </w:rPr>
        <w:t>，到</w:t>
      </w:r>
      <w:r w:rsidR="002170D4">
        <w:rPr>
          <w:rFonts w:hint="eastAsia"/>
        </w:rPr>
        <w:t>2</w:t>
      </w:r>
      <w:r w:rsidR="002170D4">
        <w:t>035</w:t>
      </w:r>
      <w:r w:rsidR="002170D4">
        <w:rPr>
          <w:rFonts w:hint="eastAsia"/>
        </w:rPr>
        <w:t>年将降至</w:t>
      </w:r>
      <w:r w:rsidR="002170D4">
        <w:rPr>
          <w:rFonts w:hint="eastAsia"/>
        </w:rPr>
        <w:t>3</w:t>
      </w:r>
      <w:r w:rsidR="002170D4">
        <w:t>6.6</w:t>
      </w:r>
      <w:r w:rsidR="002170D4">
        <w:rPr>
          <w:rFonts w:hint="eastAsia"/>
        </w:rPr>
        <w:t>%</w:t>
      </w:r>
      <w:r w:rsidR="002170D4">
        <w:rPr>
          <w:rFonts w:hint="eastAsia"/>
        </w:rPr>
        <w:t>。</w:t>
      </w:r>
    </w:p>
    <w:p w14:paraId="1BD7F284" w14:textId="327F5690" w:rsidR="0084017B" w:rsidRPr="0084017B" w:rsidRDefault="0084017B" w:rsidP="00CD32C3">
      <w:pPr>
        <w:ind w:firstLine="562"/>
        <w:rPr>
          <w:b/>
          <w:bCs/>
        </w:rPr>
      </w:pPr>
      <w:r w:rsidRPr="0084017B">
        <w:rPr>
          <w:rFonts w:hint="eastAsia"/>
          <w:b/>
          <w:bCs/>
        </w:rPr>
        <w:t>（</w:t>
      </w:r>
      <w:r w:rsidRPr="0084017B">
        <w:rPr>
          <w:rFonts w:hint="eastAsia"/>
          <w:b/>
          <w:bCs/>
        </w:rPr>
        <w:t>6</w:t>
      </w:r>
      <w:r w:rsidRPr="0084017B">
        <w:rPr>
          <w:rFonts w:hint="eastAsia"/>
          <w:b/>
          <w:bCs/>
        </w:rPr>
        <w:t>）总结</w:t>
      </w:r>
    </w:p>
    <w:p w14:paraId="5A28A76E" w14:textId="3DA5EC75" w:rsidR="0084017B" w:rsidRDefault="0084017B" w:rsidP="00CD32C3">
      <w:pPr>
        <w:ind w:firstLine="560"/>
      </w:pPr>
      <w:r>
        <w:rPr>
          <w:rFonts w:hint="eastAsia"/>
        </w:rPr>
        <w:t>依照前文分析，</w:t>
      </w:r>
      <w:r w:rsidR="00F064DD">
        <w:rPr>
          <w:rFonts w:hint="eastAsia"/>
        </w:rPr>
        <w:t>宏观参数</w:t>
      </w:r>
      <w:r>
        <w:rPr>
          <w:rFonts w:hint="eastAsia"/>
        </w:rPr>
        <w:t>主要参照</w:t>
      </w:r>
      <w:r w:rsidR="00F064DD">
        <w:rPr>
          <w:rFonts w:hint="eastAsia"/>
        </w:rPr>
        <w:t>《</w:t>
      </w:r>
      <w:r w:rsidR="00F064DD" w:rsidRPr="007D05CA">
        <w:rPr>
          <w:rFonts w:hint="eastAsia"/>
        </w:rPr>
        <w:t>中华人民共和国国民经济和社会发展第十四个五年规划和</w:t>
      </w:r>
      <w:r w:rsidR="00F064DD" w:rsidRPr="007D05CA">
        <w:rPr>
          <w:rFonts w:hint="eastAsia"/>
        </w:rPr>
        <w:t>2035</w:t>
      </w:r>
      <w:r w:rsidR="00F064DD" w:rsidRPr="007D05CA">
        <w:rPr>
          <w:rFonts w:hint="eastAsia"/>
        </w:rPr>
        <w:t>年远景目标纲要</w:t>
      </w:r>
      <w:r w:rsidR="00F064DD">
        <w:rPr>
          <w:rFonts w:hint="eastAsia"/>
        </w:rPr>
        <w:t>》及世界银行</w:t>
      </w:r>
      <w:r w:rsidR="00F064DD">
        <w:rPr>
          <w:rFonts w:hint="eastAsia"/>
        </w:rPr>
        <w:t>CGE</w:t>
      </w:r>
      <w:r w:rsidR="00F064DD">
        <w:rPr>
          <w:rFonts w:hint="eastAsia"/>
        </w:rPr>
        <w:t>等国内外团队研究成果，整理得到表</w:t>
      </w:r>
      <w:r w:rsidR="00F064DD">
        <w:rPr>
          <w:rFonts w:hint="eastAsia"/>
        </w:rPr>
        <w:t>4-</w:t>
      </w:r>
      <w:r w:rsidR="00F064DD">
        <w:t>2</w:t>
      </w:r>
      <w:r w:rsidR="00F064DD">
        <w:rPr>
          <w:rFonts w:hint="eastAsia"/>
        </w:rPr>
        <w:t>。</w:t>
      </w:r>
    </w:p>
    <w:p w14:paraId="5132671D" w14:textId="022B93DC" w:rsidR="00E06120" w:rsidRPr="00AB1A75" w:rsidRDefault="00E06120" w:rsidP="00AB1A75">
      <w:pPr>
        <w:ind w:firstLineChars="0" w:firstLine="0"/>
        <w:jc w:val="center"/>
        <w:rPr>
          <w:rFonts w:eastAsia="黑体"/>
        </w:rPr>
      </w:pPr>
      <w:r w:rsidRPr="00AB1A75">
        <w:rPr>
          <w:rFonts w:eastAsia="黑体" w:hint="eastAsia"/>
        </w:rPr>
        <w:t>表</w:t>
      </w:r>
      <w:r w:rsidR="00CD32C3">
        <w:rPr>
          <w:rFonts w:eastAsia="黑体" w:hint="eastAsia"/>
        </w:rPr>
        <w:t>4</w:t>
      </w:r>
      <w:r w:rsidR="00CD32C3">
        <w:rPr>
          <w:rFonts w:eastAsia="黑体"/>
        </w:rPr>
        <w:t>-2</w:t>
      </w:r>
      <w:r w:rsidRPr="00AB1A75">
        <w:rPr>
          <w:rFonts w:eastAsia="黑体" w:hint="eastAsia"/>
        </w:rPr>
        <w:t xml:space="preserve"> </w:t>
      </w:r>
      <w:r w:rsidRPr="00AB1A75">
        <w:rPr>
          <w:rFonts w:eastAsia="黑体" w:hint="eastAsia"/>
        </w:rPr>
        <w:t>宏观参数变化趋势</w:t>
      </w:r>
    </w:p>
    <w:tbl>
      <w:tblPr>
        <w:tblW w:w="5000" w:type="pct"/>
        <w:tblLook w:val="04A0" w:firstRow="1" w:lastRow="0" w:firstColumn="1" w:lastColumn="0" w:noHBand="0" w:noVBand="1"/>
      </w:tblPr>
      <w:tblGrid>
        <w:gridCol w:w="1191"/>
        <w:gridCol w:w="658"/>
        <w:gridCol w:w="895"/>
        <w:gridCol w:w="895"/>
        <w:gridCol w:w="895"/>
        <w:gridCol w:w="895"/>
        <w:gridCol w:w="895"/>
        <w:gridCol w:w="986"/>
        <w:gridCol w:w="986"/>
      </w:tblGrid>
      <w:tr w:rsidR="00E06120" w:rsidRPr="00E06120" w14:paraId="61E1B7F0" w14:textId="77777777" w:rsidTr="00CD32C3">
        <w:trPr>
          <w:trHeight w:val="276"/>
        </w:trPr>
        <w:tc>
          <w:tcPr>
            <w:tcW w:w="76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7E474F" w14:textId="77777777" w:rsidR="00E06120" w:rsidRPr="00E06120" w:rsidRDefault="00E06120" w:rsidP="00E06120">
            <w:pPr>
              <w:widowControl/>
              <w:spacing w:line="240" w:lineRule="auto"/>
              <w:ind w:firstLineChars="0" w:firstLine="0"/>
              <w:jc w:val="left"/>
              <w:rPr>
                <w:rFonts w:eastAsia="楷体"/>
                <w:b/>
                <w:bCs/>
                <w:color w:val="000000"/>
                <w:kern w:val="0"/>
                <w:sz w:val="22"/>
              </w:rPr>
            </w:pPr>
            <w:r w:rsidRPr="00E06120">
              <w:rPr>
                <w:rFonts w:eastAsia="楷体"/>
                <w:b/>
                <w:bCs/>
                <w:color w:val="000000"/>
                <w:kern w:val="0"/>
                <w:sz w:val="22"/>
              </w:rPr>
              <w:t>宏观参数</w:t>
            </w:r>
          </w:p>
        </w:tc>
        <w:tc>
          <w:tcPr>
            <w:tcW w:w="348" w:type="pct"/>
            <w:tcBorders>
              <w:top w:val="single" w:sz="4" w:space="0" w:color="auto"/>
              <w:left w:val="nil"/>
              <w:bottom w:val="single" w:sz="4" w:space="0" w:color="auto"/>
              <w:right w:val="single" w:sz="4" w:space="0" w:color="auto"/>
            </w:tcBorders>
            <w:shd w:val="clear" w:color="auto" w:fill="auto"/>
            <w:noWrap/>
            <w:vAlign w:val="center"/>
            <w:hideMark/>
          </w:tcPr>
          <w:p w14:paraId="56825EB1" w14:textId="77777777" w:rsidR="00E06120" w:rsidRPr="00E06120" w:rsidRDefault="00E06120" w:rsidP="00E06120">
            <w:pPr>
              <w:widowControl/>
              <w:spacing w:line="240" w:lineRule="auto"/>
              <w:ind w:firstLineChars="0" w:firstLine="0"/>
              <w:jc w:val="left"/>
              <w:rPr>
                <w:rFonts w:eastAsia="楷体"/>
                <w:b/>
                <w:bCs/>
                <w:color w:val="000000"/>
                <w:kern w:val="0"/>
                <w:sz w:val="22"/>
              </w:rPr>
            </w:pPr>
            <w:r w:rsidRPr="00E06120">
              <w:rPr>
                <w:rFonts w:eastAsia="楷体"/>
                <w:b/>
                <w:bCs/>
                <w:color w:val="000000"/>
                <w:kern w:val="0"/>
                <w:sz w:val="22"/>
              </w:rPr>
              <w:t>单位</w:t>
            </w:r>
          </w:p>
        </w:tc>
        <w:tc>
          <w:tcPr>
            <w:tcW w:w="539" w:type="pct"/>
            <w:tcBorders>
              <w:top w:val="single" w:sz="4" w:space="0" w:color="auto"/>
              <w:left w:val="nil"/>
              <w:bottom w:val="single" w:sz="4" w:space="0" w:color="auto"/>
              <w:right w:val="single" w:sz="4" w:space="0" w:color="auto"/>
            </w:tcBorders>
            <w:shd w:val="clear" w:color="auto" w:fill="auto"/>
            <w:noWrap/>
            <w:vAlign w:val="center"/>
            <w:hideMark/>
          </w:tcPr>
          <w:p w14:paraId="62778098" w14:textId="77777777" w:rsidR="00E06120" w:rsidRPr="00E06120" w:rsidRDefault="00E06120" w:rsidP="00E06120">
            <w:pPr>
              <w:widowControl/>
              <w:spacing w:line="240" w:lineRule="auto"/>
              <w:ind w:firstLineChars="0" w:firstLine="0"/>
              <w:jc w:val="center"/>
              <w:rPr>
                <w:rFonts w:eastAsia="楷体"/>
                <w:b/>
                <w:bCs/>
                <w:color w:val="000000"/>
                <w:kern w:val="0"/>
                <w:sz w:val="22"/>
              </w:rPr>
            </w:pPr>
            <w:r w:rsidRPr="00E06120">
              <w:rPr>
                <w:rFonts w:eastAsia="楷体"/>
                <w:b/>
                <w:bCs/>
                <w:color w:val="000000"/>
                <w:kern w:val="0"/>
                <w:sz w:val="22"/>
              </w:rPr>
              <w:t>2020</w:t>
            </w:r>
          </w:p>
        </w:tc>
        <w:tc>
          <w:tcPr>
            <w:tcW w:w="539" w:type="pct"/>
            <w:tcBorders>
              <w:top w:val="single" w:sz="4" w:space="0" w:color="auto"/>
              <w:left w:val="nil"/>
              <w:bottom w:val="single" w:sz="4" w:space="0" w:color="auto"/>
              <w:right w:val="single" w:sz="4" w:space="0" w:color="auto"/>
            </w:tcBorders>
            <w:shd w:val="clear" w:color="auto" w:fill="auto"/>
            <w:noWrap/>
            <w:vAlign w:val="center"/>
            <w:hideMark/>
          </w:tcPr>
          <w:p w14:paraId="1D8D2E53" w14:textId="77777777" w:rsidR="00E06120" w:rsidRPr="00E06120" w:rsidRDefault="00E06120" w:rsidP="00E06120">
            <w:pPr>
              <w:widowControl/>
              <w:spacing w:line="240" w:lineRule="auto"/>
              <w:ind w:firstLineChars="0" w:firstLine="0"/>
              <w:jc w:val="center"/>
              <w:rPr>
                <w:rFonts w:eastAsia="楷体"/>
                <w:b/>
                <w:bCs/>
                <w:color w:val="000000"/>
                <w:kern w:val="0"/>
                <w:sz w:val="22"/>
              </w:rPr>
            </w:pPr>
            <w:r w:rsidRPr="00E06120">
              <w:rPr>
                <w:rFonts w:eastAsia="楷体"/>
                <w:b/>
                <w:bCs/>
                <w:color w:val="000000"/>
                <w:kern w:val="0"/>
                <w:sz w:val="22"/>
              </w:rPr>
              <w:t>2025</w:t>
            </w:r>
          </w:p>
        </w:tc>
        <w:tc>
          <w:tcPr>
            <w:tcW w:w="539" w:type="pct"/>
            <w:tcBorders>
              <w:top w:val="single" w:sz="4" w:space="0" w:color="auto"/>
              <w:left w:val="nil"/>
              <w:bottom w:val="single" w:sz="4" w:space="0" w:color="auto"/>
              <w:right w:val="single" w:sz="4" w:space="0" w:color="auto"/>
            </w:tcBorders>
            <w:shd w:val="clear" w:color="auto" w:fill="auto"/>
            <w:noWrap/>
            <w:vAlign w:val="center"/>
            <w:hideMark/>
          </w:tcPr>
          <w:p w14:paraId="4C36D73B" w14:textId="77777777" w:rsidR="00E06120" w:rsidRPr="00E06120" w:rsidRDefault="00E06120" w:rsidP="00E06120">
            <w:pPr>
              <w:widowControl/>
              <w:spacing w:line="240" w:lineRule="auto"/>
              <w:ind w:firstLineChars="0" w:firstLine="0"/>
              <w:jc w:val="center"/>
              <w:rPr>
                <w:rFonts w:eastAsia="楷体"/>
                <w:b/>
                <w:bCs/>
                <w:color w:val="000000"/>
                <w:kern w:val="0"/>
                <w:sz w:val="22"/>
              </w:rPr>
            </w:pPr>
            <w:r w:rsidRPr="00E06120">
              <w:rPr>
                <w:rFonts w:eastAsia="楷体"/>
                <w:b/>
                <w:bCs/>
                <w:color w:val="000000"/>
                <w:kern w:val="0"/>
                <w:sz w:val="22"/>
              </w:rPr>
              <w:t>2030</w:t>
            </w:r>
          </w:p>
        </w:tc>
        <w:tc>
          <w:tcPr>
            <w:tcW w:w="539" w:type="pct"/>
            <w:tcBorders>
              <w:top w:val="single" w:sz="4" w:space="0" w:color="auto"/>
              <w:left w:val="nil"/>
              <w:bottom w:val="single" w:sz="4" w:space="0" w:color="auto"/>
              <w:right w:val="single" w:sz="4" w:space="0" w:color="auto"/>
            </w:tcBorders>
            <w:shd w:val="clear" w:color="auto" w:fill="auto"/>
            <w:noWrap/>
            <w:vAlign w:val="center"/>
            <w:hideMark/>
          </w:tcPr>
          <w:p w14:paraId="6EEBCB4C" w14:textId="77777777" w:rsidR="00E06120" w:rsidRPr="00E06120" w:rsidRDefault="00E06120" w:rsidP="00E06120">
            <w:pPr>
              <w:widowControl/>
              <w:spacing w:line="240" w:lineRule="auto"/>
              <w:ind w:firstLineChars="0" w:firstLine="0"/>
              <w:jc w:val="center"/>
              <w:rPr>
                <w:rFonts w:eastAsia="楷体"/>
                <w:b/>
                <w:bCs/>
                <w:color w:val="000000"/>
                <w:kern w:val="0"/>
                <w:sz w:val="22"/>
              </w:rPr>
            </w:pPr>
            <w:r w:rsidRPr="00E06120">
              <w:rPr>
                <w:rFonts w:eastAsia="楷体"/>
                <w:b/>
                <w:bCs/>
                <w:color w:val="000000"/>
                <w:kern w:val="0"/>
                <w:sz w:val="22"/>
              </w:rPr>
              <w:t>2035</w:t>
            </w:r>
          </w:p>
        </w:tc>
        <w:tc>
          <w:tcPr>
            <w:tcW w:w="539" w:type="pct"/>
            <w:tcBorders>
              <w:top w:val="single" w:sz="4" w:space="0" w:color="auto"/>
              <w:left w:val="nil"/>
              <w:bottom w:val="single" w:sz="4" w:space="0" w:color="auto"/>
              <w:right w:val="single" w:sz="4" w:space="0" w:color="auto"/>
            </w:tcBorders>
            <w:shd w:val="clear" w:color="auto" w:fill="auto"/>
            <w:noWrap/>
            <w:vAlign w:val="center"/>
            <w:hideMark/>
          </w:tcPr>
          <w:p w14:paraId="66E30CC8" w14:textId="77777777" w:rsidR="00E06120" w:rsidRPr="00E06120" w:rsidRDefault="00E06120" w:rsidP="00E06120">
            <w:pPr>
              <w:widowControl/>
              <w:spacing w:line="240" w:lineRule="auto"/>
              <w:ind w:firstLineChars="0" w:firstLine="0"/>
              <w:jc w:val="center"/>
              <w:rPr>
                <w:rFonts w:eastAsia="楷体"/>
                <w:b/>
                <w:bCs/>
                <w:color w:val="000000"/>
                <w:kern w:val="0"/>
                <w:sz w:val="22"/>
              </w:rPr>
            </w:pPr>
            <w:r w:rsidRPr="00E06120">
              <w:rPr>
                <w:rFonts w:eastAsia="楷体"/>
                <w:b/>
                <w:bCs/>
                <w:color w:val="000000"/>
                <w:kern w:val="0"/>
                <w:sz w:val="22"/>
              </w:rPr>
              <w:t>2040</w:t>
            </w:r>
          </w:p>
        </w:tc>
        <w:tc>
          <w:tcPr>
            <w:tcW w:w="594" w:type="pct"/>
            <w:tcBorders>
              <w:top w:val="single" w:sz="4" w:space="0" w:color="auto"/>
              <w:left w:val="nil"/>
              <w:bottom w:val="single" w:sz="4" w:space="0" w:color="auto"/>
              <w:right w:val="single" w:sz="4" w:space="0" w:color="auto"/>
            </w:tcBorders>
            <w:shd w:val="clear" w:color="auto" w:fill="auto"/>
            <w:noWrap/>
            <w:vAlign w:val="center"/>
            <w:hideMark/>
          </w:tcPr>
          <w:p w14:paraId="2F6E3D55" w14:textId="77777777" w:rsidR="00E06120" w:rsidRPr="00E06120" w:rsidRDefault="00E06120" w:rsidP="00E06120">
            <w:pPr>
              <w:widowControl/>
              <w:spacing w:line="240" w:lineRule="auto"/>
              <w:ind w:firstLineChars="0" w:firstLine="0"/>
              <w:jc w:val="center"/>
              <w:rPr>
                <w:rFonts w:eastAsia="楷体"/>
                <w:b/>
                <w:bCs/>
                <w:color w:val="000000"/>
                <w:kern w:val="0"/>
                <w:sz w:val="22"/>
              </w:rPr>
            </w:pPr>
            <w:r w:rsidRPr="00E06120">
              <w:rPr>
                <w:rFonts w:eastAsia="楷体"/>
                <w:b/>
                <w:bCs/>
                <w:color w:val="000000"/>
                <w:kern w:val="0"/>
                <w:sz w:val="22"/>
              </w:rPr>
              <w:t>2050</w:t>
            </w:r>
          </w:p>
        </w:tc>
        <w:tc>
          <w:tcPr>
            <w:tcW w:w="594" w:type="pct"/>
            <w:tcBorders>
              <w:top w:val="single" w:sz="4" w:space="0" w:color="auto"/>
              <w:left w:val="nil"/>
              <w:bottom w:val="single" w:sz="4" w:space="0" w:color="auto"/>
              <w:right w:val="single" w:sz="4" w:space="0" w:color="auto"/>
            </w:tcBorders>
            <w:shd w:val="clear" w:color="auto" w:fill="auto"/>
            <w:noWrap/>
            <w:vAlign w:val="center"/>
            <w:hideMark/>
          </w:tcPr>
          <w:p w14:paraId="3333B634" w14:textId="77777777" w:rsidR="00E06120" w:rsidRPr="00E06120" w:rsidRDefault="00E06120" w:rsidP="00E06120">
            <w:pPr>
              <w:widowControl/>
              <w:spacing w:line="240" w:lineRule="auto"/>
              <w:ind w:firstLineChars="0" w:firstLine="0"/>
              <w:jc w:val="center"/>
              <w:rPr>
                <w:rFonts w:eastAsia="楷体"/>
                <w:b/>
                <w:bCs/>
                <w:color w:val="000000"/>
                <w:kern w:val="0"/>
                <w:sz w:val="22"/>
              </w:rPr>
            </w:pPr>
            <w:r w:rsidRPr="00E06120">
              <w:rPr>
                <w:rFonts w:eastAsia="楷体"/>
                <w:b/>
                <w:bCs/>
                <w:color w:val="000000"/>
                <w:kern w:val="0"/>
                <w:sz w:val="22"/>
              </w:rPr>
              <w:t>2060</w:t>
            </w:r>
          </w:p>
        </w:tc>
      </w:tr>
      <w:tr w:rsidR="00E06120" w:rsidRPr="00E06120" w14:paraId="0D3999A8" w14:textId="77777777" w:rsidTr="00CD32C3">
        <w:trPr>
          <w:trHeight w:val="288"/>
        </w:trPr>
        <w:tc>
          <w:tcPr>
            <w:tcW w:w="766" w:type="pct"/>
            <w:tcBorders>
              <w:top w:val="nil"/>
              <w:left w:val="single" w:sz="4" w:space="0" w:color="auto"/>
              <w:bottom w:val="single" w:sz="4" w:space="0" w:color="auto"/>
              <w:right w:val="single" w:sz="4" w:space="0" w:color="auto"/>
            </w:tcBorders>
            <w:shd w:val="clear" w:color="auto" w:fill="auto"/>
            <w:vAlign w:val="bottom"/>
            <w:hideMark/>
          </w:tcPr>
          <w:p w14:paraId="2B5A643B" w14:textId="77777777" w:rsidR="00E06120" w:rsidRPr="00E06120" w:rsidRDefault="00E06120" w:rsidP="00E06120">
            <w:pPr>
              <w:widowControl/>
              <w:spacing w:line="240" w:lineRule="auto"/>
              <w:ind w:firstLineChars="0" w:firstLine="0"/>
              <w:jc w:val="left"/>
              <w:rPr>
                <w:rFonts w:eastAsia="楷体"/>
                <w:color w:val="000000"/>
                <w:kern w:val="0"/>
                <w:sz w:val="22"/>
              </w:rPr>
            </w:pPr>
            <w:r w:rsidRPr="00E06120">
              <w:rPr>
                <w:rFonts w:eastAsia="楷体"/>
                <w:color w:val="000000"/>
                <w:kern w:val="0"/>
                <w:sz w:val="22"/>
              </w:rPr>
              <w:t>GDP</w:t>
            </w:r>
            <w:r w:rsidRPr="00E06120">
              <w:rPr>
                <w:rFonts w:eastAsia="楷体"/>
                <w:color w:val="000000"/>
                <w:kern w:val="0"/>
                <w:sz w:val="22"/>
              </w:rPr>
              <w:t>增速</w:t>
            </w:r>
          </w:p>
        </w:tc>
        <w:tc>
          <w:tcPr>
            <w:tcW w:w="348" w:type="pct"/>
            <w:tcBorders>
              <w:top w:val="nil"/>
              <w:left w:val="nil"/>
              <w:bottom w:val="single" w:sz="4" w:space="0" w:color="auto"/>
              <w:right w:val="single" w:sz="4" w:space="0" w:color="auto"/>
            </w:tcBorders>
            <w:shd w:val="clear" w:color="auto" w:fill="auto"/>
            <w:noWrap/>
            <w:vAlign w:val="center"/>
            <w:hideMark/>
          </w:tcPr>
          <w:p w14:paraId="45C3F071" w14:textId="77777777" w:rsidR="00E06120" w:rsidRPr="00E06120" w:rsidRDefault="00E06120" w:rsidP="00E06120">
            <w:pPr>
              <w:widowControl/>
              <w:spacing w:line="240" w:lineRule="auto"/>
              <w:ind w:firstLineChars="0" w:firstLine="0"/>
              <w:jc w:val="center"/>
              <w:rPr>
                <w:rFonts w:eastAsia="楷体"/>
                <w:color w:val="000000"/>
                <w:kern w:val="0"/>
                <w:sz w:val="22"/>
              </w:rPr>
            </w:pPr>
            <w:r w:rsidRPr="00E06120">
              <w:rPr>
                <w:rFonts w:eastAsia="楷体"/>
                <w:color w:val="000000"/>
                <w:kern w:val="0"/>
                <w:sz w:val="22"/>
              </w:rPr>
              <w:t>%</w:t>
            </w:r>
          </w:p>
        </w:tc>
        <w:tc>
          <w:tcPr>
            <w:tcW w:w="539" w:type="pct"/>
            <w:tcBorders>
              <w:top w:val="nil"/>
              <w:left w:val="nil"/>
              <w:bottom w:val="single" w:sz="4" w:space="0" w:color="auto"/>
              <w:right w:val="single" w:sz="4" w:space="0" w:color="auto"/>
            </w:tcBorders>
            <w:shd w:val="clear" w:color="auto" w:fill="auto"/>
            <w:noWrap/>
            <w:vAlign w:val="center"/>
            <w:hideMark/>
          </w:tcPr>
          <w:p w14:paraId="08EC040F"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2.30%</w:t>
            </w:r>
          </w:p>
        </w:tc>
        <w:tc>
          <w:tcPr>
            <w:tcW w:w="539" w:type="pct"/>
            <w:tcBorders>
              <w:top w:val="nil"/>
              <w:left w:val="nil"/>
              <w:bottom w:val="single" w:sz="4" w:space="0" w:color="auto"/>
              <w:right w:val="single" w:sz="4" w:space="0" w:color="auto"/>
            </w:tcBorders>
            <w:shd w:val="clear" w:color="auto" w:fill="auto"/>
            <w:noWrap/>
            <w:vAlign w:val="center"/>
            <w:hideMark/>
          </w:tcPr>
          <w:p w14:paraId="6164613B"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5.2%</w:t>
            </w:r>
          </w:p>
        </w:tc>
        <w:tc>
          <w:tcPr>
            <w:tcW w:w="539" w:type="pct"/>
            <w:tcBorders>
              <w:top w:val="nil"/>
              <w:left w:val="nil"/>
              <w:bottom w:val="single" w:sz="4" w:space="0" w:color="auto"/>
              <w:right w:val="single" w:sz="4" w:space="0" w:color="auto"/>
            </w:tcBorders>
            <w:shd w:val="clear" w:color="auto" w:fill="auto"/>
            <w:noWrap/>
            <w:vAlign w:val="center"/>
            <w:hideMark/>
          </w:tcPr>
          <w:p w14:paraId="62F2ED99"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4.4%</w:t>
            </w:r>
          </w:p>
        </w:tc>
        <w:tc>
          <w:tcPr>
            <w:tcW w:w="539" w:type="pct"/>
            <w:tcBorders>
              <w:top w:val="nil"/>
              <w:left w:val="nil"/>
              <w:bottom w:val="single" w:sz="4" w:space="0" w:color="auto"/>
              <w:right w:val="single" w:sz="4" w:space="0" w:color="auto"/>
            </w:tcBorders>
            <w:shd w:val="clear" w:color="auto" w:fill="auto"/>
            <w:noWrap/>
            <w:vAlign w:val="center"/>
            <w:hideMark/>
          </w:tcPr>
          <w:p w14:paraId="1C91E645"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3.8%</w:t>
            </w:r>
          </w:p>
        </w:tc>
        <w:tc>
          <w:tcPr>
            <w:tcW w:w="539" w:type="pct"/>
            <w:tcBorders>
              <w:top w:val="nil"/>
              <w:left w:val="nil"/>
              <w:bottom w:val="single" w:sz="4" w:space="0" w:color="auto"/>
              <w:right w:val="single" w:sz="4" w:space="0" w:color="auto"/>
            </w:tcBorders>
            <w:shd w:val="clear" w:color="auto" w:fill="auto"/>
            <w:noWrap/>
            <w:vAlign w:val="center"/>
            <w:hideMark/>
          </w:tcPr>
          <w:p w14:paraId="243B96D2"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3.4%</w:t>
            </w:r>
          </w:p>
        </w:tc>
        <w:tc>
          <w:tcPr>
            <w:tcW w:w="594" w:type="pct"/>
            <w:tcBorders>
              <w:top w:val="nil"/>
              <w:left w:val="nil"/>
              <w:bottom w:val="single" w:sz="4" w:space="0" w:color="auto"/>
              <w:right w:val="single" w:sz="4" w:space="0" w:color="auto"/>
            </w:tcBorders>
            <w:shd w:val="clear" w:color="auto" w:fill="auto"/>
            <w:noWrap/>
            <w:vAlign w:val="center"/>
            <w:hideMark/>
          </w:tcPr>
          <w:p w14:paraId="1D15C125"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2.5%</w:t>
            </w:r>
          </w:p>
        </w:tc>
        <w:tc>
          <w:tcPr>
            <w:tcW w:w="594" w:type="pct"/>
            <w:tcBorders>
              <w:top w:val="nil"/>
              <w:left w:val="nil"/>
              <w:bottom w:val="single" w:sz="4" w:space="0" w:color="auto"/>
              <w:right w:val="single" w:sz="4" w:space="0" w:color="auto"/>
            </w:tcBorders>
            <w:shd w:val="clear" w:color="auto" w:fill="auto"/>
            <w:noWrap/>
            <w:vAlign w:val="center"/>
            <w:hideMark/>
          </w:tcPr>
          <w:p w14:paraId="669F6D86"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1.9%</w:t>
            </w:r>
          </w:p>
        </w:tc>
      </w:tr>
      <w:tr w:rsidR="00E06120" w:rsidRPr="00E06120" w14:paraId="281CA5C2" w14:textId="77777777" w:rsidTr="00CD32C3">
        <w:trPr>
          <w:trHeight w:val="288"/>
        </w:trPr>
        <w:tc>
          <w:tcPr>
            <w:tcW w:w="766" w:type="pct"/>
            <w:tcBorders>
              <w:top w:val="nil"/>
              <w:left w:val="single" w:sz="4" w:space="0" w:color="auto"/>
              <w:bottom w:val="single" w:sz="4" w:space="0" w:color="auto"/>
              <w:right w:val="single" w:sz="4" w:space="0" w:color="auto"/>
            </w:tcBorders>
            <w:shd w:val="clear" w:color="auto" w:fill="auto"/>
            <w:vAlign w:val="bottom"/>
            <w:hideMark/>
          </w:tcPr>
          <w:p w14:paraId="75C86BB0" w14:textId="77777777" w:rsidR="00E06120" w:rsidRPr="00E06120" w:rsidRDefault="00E06120" w:rsidP="00E06120">
            <w:pPr>
              <w:widowControl/>
              <w:spacing w:line="240" w:lineRule="auto"/>
              <w:ind w:firstLineChars="0" w:firstLine="0"/>
              <w:jc w:val="left"/>
              <w:rPr>
                <w:rFonts w:eastAsia="楷体"/>
                <w:color w:val="000000"/>
                <w:kern w:val="0"/>
                <w:sz w:val="22"/>
              </w:rPr>
            </w:pPr>
            <w:r w:rsidRPr="00E06120">
              <w:rPr>
                <w:rFonts w:eastAsia="楷体"/>
                <w:color w:val="000000"/>
                <w:kern w:val="0"/>
                <w:sz w:val="22"/>
              </w:rPr>
              <w:t>人均</w:t>
            </w:r>
            <w:r w:rsidRPr="00E06120">
              <w:rPr>
                <w:rFonts w:eastAsia="楷体"/>
                <w:color w:val="000000"/>
                <w:kern w:val="0"/>
                <w:sz w:val="22"/>
              </w:rPr>
              <w:t>GDP</w:t>
            </w:r>
          </w:p>
        </w:tc>
        <w:tc>
          <w:tcPr>
            <w:tcW w:w="348" w:type="pct"/>
            <w:tcBorders>
              <w:top w:val="nil"/>
              <w:left w:val="nil"/>
              <w:bottom w:val="single" w:sz="4" w:space="0" w:color="auto"/>
              <w:right w:val="single" w:sz="4" w:space="0" w:color="auto"/>
            </w:tcBorders>
            <w:shd w:val="clear" w:color="auto" w:fill="auto"/>
            <w:noWrap/>
            <w:vAlign w:val="center"/>
            <w:hideMark/>
          </w:tcPr>
          <w:p w14:paraId="24D83ED8" w14:textId="77777777" w:rsidR="00E06120" w:rsidRPr="00E06120" w:rsidRDefault="00E06120" w:rsidP="00E06120">
            <w:pPr>
              <w:widowControl/>
              <w:spacing w:line="240" w:lineRule="auto"/>
              <w:ind w:firstLineChars="0" w:firstLine="0"/>
              <w:jc w:val="center"/>
              <w:rPr>
                <w:rFonts w:eastAsia="楷体"/>
                <w:color w:val="000000"/>
                <w:kern w:val="0"/>
                <w:sz w:val="22"/>
              </w:rPr>
            </w:pPr>
            <w:r w:rsidRPr="00E06120">
              <w:rPr>
                <w:rFonts w:eastAsia="楷体"/>
                <w:color w:val="000000"/>
                <w:kern w:val="0"/>
                <w:sz w:val="22"/>
              </w:rPr>
              <w:t>元</w:t>
            </w:r>
          </w:p>
        </w:tc>
        <w:tc>
          <w:tcPr>
            <w:tcW w:w="539" w:type="pct"/>
            <w:tcBorders>
              <w:top w:val="nil"/>
              <w:left w:val="nil"/>
              <w:bottom w:val="single" w:sz="4" w:space="0" w:color="auto"/>
              <w:right w:val="single" w:sz="4" w:space="0" w:color="auto"/>
            </w:tcBorders>
            <w:shd w:val="clear" w:color="auto" w:fill="auto"/>
            <w:noWrap/>
            <w:vAlign w:val="center"/>
            <w:hideMark/>
          </w:tcPr>
          <w:p w14:paraId="16EF9A58" w14:textId="36B9D67C"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72</w:t>
            </w:r>
            <w:r w:rsidR="00495167" w:rsidRPr="00495167">
              <w:rPr>
                <w:rFonts w:eastAsia="楷体"/>
                <w:color w:val="000000"/>
                <w:kern w:val="0"/>
                <w:sz w:val="22"/>
              </w:rPr>
              <w:t>447</w:t>
            </w:r>
            <w:r w:rsidRPr="00A7330C">
              <w:rPr>
                <w:rFonts w:eastAsia="楷体"/>
                <w:color w:val="000000"/>
                <w:kern w:val="0"/>
                <w:sz w:val="22"/>
              </w:rPr>
              <w:t xml:space="preserve"> </w:t>
            </w:r>
          </w:p>
        </w:tc>
        <w:tc>
          <w:tcPr>
            <w:tcW w:w="539" w:type="pct"/>
            <w:tcBorders>
              <w:top w:val="nil"/>
              <w:left w:val="nil"/>
              <w:bottom w:val="single" w:sz="4" w:space="0" w:color="auto"/>
              <w:right w:val="single" w:sz="4" w:space="0" w:color="auto"/>
            </w:tcBorders>
            <w:shd w:val="clear" w:color="auto" w:fill="auto"/>
            <w:noWrap/>
            <w:vAlign w:val="center"/>
            <w:hideMark/>
          </w:tcPr>
          <w:p w14:paraId="0100EC74"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 xml:space="preserve">89725 </w:t>
            </w:r>
          </w:p>
        </w:tc>
        <w:tc>
          <w:tcPr>
            <w:tcW w:w="539" w:type="pct"/>
            <w:tcBorders>
              <w:top w:val="nil"/>
              <w:left w:val="nil"/>
              <w:bottom w:val="single" w:sz="4" w:space="0" w:color="auto"/>
              <w:right w:val="single" w:sz="4" w:space="0" w:color="auto"/>
            </w:tcBorders>
            <w:shd w:val="clear" w:color="auto" w:fill="auto"/>
            <w:noWrap/>
            <w:vAlign w:val="center"/>
            <w:hideMark/>
          </w:tcPr>
          <w:p w14:paraId="1B7BC063"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 xml:space="preserve">109164 </w:t>
            </w:r>
          </w:p>
        </w:tc>
        <w:tc>
          <w:tcPr>
            <w:tcW w:w="539" w:type="pct"/>
            <w:tcBorders>
              <w:top w:val="nil"/>
              <w:left w:val="nil"/>
              <w:bottom w:val="single" w:sz="4" w:space="0" w:color="auto"/>
              <w:right w:val="single" w:sz="4" w:space="0" w:color="auto"/>
            </w:tcBorders>
            <w:shd w:val="clear" w:color="auto" w:fill="auto"/>
            <w:noWrap/>
            <w:vAlign w:val="center"/>
            <w:hideMark/>
          </w:tcPr>
          <w:p w14:paraId="759049D0"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 xml:space="preserve">129653 </w:t>
            </w:r>
          </w:p>
        </w:tc>
        <w:tc>
          <w:tcPr>
            <w:tcW w:w="539" w:type="pct"/>
            <w:tcBorders>
              <w:top w:val="nil"/>
              <w:left w:val="nil"/>
              <w:bottom w:val="single" w:sz="4" w:space="0" w:color="auto"/>
              <w:right w:val="single" w:sz="4" w:space="0" w:color="auto"/>
            </w:tcBorders>
            <w:shd w:val="clear" w:color="auto" w:fill="auto"/>
            <w:noWrap/>
            <w:vAlign w:val="center"/>
            <w:hideMark/>
          </w:tcPr>
          <w:p w14:paraId="3B6CB094"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 xml:space="preserve">150303 </w:t>
            </w:r>
          </w:p>
        </w:tc>
        <w:tc>
          <w:tcPr>
            <w:tcW w:w="594" w:type="pct"/>
            <w:tcBorders>
              <w:top w:val="nil"/>
              <w:left w:val="nil"/>
              <w:bottom w:val="single" w:sz="4" w:space="0" w:color="auto"/>
              <w:right w:val="single" w:sz="4" w:space="0" w:color="auto"/>
            </w:tcBorders>
            <w:shd w:val="clear" w:color="auto" w:fill="auto"/>
            <w:noWrap/>
            <w:vAlign w:val="center"/>
            <w:hideMark/>
          </w:tcPr>
          <w:p w14:paraId="53BEF14F"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 xml:space="preserve">183219 </w:t>
            </w:r>
          </w:p>
        </w:tc>
        <w:tc>
          <w:tcPr>
            <w:tcW w:w="594" w:type="pct"/>
            <w:tcBorders>
              <w:top w:val="nil"/>
              <w:left w:val="nil"/>
              <w:bottom w:val="single" w:sz="4" w:space="0" w:color="auto"/>
              <w:right w:val="single" w:sz="4" w:space="0" w:color="auto"/>
            </w:tcBorders>
            <w:shd w:val="clear" w:color="auto" w:fill="auto"/>
            <w:noWrap/>
            <w:vAlign w:val="center"/>
            <w:hideMark/>
          </w:tcPr>
          <w:p w14:paraId="5F3C51D8"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 xml:space="preserve">212633 </w:t>
            </w:r>
          </w:p>
        </w:tc>
      </w:tr>
      <w:tr w:rsidR="00E06120" w:rsidRPr="00E06120" w14:paraId="528D985A" w14:textId="77777777" w:rsidTr="00CD32C3">
        <w:trPr>
          <w:trHeight w:val="288"/>
        </w:trPr>
        <w:tc>
          <w:tcPr>
            <w:tcW w:w="766" w:type="pct"/>
            <w:tcBorders>
              <w:top w:val="nil"/>
              <w:left w:val="single" w:sz="4" w:space="0" w:color="auto"/>
              <w:bottom w:val="single" w:sz="4" w:space="0" w:color="auto"/>
              <w:right w:val="single" w:sz="4" w:space="0" w:color="auto"/>
            </w:tcBorders>
            <w:shd w:val="clear" w:color="auto" w:fill="auto"/>
            <w:vAlign w:val="bottom"/>
            <w:hideMark/>
          </w:tcPr>
          <w:p w14:paraId="6E0FD898" w14:textId="77777777" w:rsidR="00E06120" w:rsidRPr="00E06120" w:rsidRDefault="00E06120" w:rsidP="00E06120">
            <w:pPr>
              <w:widowControl/>
              <w:spacing w:line="240" w:lineRule="auto"/>
              <w:ind w:firstLineChars="0" w:firstLine="0"/>
              <w:jc w:val="left"/>
              <w:rPr>
                <w:rFonts w:eastAsia="楷体"/>
                <w:color w:val="000000"/>
                <w:kern w:val="0"/>
                <w:sz w:val="22"/>
              </w:rPr>
            </w:pPr>
            <w:r w:rsidRPr="00E06120">
              <w:rPr>
                <w:rFonts w:eastAsia="楷体"/>
                <w:color w:val="000000"/>
                <w:kern w:val="0"/>
                <w:sz w:val="22"/>
              </w:rPr>
              <w:t>城镇化率</w:t>
            </w:r>
          </w:p>
        </w:tc>
        <w:tc>
          <w:tcPr>
            <w:tcW w:w="348" w:type="pct"/>
            <w:tcBorders>
              <w:top w:val="nil"/>
              <w:left w:val="nil"/>
              <w:bottom w:val="single" w:sz="4" w:space="0" w:color="auto"/>
              <w:right w:val="single" w:sz="4" w:space="0" w:color="auto"/>
            </w:tcBorders>
            <w:shd w:val="clear" w:color="auto" w:fill="auto"/>
            <w:noWrap/>
            <w:vAlign w:val="center"/>
            <w:hideMark/>
          </w:tcPr>
          <w:p w14:paraId="70F5263E" w14:textId="77777777" w:rsidR="00E06120" w:rsidRPr="00E06120" w:rsidRDefault="00E06120" w:rsidP="00E06120">
            <w:pPr>
              <w:widowControl/>
              <w:spacing w:line="240" w:lineRule="auto"/>
              <w:ind w:firstLineChars="0" w:firstLine="0"/>
              <w:jc w:val="center"/>
              <w:rPr>
                <w:rFonts w:eastAsia="楷体"/>
                <w:color w:val="000000"/>
                <w:kern w:val="0"/>
                <w:sz w:val="22"/>
              </w:rPr>
            </w:pPr>
            <w:r w:rsidRPr="00E06120">
              <w:rPr>
                <w:rFonts w:eastAsia="楷体"/>
                <w:color w:val="000000"/>
                <w:kern w:val="0"/>
                <w:sz w:val="22"/>
              </w:rPr>
              <w:t>%</w:t>
            </w:r>
          </w:p>
        </w:tc>
        <w:tc>
          <w:tcPr>
            <w:tcW w:w="539" w:type="pct"/>
            <w:tcBorders>
              <w:top w:val="nil"/>
              <w:left w:val="nil"/>
              <w:bottom w:val="single" w:sz="4" w:space="0" w:color="auto"/>
              <w:right w:val="single" w:sz="4" w:space="0" w:color="auto"/>
            </w:tcBorders>
            <w:shd w:val="clear" w:color="auto" w:fill="auto"/>
            <w:noWrap/>
            <w:vAlign w:val="center"/>
            <w:hideMark/>
          </w:tcPr>
          <w:p w14:paraId="07C90F70"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63.89%</w:t>
            </w:r>
          </w:p>
        </w:tc>
        <w:tc>
          <w:tcPr>
            <w:tcW w:w="539" w:type="pct"/>
            <w:tcBorders>
              <w:top w:val="nil"/>
              <w:left w:val="nil"/>
              <w:bottom w:val="single" w:sz="4" w:space="0" w:color="auto"/>
              <w:right w:val="single" w:sz="4" w:space="0" w:color="auto"/>
            </w:tcBorders>
            <w:shd w:val="clear" w:color="auto" w:fill="auto"/>
            <w:noWrap/>
            <w:vAlign w:val="center"/>
            <w:hideMark/>
          </w:tcPr>
          <w:p w14:paraId="4761F95A"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64.30%</w:t>
            </w:r>
          </w:p>
        </w:tc>
        <w:tc>
          <w:tcPr>
            <w:tcW w:w="539" w:type="pct"/>
            <w:tcBorders>
              <w:top w:val="nil"/>
              <w:left w:val="nil"/>
              <w:bottom w:val="single" w:sz="4" w:space="0" w:color="auto"/>
              <w:right w:val="single" w:sz="4" w:space="0" w:color="auto"/>
            </w:tcBorders>
            <w:shd w:val="clear" w:color="auto" w:fill="auto"/>
            <w:noWrap/>
            <w:vAlign w:val="center"/>
            <w:hideMark/>
          </w:tcPr>
          <w:p w14:paraId="14A7DE58"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68.70%</w:t>
            </w:r>
          </w:p>
        </w:tc>
        <w:tc>
          <w:tcPr>
            <w:tcW w:w="539" w:type="pct"/>
            <w:tcBorders>
              <w:top w:val="nil"/>
              <w:left w:val="nil"/>
              <w:bottom w:val="single" w:sz="4" w:space="0" w:color="auto"/>
              <w:right w:val="single" w:sz="4" w:space="0" w:color="auto"/>
            </w:tcBorders>
            <w:shd w:val="clear" w:color="auto" w:fill="auto"/>
            <w:noWrap/>
            <w:vAlign w:val="center"/>
            <w:hideMark/>
          </w:tcPr>
          <w:p w14:paraId="070997FC"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72%</w:t>
            </w:r>
          </w:p>
        </w:tc>
        <w:tc>
          <w:tcPr>
            <w:tcW w:w="539" w:type="pct"/>
            <w:tcBorders>
              <w:top w:val="nil"/>
              <w:left w:val="nil"/>
              <w:bottom w:val="single" w:sz="4" w:space="0" w:color="auto"/>
              <w:right w:val="single" w:sz="4" w:space="0" w:color="auto"/>
            </w:tcBorders>
            <w:shd w:val="clear" w:color="auto" w:fill="auto"/>
            <w:noWrap/>
            <w:vAlign w:val="center"/>
            <w:hideMark/>
          </w:tcPr>
          <w:p w14:paraId="16185300" w14:textId="676A096C"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7</w:t>
            </w:r>
            <w:r w:rsidR="00A7330C">
              <w:rPr>
                <w:rFonts w:eastAsia="楷体"/>
                <w:color w:val="000000"/>
                <w:kern w:val="0"/>
                <w:sz w:val="22"/>
              </w:rPr>
              <w:t>5</w:t>
            </w:r>
            <w:r w:rsidRPr="00A7330C">
              <w:rPr>
                <w:rFonts w:eastAsia="楷体"/>
                <w:color w:val="000000"/>
                <w:kern w:val="0"/>
                <w:sz w:val="22"/>
              </w:rPr>
              <w:t>%</w:t>
            </w:r>
          </w:p>
        </w:tc>
        <w:tc>
          <w:tcPr>
            <w:tcW w:w="594" w:type="pct"/>
            <w:tcBorders>
              <w:top w:val="nil"/>
              <w:left w:val="nil"/>
              <w:bottom w:val="single" w:sz="4" w:space="0" w:color="auto"/>
              <w:right w:val="single" w:sz="4" w:space="0" w:color="auto"/>
            </w:tcBorders>
            <w:shd w:val="clear" w:color="auto" w:fill="auto"/>
            <w:noWrap/>
            <w:vAlign w:val="center"/>
            <w:hideMark/>
          </w:tcPr>
          <w:p w14:paraId="3E34E02C" w14:textId="79309A08"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7</w:t>
            </w:r>
            <w:r w:rsidR="00A7330C">
              <w:rPr>
                <w:rFonts w:eastAsia="楷体"/>
                <w:color w:val="000000"/>
                <w:kern w:val="0"/>
                <w:sz w:val="22"/>
              </w:rPr>
              <w:t>7</w:t>
            </w:r>
            <w:r w:rsidRPr="00A7330C">
              <w:rPr>
                <w:rFonts w:eastAsia="楷体"/>
                <w:color w:val="000000"/>
                <w:kern w:val="0"/>
                <w:sz w:val="22"/>
              </w:rPr>
              <w:t>%</w:t>
            </w:r>
          </w:p>
        </w:tc>
        <w:tc>
          <w:tcPr>
            <w:tcW w:w="594" w:type="pct"/>
            <w:tcBorders>
              <w:top w:val="nil"/>
              <w:left w:val="nil"/>
              <w:bottom w:val="single" w:sz="4" w:space="0" w:color="auto"/>
              <w:right w:val="single" w:sz="4" w:space="0" w:color="auto"/>
            </w:tcBorders>
            <w:shd w:val="clear" w:color="auto" w:fill="auto"/>
            <w:noWrap/>
            <w:vAlign w:val="center"/>
            <w:hideMark/>
          </w:tcPr>
          <w:p w14:paraId="0D88C22B" w14:textId="7983F678"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7</w:t>
            </w:r>
            <w:r w:rsidR="00A7330C">
              <w:rPr>
                <w:rFonts w:eastAsia="楷体"/>
                <w:color w:val="000000"/>
                <w:kern w:val="0"/>
                <w:sz w:val="22"/>
              </w:rPr>
              <w:t>9</w:t>
            </w:r>
            <w:r w:rsidRPr="00A7330C">
              <w:rPr>
                <w:rFonts w:eastAsia="楷体"/>
                <w:color w:val="000000"/>
                <w:kern w:val="0"/>
                <w:sz w:val="22"/>
              </w:rPr>
              <w:t>%</w:t>
            </w:r>
          </w:p>
        </w:tc>
      </w:tr>
      <w:tr w:rsidR="00E06120" w:rsidRPr="00E06120" w14:paraId="348BDC69" w14:textId="77777777" w:rsidTr="00CD32C3">
        <w:trPr>
          <w:trHeight w:val="288"/>
        </w:trPr>
        <w:tc>
          <w:tcPr>
            <w:tcW w:w="766" w:type="pct"/>
            <w:tcBorders>
              <w:top w:val="nil"/>
              <w:left w:val="single" w:sz="4" w:space="0" w:color="auto"/>
              <w:bottom w:val="single" w:sz="4" w:space="0" w:color="auto"/>
              <w:right w:val="single" w:sz="4" w:space="0" w:color="auto"/>
            </w:tcBorders>
            <w:shd w:val="clear" w:color="auto" w:fill="auto"/>
            <w:vAlign w:val="bottom"/>
            <w:hideMark/>
          </w:tcPr>
          <w:p w14:paraId="1D1A9F65" w14:textId="77777777" w:rsidR="00E06120" w:rsidRPr="00E06120" w:rsidRDefault="00E06120" w:rsidP="00E06120">
            <w:pPr>
              <w:widowControl/>
              <w:spacing w:line="240" w:lineRule="auto"/>
              <w:ind w:firstLineChars="0" w:firstLine="0"/>
              <w:jc w:val="left"/>
              <w:rPr>
                <w:rFonts w:eastAsia="楷体"/>
                <w:color w:val="000000"/>
                <w:kern w:val="0"/>
                <w:sz w:val="22"/>
              </w:rPr>
            </w:pPr>
            <w:r w:rsidRPr="00E06120">
              <w:rPr>
                <w:rFonts w:eastAsia="楷体"/>
                <w:color w:val="000000"/>
                <w:kern w:val="0"/>
                <w:sz w:val="22"/>
              </w:rPr>
              <w:t>第二产业占比</w:t>
            </w:r>
          </w:p>
        </w:tc>
        <w:tc>
          <w:tcPr>
            <w:tcW w:w="348" w:type="pct"/>
            <w:tcBorders>
              <w:top w:val="nil"/>
              <w:left w:val="nil"/>
              <w:bottom w:val="single" w:sz="4" w:space="0" w:color="auto"/>
              <w:right w:val="single" w:sz="4" w:space="0" w:color="auto"/>
            </w:tcBorders>
            <w:shd w:val="clear" w:color="auto" w:fill="auto"/>
            <w:noWrap/>
            <w:vAlign w:val="center"/>
            <w:hideMark/>
          </w:tcPr>
          <w:p w14:paraId="2161B258" w14:textId="77777777" w:rsidR="00E06120" w:rsidRPr="00E06120" w:rsidRDefault="00E06120" w:rsidP="00E06120">
            <w:pPr>
              <w:widowControl/>
              <w:spacing w:line="240" w:lineRule="auto"/>
              <w:ind w:firstLineChars="0" w:firstLine="0"/>
              <w:jc w:val="center"/>
              <w:rPr>
                <w:rFonts w:eastAsia="楷体"/>
                <w:color w:val="000000"/>
                <w:kern w:val="0"/>
                <w:sz w:val="22"/>
              </w:rPr>
            </w:pPr>
            <w:r w:rsidRPr="00E06120">
              <w:rPr>
                <w:rFonts w:eastAsia="楷体"/>
                <w:color w:val="000000"/>
                <w:kern w:val="0"/>
                <w:sz w:val="22"/>
              </w:rPr>
              <w:t>%</w:t>
            </w:r>
          </w:p>
        </w:tc>
        <w:tc>
          <w:tcPr>
            <w:tcW w:w="539" w:type="pct"/>
            <w:tcBorders>
              <w:top w:val="nil"/>
              <w:left w:val="nil"/>
              <w:bottom w:val="single" w:sz="4" w:space="0" w:color="auto"/>
              <w:right w:val="single" w:sz="4" w:space="0" w:color="auto"/>
            </w:tcBorders>
            <w:shd w:val="clear" w:color="auto" w:fill="auto"/>
            <w:noWrap/>
            <w:vAlign w:val="center"/>
            <w:hideMark/>
          </w:tcPr>
          <w:p w14:paraId="3C03ACD7"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37.80%</w:t>
            </w:r>
          </w:p>
        </w:tc>
        <w:tc>
          <w:tcPr>
            <w:tcW w:w="539" w:type="pct"/>
            <w:tcBorders>
              <w:top w:val="nil"/>
              <w:left w:val="nil"/>
              <w:bottom w:val="single" w:sz="4" w:space="0" w:color="auto"/>
              <w:right w:val="single" w:sz="4" w:space="0" w:color="auto"/>
            </w:tcBorders>
            <w:shd w:val="clear" w:color="auto" w:fill="auto"/>
            <w:noWrap/>
            <w:vAlign w:val="center"/>
            <w:hideMark/>
          </w:tcPr>
          <w:p w14:paraId="740A89E5"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37.30%</w:t>
            </w:r>
          </w:p>
        </w:tc>
        <w:tc>
          <w:tcPr>
            <w:tcW w:w="539" w:type="pct"/>
            <w:tcBorders>
              <w:top w:val="nil"/>
              <w:left w:val="nil"/>
              <w:bottom w:val="single" w:sz="4" w:space="0" w:color="auto"/>
              <w:right w:val="single" w:sz="4" w:space="0" w:color="auto"/>
            </w:tcBorders>
            <w:shd w:val="clear" w:color="auto" w:fill="auto"/>
            <w:noWrap/>
            <w:vAlign w:val="center"/>
            <w:hideMark/>
          </w:tcPr>
          <w:p w14:paraId="53591592"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36.90%</w:t>
            </w:r>
          </w:p>
        </w:tc>
        <w:tc>
          <w:tcPr>
            <w:tcW w:w="539" w:type="pct"/>
            <w:tcBorders>
              <w:top w:val="nil"/>
              <w:left w:val="nil"/>
              <w:bottom w:val="single" w:sz="4" w:space="0" w:color="auto"/>
              <w:right w:val="single" w:sz="4" w:space="0" w:color="auto"/>
            </w:tcBorders>
            <w:shd w:val="clear" w:color="auto" w:fill="auto"/>
            <w:noWrap/>
            <w:vAlign w:val="center"/>
            <w:hideMark/>
          </w:tcPr>
          <w:p w14:paraId="1B9D53CA" w14:textId="6ACC7CC1"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3</w:t>
            </w:r>
            <w:r w:rsidR="00A7330C">
              <w:rPr>
                <w:rFonts w:eastAsia="楷体"/>
                <w:color w:val="000000"/>
                <w:kern w:val="0"/>
                <w:sz w:val="22"/>
              </w:rPr>
              <w:t>5</w:t>
            </w:r>
            <w:r w:rsidRPr="00A7330C">
              <w:rPr>
                <w:rFonts w:eastAsia="楷体"/>
                <w:color w:val="000000"/>
                <w:kern w:val="0"/>
                <w:sz w:val="22"/>
              </w:rPr>
              <w:t>.60%</w:t>
            </w:r>
          </w:p>
        </w:tc>
        <w:tc>
          <w:tcPr>
            <w:tcW w:w="539" w:type="pct"/>
            <w:tcBorders>
              <w:top w:val="nil"/>
              <w:left w:val="nil"/>
              <w:bottom w:val="single" w:sz="4" w:space="0" w:color="auto"/>
              <w:right w:val="single" w:sz="4" w:space="0" w:color="auto"/>
            </w:tcBorders>
            <w:shd w:val="clear" w:color="auto" w:fill="auto"/>
            <w:noWrap/>
            <w:vAlign w:val="center"/>
            <w:hideMark/>
          </w:tcPr>
          <w:p w14:paraId="7DA42660" w14:textId="0353685A"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3</w:t>
            </w:r>
            <w:r w:rsidR="00A7330C">
              <w:rPr>
                <w:rFonts w:eastAsia="楷体"/>
                <w:color w:val="000000"/>
                <w:kern w:val="0"/>
                <w:sz w:val="22"/>
              </w:rPr>
              <w:t>4</w:t>
            </w:r>
            <w:r w:rsidRPr="00A7330C">
              <w:rPr>
                <w:rFonts w:eastAsia="楷体"/>
                <w:color w:val="000000"/>
                <w:kern w:val="0"/>
                <w:sz w:val="22"/>
              </w:rPr>
              <w:t>.10%</w:t>
            </w:r>
          </w:p>
        </w:tc>
        <w:tc>
          <w:tcPr>
            <w:tcW w:w="594" w:type="pct"/>
            <w:tcBorders>
              <w:top w:val="nil"/>
              <w:left w:val="nil"/>
              <w:bottom w:val="single" w:sz="4" w:space="0" w:color="auto"/>
              <w:right w:val="single" w:sz="4" w:space="0" w:color="auto"/>
            </w:tcBorders>
            <w:shd w:val="clear" w:color="auto" w:fill="auto"/>
            <w:noWrap/>
            <w:vAlign w:val="center"/>
            <w:hideMark/>
          </w:tcPr>
          <w:p w14:paraId="1D612158" w14:textId="2188044E"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3</w:t>
            </w:r>
            <w:r w:rsidR="00A7330C">
              <w:rPr>
                <w:rFonts w:eastAsia="楷体"/>
                <w:color w:val="000000"/>
                <w:kern w:val="0"/>
                <w:sz w:val="22"/>
              </w:rPr>
              <w:t>2</w:t>
            </w:r>
            <w:r w:rsidRPr="00A7330C">
              <w:rPr>
                <w:rFonts w:eastAsia="楷体"/>
                <w:color w:val="000000"/>
                <w:kern w:val="0"/>
                <w:sz w:val="22"/>
              </w:rPr>
              <w:t>.50%</w:t>
            </w:r>
          </w:p>
        </w:tc>
        <w:tc>
          <w:tcPr>
            <w:tcW w:w="594" w:type="pct"/>
            <w:tcBorders>
              <w:top w:val="nil"/>
              <w:left w:val="nil"/>
              <w:bottom w:val="single" w:sz="4" w:space="0" w:color="auto"/>
              <w:right w:val="single" w:sz="4" w:space="0" w:color="auto"/>
            </w:tcBorders>
            <w:shd w:val="clear" w:color="auto" w:fill="auto"/>
            <w:noWrap/>
            <w:vAlign w:val="center"/>
            <w:hideMark/>
          </w:tcPr>
          <w:p w14:paraId="3248F92C" w14:textId="4DA40AC9"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3</w:t>
            </w:r>
            <w:r w:rsidR="00A7330C">
              <w:rPr>
                <w:rFonts w:eastAsia="楷体"/>
                <w:color w:val="000000"/>
                <w:kern w:val="0"/>
                <w:sz w:val="22"/>
              </w:rPr>
              <w:t>0</w:t>
            </w:r>
            <w:r w:rsidRPr="00A7330C">
              <w:rPr>
                <w:rFonts w:eastAsia="楷体"/>
                <w:color w:val="000000"/>
                <w:kern w:val="0"/>
                <w:sz w:val="22"/>
              </w:rPr>
              <w:t>.30%</w:t>
            </w:r>
          </w:p>
        </w:tc>
      </w:tr>
      <w:tr w:rsidR="00E06120" w:rsidRPr="00E06120" w14:paraId="58878CA7" w14:textId="77777777" w:rsidTr="00CD32C3">
        <w:trPr>
          <w:trHeight w:val="288"/>
        </w:trPr>
        <w:tc>
          <w:tcPr>
            <w:tcW w:w="766" w:type="pct"/>
            <w:tcBorders>
              <w:top w:val="nil"/>
              <w:left w:val="single" w:sz="4" w:space="0" w:color="auto"/>
              <w:bottom w:val="single" w:sz="4" w:space="0" w:color="auto"/>
              <w:right w:val="single" w:sz="4" w:space="0" w:color="auto"/>
            </w:tcBorders>
            <w:shd w:val="clear" w:color="auto" w:fill="auto"/>
            <w:vAlign w:val="bottom"/>
            <w:hideMark/>
          </w:tcPr>
          <w:p w14:paraId="7493704C" w14:textId="77777777" w:rsidR="00E06120" w:rsidRPr="00E06120" w:rsidRDefault="00E06120" w:rsidP="00E06120">
            <w:pPr>
              <w:widowControl/>
              <w:spacing w:line="240" w:lineRule="auto"/>
              <w:ind w:firstLineChars="0" w:firstLine="0"/>
              <w:jc w:val="left"/>
              <w:rPr>
                <w:rFonts w:eastAsia="楷体"/>
                <w:color w:val="000000"/>
                <w:kern w:val="0"/>
                <w:sz w:val="22"/>
              </w:rPr>
            </w:pPr>
            <w:r w:rsidRPr="00E06120">
              <w:rPr>
                <w:rFonts w:eastAsia="楷体"/>
                <w:color w:val="000000"/>
                <w:kern w:val="0"/>
                <w:sz w:val="22"/>
              </w:rPr>
              <w:t>人口</w:t>
            </w:r>
          </w:p>
        </w:tc>
        <w:tc>
          <w:tcPr>
            <w:tcW w:w="348" w:type="pct"/>
            <w:tcBorders>
              <w:top w:val="nil"/>
              <w:left w:val="nil"/>
              <w:bottom w:val="single" w:sz="4" w:space="0" w:color="auto"/>
              <w:right w:val="single" w:sz="4" w:space="0" w:color="auto"/>
            </w:tcBorders>
            <w:shd w:val="clear" w:color="auto" w:fill="auto"/>
            <w:noWrap/>
            <w:vAlign w:val="center"/>
            <w:hideMark/>
          </w:tcPr>
          <w:p w14:paraId="574810BD" w14:textId="77777777" w:rsidR="00E06120" w:rsidRPr="00E06120" w:rsidRDefault="00E06120" w:rsidP="00E06120">
            <w:pPr>
              <w:widowControl/>
              <w:spacing w:line="240" w:lineRule="auto"/>
              <w:ind w:firstLineChars="0" w:firstLine="0"/>
              <w:jc w:val="center"/>
              <w:rPr>
                <w:rFonts w:eastAsia="楷体"/>
                <w:color w:val="000000"/>
                <w:kern w:val="0"/>
                <w:sz w:val="22"/>
              </w:rPr>
            </w:pPr>
            <w:r w:rsidRPr="00E06120">
              <w:rPr>
                <w:rFonts w:eastAsia="楷体"/>
                <w:color w:val="000000"/>
                <w:kern w:val="0"/>
                <w:sz w:val="22"/>
              </w:rPr>
              <w:t>亿人</w:t>
            </w:r>
          </w:p>
        </w:tc>
        <w:tc>
          <w:tcPr>
            <w:tcW w:w="539" w:type="pct"/>
            <w:tcBorders>
              <w:top w:val="nil"/>
              <w:left w:val="nil"/>
              <w:bottom w:val="single" w:sz="4" w:space="0" w:color="auto"/>
              <w:right w:val="single" w:sz="4" w:space="0" w:color="auto"/>
            </w:tcBorders>
            <w:shd w:val="clear" w:color="auto" w:fill="auto"/>
            <w:noWrap/>
            <w:vAlign w:val="center"/>
            <w:hideMark/>
          </w:tcPr>
          <w:p w14:paraId="02B709B1" w14:textId="26AF8FF6"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14.</w:t>
            </w:r>
            <w:r w:rsidR="00A7330C">
              <w:rPr>
                <w:rFonts w:eastAsia="楷体"/>
                <w:color w:val="000000"/>
                <w:kern w:val="0"/>
                <w:sz w:val="22"/>
              </w:rPr>
              <w:t>02</w:t>
            </w:r>
            <w:r w:rsidRPr="00A7330C">
              <w:rPr>
                <w:rFonts w:eastAsia="楷体"/>
                <w:color w:val="000000"/>
                <w:kern w:val="0"/>
                <w:sz w:val="22"/>
              </w:rPr>
              <w:t xml:space="preserve"> </w:t>
            </w:r>
          </w:p>
        </w:tc>
        <w:tc>
          <w:tcPr>
            <w:tcW w:w="539" w:type="pct"/>
            <w:tcBorders>
              <w:top w:val="nil"/>
              <w:left w:val="nil"/>
              <w:bottom w:val="single" w:sz="4" w:space="0" w:color="auto"/>
              <w:right w:val="single" w:sz="4" w:space="0" w:color="auto"/>
            </w:tcBorders>
            <w:shd w:val="clear" w:color="auto" w:fill="auto"/>
            <w:noWrap/>
            <w:vAlign w:val="center"/>
            <w:hideMark/>
          </w:tcPr>
          <w:p w14:paraId="42FB7569"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 xml:space="preserve">14.28 </w:t>
            </w:r>
          </w:p>
        </w:tc>
        <w:tc>
          <w:tcPr>
            <w:tcW w:w="539" w:type="pct"/>
            <w:tcBorders>
              <w:top w:val="nil"/>
              <w:left w:val="nil"/>
              <w:bottom w:val="single" w:sz="4" w:space="0" w:color="auto"/>
              <w:right w:val="single" w:sz="4" w:space="0" w:color="auto"/>
            </w:tcBorders>
            <w:shd w:val="clear" w:color="auto" w:fill="auto"/>
            <w:noWrap/>
            <w:vAlign w:val="center"/>
            <w:hideMark/>
          </w:tcPr>
          <w:p w14:paraId="43D41A22" w14:textId="07AAA81B"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14.2</w:t>
            </w:r>
            <w:r w:rsidR="00A7330C">
              <w:rPr>
                <w:rFonts w:eastAsia="楷体"/>
                <w:color w:val="000000"/>
                <w:kern w:val="0"/>
                <w:sz w:val="22"/>
              </w:rPr>
              <w:t>6</w:t>
            </w:r>
            <w:r w:rsidRPr="00A7330C">
              <w:rPr>
                <w:rFonts w:eastAsia="楷体"/>
                <w:color w:val="000000"/>
                <w:kern w:val="0"/>
                <w:sz w:val="22"/>
              </w:rPr>
              <w:t xml:space="preserve"> </w:t>
            </w:r>
          </w:p>
        </w:tc>
        <w:tc>
          <w:tcPr>
            <w:tcW w:w="539" w:type="pct"/>
            <w:tcBorders>
              <w:top w:val="nil"/>
              <w:left w:val="nil"/>
              <w:bottom w:val="single" w:sz="4" w:space="0" w:color="auto"/>
              <w:right w:val="single" w:sz="4" w:space="0" w:color="auto"/>
            </w:tcBorders>
            <w:shd w:val="clear" w:color="auto" w:fill="auto"/>
            <w:noWrap/>
            <w:vAlign w:val="center"/>
            <w:hideMark/>
          </w:tcPr>
          <w:p w14:paraId="3AFB64CA"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 xml:space="preserve">14.01 </w:t>
            </w:r>
          </w:p>
        </w:tc>
        <w:tc>
          <w:tcPr>
            <w:tcW w:w="539" w:type="pct"/>
            <w:tcBorders>
              <w:top w:val="nil"/>
              <w:left w:val="nil"/>
              <w:bottom w:val="single" w:sz="4" w:space="0" w:color="auto"/>
              <w:right w:val="single" w:sz="4" w:space="0" w:color="auto"/>
            </w:tcBorders>
            <w:shd w:val="clear" w:color="auto" w:fill="auto"/>
            <w:noWrap/>
            <w:vAlign w:val="center"/>
            <w:hideMark/>
          </w:tcPr>
          <w:p w14:paraId="59567C70"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 xml:space="preserve">13.67 </w:t>
            </w:r>
          </w:p>
        </w:tc>
        <w:tc>
          <w:tcPr>
            <w:tcW w:w="594" w:type="pct"/>
            <w:tcBorders>
              <w:top w:val="nil"/>
              <w:left w:val="nil"/>
              <w:bottom w:val="single" w:sz="4" w:space="0" w:color="auto"/>
              <w:right w:val="single" w:sz="4" w:space="0" w:color="auto"/>
            </w:tcBorders>
            <w:shd w:val="clear" w:color="auto" w:fill="auto"/>
            <w:noWrap/>
            <w:vAlign w:val="center"/>
            <w:hideMark/>
          </w:tcPr>
          <w:p w14:paraId="65F0B378" w14:textId="48BDBF7C"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12.</w:t>
            </w:r>
            <w:r w:rsidR="00A7330C">
              <w:rPr>
                <w:rFonts w:eastAsia="楷体"/>
                <w:color w:val="000000"/>
                <w:kern w:val="0"/>
                <w:sz w:val="22"/>
              </w:rPr>
              <w:t>1</w:t>
            </w:r>
            <w:r w:rsidRPr="00A7330C">
              <w:rPr>
                <w:rFonts w:eastAsia="楷体"/>
                <w:color w:val="000000"/>
                <w:kern w:val="0"/>
                <w:sz w:val="22"/>
              </w:rPr>
              <w:t xml:space="preserve">9 </w:t>
            </w:r>
          </w:p>
        </w:tc>
        <w:tc>
          <w:tcPr>
            <w:tcW w:w="594" w:type="pct"/>
            <w:tcBorders>
              <w:top w:val="nil"/>
              <w:left w:val="nil"/>
              <w:bottom w:val="single" w:sz="4" w:space="0" w:color="auto"/>
              <w:right w:val="single" w:sz="4" w:space="0" w:color="auto"/>
            </w:tcBorders>
            <w:shd w:val="clear" w:color="auto" w:fill="auto"/>
            <w:noWrap/>
            <w:vAlign w:val="center"/>
            <w:hideMark/>
          </w:tcPr>
          <w:p w14:paraId="5E21FA2E" w14:textId="6F76C3AB"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1</w:t>
            </w:r>
            <w:r w:rsidR="00A7330C">
              <w:rPr>
                <w:rFonts w:eastAsia="楷体"/>
                <w:color w:val="000000"/>
                <w:kern w:val="0"/>
                <w:sz w:val="22"/>
              </w:rPr>
              <w:t>0</w:t>
            </w:r>
            <w:r w:rsidRPr="00A7330C">
              <w:rPr>
                <w:rFonts w:eastAsia="楷体"/>
                <w:color w:val="000000"/>
                <w:kern w:val="0"/>
                <w:sz w:val="22"/>
              </w:rPr>
              <w:t>.</w:t>
            </w:r>
            <w:r w:rsidR="00A7330C">
              <w:rPr>
                <w:rFonts w:eastAsia="楷体"/>
                <w:color w:val="000000"/>
                <w:kern w:val="0"/>
                <w:sz w:val="22"/>
              </w:rPr>
              <w:t>2</w:t>
            </w:r>
            <w:r w:rsidRPr="00A7330C">
              <w:rPr>
                <w:rFonts w:eastAsia="楷体"/>
                <w:color w:val="000000"/>
                <w:kern w:val="0"/>
                <w:sz w:val="22"/>
              </w:rPr>
              <w:t xml:space="preserve">7 </w:t>
            </w:r>
          </w:p>
        </w:tc>
      </w:tr>
      <w:tr w:rsidR="00E06120" w:rsidRPr="00E06120" w14:paraId="02BD575A" w14:textId="77777777" w:rsidTr="00CD32C3">
        <w:trPr>
          <w:trHeight w:val="288"/>
        </w:trPr>
        <w:tc>
          <w:tcPr>
            <w:tcW w:w="766" w:type="pct"/>
            <w:tcBorders>
              <w:top w:val="nil"/>
              <w:left w:val="single" w:sz="4" w:space="0" w:color="auto"/>
              <w:bottom w:val="single" w:sz="4" w:space="0" w:color="auto"/>
              <w:right w:val="single" w:sz="4" w:space="0" w:color="auto"/>
            </w:tcBorders>
            <w:shd w:val="clear" w:color="auto" w:fill="auto"/>
            <w:vAlign w:val="bottom"/>
            <w:hideMark/>
          </w:tcPr>
          <w:p w14:paraId="632BC99E" w14:textId="77777777" w:rsidR="00E06120" w:rsidRPr="00E06120" w:rsidRDefault="00E06120" w:rsidP="00E06120">
            <w:pPr>
              <w:widowControl/>
              <w:spacing w:line="240" w:lineRule="auto"/>
              <w:ind w:firstLineChars="0" w:firstLine="0"/>
              <w:jc w:val="left"/>
              <w:rPr>
                <w:rFonts w:eastAsia="楷体"/>
                <w:color w:val="000000"/>
                <w:kern w:val="0"/>
                <w:sz w:val="22"/>
              </w:rPr>
            </w:pPr>
            <w:r w:rsidRPr="00E06120">
              <w:rPr>
                <w:rFonts w:eastAsia="楷体"/>
                <w:color w:val="000000"/>
                <w:kern w:val="0"/>
                <w:sz w:val="22"/>
              </w:rPr>
              <w:t>65</w:t>
            </w:r>
            <w:r w:rsidRPr="00E06120">
              <w:rPr>
                <w:rFonts w:eastAsia="楷体"/>
                <w:color w:val="000000"/>
                <w:kern w:val="0"/>
                <w:sz w:val="22"/>
              </w:rPr>
              <w:t>岁</w:t>
            </w:r>
            <w:r w:rsidRPr="00E06120">
              <w:rPr>
                <w:rFonts w:eastAsia="楷体"/>
                <w:color w:val="000000"/>
                <w:kern w:val="0"/>
                <w:sz w:val="22"/>
              </w:rPr>
              <w:t>+</w:t>
            </w:r>
            <w:r w:rsidRPr="00E06120">
              <w:rPr>
                <w:rFonts w:eastAsia="楷体"/>
                <w:color w:val="000000"/>
                <w:kern w:val="0"/>
                <w:sz w:val="22"/>
              </w:rPr>
              <w:t>人口比例</w:t>
            </w:r>
          </w:p>
        </w:tc>
        <w:tc>
          <w:tcPr>
            <w:tcW w:w="348" w:type="pct"/>
            <w:tcBorders>
              <w:top w:val="nil"/>
              <w:left w:val="nil"/>
              <w:bottom w:val="single" w:sz="4" w:space="0" w:color="auto"/>
              <w:right w:val="single" w:sz="4" w:space="0" w:color="auto"/>
            </w:tcBorders>
            <w:shd w:val="clear" w:color="auto" w:fill="auto"/>
            <w:noWrap/>
            <w:vAlign w:val="center"/>
            <w:hideMark/>
          </w:tcPr>
          <w:p w14:paraId="21E2A245" w14:textId="77777777" w:rsidR="00E06120" w:rsidRPr="00E06120" w:rsidRDefault="00E06120" w:rsidP="00E06120">
            <w:pPr>
              <w:widowControl/>
              <w:spacing w:line="240" w:lineRule="auto"/>
              <w:ind w:firstLineChars="0" w:firstLine="0"/>
              <w:jc w:val="center"/>
              <w:rPr>
                <w:rFonts w:eastAsia="楷体"/>
                <w:color w:val="000000"/>
                <w:kern w:val="0"/>
                <w:sz w:val="22"/>
              </w:rPr>
            </w:pPr>
            <w:r w:rsidRPr="00E06120">
              <w:rPr>
                <w:rFonts w:eastAsia="楷体"/>
                <w:color w:val="000000"/>
                <w:kern w:val="0"/>
                <w:sz w:val="22"/>
              </w:rPr>
              <w:t>%</w:t>
            </w:r>
          </w:p>
        </w:tc>
        <w:tc>
          <w:tcPr>
            <w:tcW w:w="539" w:type="pct"/>
            <w:tcBorders>
              <w:top w:val="nil"/>
              <w:left w:val="nil"/>
              <w:bottom w:val="single" w:sz="4" w:space="0" w:color="auto"/>
              <w:right w:val="single" w:sz="4" w:space="0" w:color="auto"/>
            </w:tcBorders>
            <w:shd w:val="clear" w:color="auto" w:fill="auto"/>
            <w:noWrap/>
            <w:vAlign w:val="center"/>
            <w:hideMark/>
          </w:tcPr>
          <w:p w14:paraId="0E77EBD0"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13.50%</w:t>
            </w:r>
          </w:p>
        </w:tc>
        <w:tc>
          <w:tcPr>
            <w:tcW w:w="539" w:type="pct"/>
            <w:tcBorders>
              <w:top w:val="nil"/>
              <w:left w:val="nil"/>
              <w:bottom w:val="single" w:sz="4" w:space="0" w:color="auto"/>
              <w:right w:val="single" w:sz="4" w:space="0" w:color="auto"/>
            </w:tcBorders>
            <w:shd w:val="clear" w:color="auto" w:fill="auto"/>
            <w:noWrap/>
            <w:vAlign w:val="center"/>
            <w:hideMark/>
          </w:tcPr>
          <w:p w14:paraId="299E4DA0"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15%</w:t>
            </w:r>
          </w:p>
        </w:tc>
        <w:tc>
          <w:tcPr>
            <w:tcW w:w="539" w:type="pct"/>
            <w:tcBorders>
              <w:top w:val="nil"/>
              <w:left w:val="nil"/>
              <w:bottom w:val="single" w:sz="4" w:space="0" w:color="auto"/>
              <w:right w:val="single" w:sz="4" w:space="0" w:color="auto"/>
            </w:tcBorders>
            <w:shd w:val="clear" w:color="auto" w:fill="auto"/>
            <w:noWrap/>
            <w:vAlign w:val="center"/>
            <w:hideMark/>
          </w:tcPr>
          <w:p w14:paraId="3914BC68"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18.85%</w:t>
            </w:r>
          </w:p>
        </w:tc>
        <w:tc>
          <w:tcPr>
            <w:tcW w:w="539" w:type="pct"/>
            <w:tcBorders>
              <w:top w:val="nil"/>
              <w:left w:val="nil"/>
              <w:bottom w:val="single" w:sz="4" w:space="0" w:color="auto"/>
              <w:right w:val="single" w:sz="4" w:space="0" w:color="auto"/>
            </w:tcBorders>
            <w:shd w:val="clear" w:color="auto" w:fill="auto"/>
            <w:noWrap/>
            <w:vAlign w:val="center"/>
            <w:hideMark/>
          </w:tcPr>
          <w:p w14:paraId="6B8CADFB"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22.30%</w:t>
            </w:r>
          </w:p>
        </w:tc>
        <w:tc>
          <w:tcPr>
            <w:tcW w:w="539" w:type="pct"/>
            <w:tcBorders>
              <w:top w:val="nil"/>
              <w:left w:val="nil"/>
              <w:bottom w:val="single" w:sz="4" w:space="0" w:color="auto"/>
              <w:right w:val="single" w:sz="4" w:space="0" w:color="auto"/>
            </w:tcBorders>
            <w:shd w:val="clear" w:color="auto" w:fill="auto"/>
            <w:noWrap/>
            <w:vAlign w:val="center"/>
            <w:hideMark/>
          </w:tcPr>
          <w:p w14:paraId="0EFB6BF9"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25.10%</w:t>
            </w:r>
          </w:p>
        </w:tc>
        <w:tc>
          <w:tcPr>
            <w:tcW w:w="594" w:type="pct"/>
            <w:tcBorders>
              <w:top w:val="nil"/>
              <w:left w:val="nil"/>
              <w:bottom w:val="single" w:sz="4" w:space="0" w:color="auto"/>
              <w:right w:val="single" w:sz="4" w:space="0" w:color="auto"/>
            </w:tcBorders>
            <w:shd w:val="clear" w:color="auto" w:fill="auto"/>
            <w:noWrap/>
            <w:vAlign w:val="center"/>
            <w:hideMark/>
          </w:tcPr>
          <w:p w14:paraId="5E69F79D"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27.90%</w:t>
            </w:r>
          </w:p>
        </w:tc>
        <w:tc>
          <w:tcPr>
            <w:tcW w:w="594" w:type="pct"/>
            <w:tcBorders>
              <w:top w:val="nil"/>
              <w:left w:val="nil"/>
              <w:bottom w:val="single" w:sz="4" w:space="0" w:color="auto"/>
              <w:right w:val="single" w:sz="4" w:space="0" w:color="auto"/>
            </w:tcBorders>
            <w:shd w:val="clear" w:color="auto" w:fill="auto"/>
            <w:noWrap/>
            <w:vAlign w:val="center"/>
            <w:hideMark/>
          </w:tcPr>
          <w:p w14:paraId="224D18CE"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31.50%</w:t>
            </w:r>
          </w:p>
        </w:tc>
      </w:tr>
      <w:tr w:rsidR="00E06120" w:rsidRPr="00E06120" w14:paraId="28A74B5A" w14:textId="77777777" w:rsidTr="00CD32C3">
        <w:trPr>
          <w:trHeight w:val="576"/>
        </w:trPr>
        <w:tc>
          <w:tcPr>
            <w:tcW w:w="766" w:type="pct"/>
            <w:tcBorders>
              <w:top w:val="nil"/>
              <w:left w:val="single" w:sz="4" w:space="0" w:color="auto"/>
              <w:bottom w:val="single" w:sz="4" w:space="0" w:color="auto"/>
              <w:right w:val="single" w:sz="4" w:space="0" w:color="auto"/>
            </w:tcBorders>
            <w:shd w:val="clear" w:color="auto" w:fill="auto"/>
            <w:vAlign w:val="bottom"/>
            <w:hideMark/>
          </w:tcPr>
          <w:p w14:paraId="34CCDA3C" w14:textId="77777777" w:rsidR="00E06120" w:rsidRPr="00E06120" w:rsidRDefault="00E06120" w:rsidP="00E06120">
            <w:pPr>
              <w:widowControl/>
              <w:spacing w:line="240" w:lineRule="auto"/>
              <w:ind w:firstLineChars="0" w:firstLine="0"/>
              <w:jc w:val="left"/>
              <w:rPr>
                <w:rFonts w:eastAsia="楷体"/>
                <w:color w:val="000000"/>
                <w:kern w:val="0"/>
                <w:sz w:val="22"/>
              </w:rPr>
            </w:pPr>
            <w:r w:rsidRPr="00E06120">
              <w:rPr>
                <w:rFonts w:eastAsia="楷体"/>
                <w:color w:val="000000"/>
                <w:kern w:val="0"/>
                <w:sz w:val="22"/>
              </w:rPr>
              <w:t>人均可支配收入</w:t>
            </w:r>
          </w:p>
        </w:tc>
        <w:tc>
          <w:tcPr>
            <w:tcW w:w="348" w:type="pct"/>
            <w:tcBorders>
              <w:top w:val="nil"/>
              <w:left w:val="nil"/>
              <w:bottom w:val="single" w:sz="4" w:space="0" w:color="auto"/>
              <w:right w:val="single" w:sz="4" w:space="0" w:color="auto"/>
            </w:tcBorders>
            <w:shd w:val="clear" w:color="auto" w:fill="auto"/>
            <w:noWrap/>
            <w:vAlign w:val="center"/>
            <w:hideMark/>
          </w:tcPr>
          <w:p w14:paraId="31DCEEAA" w14:textId="77777777" w:rsidR="00E06120" w:rsidRPr="00E06120" w:rsidRDefault="00E06120" w:rsidP="00E06120">
            <w:pPr>
              <w:widowControl/>
              <w:spacing w:line="240" w:lineRule="auto"/>
              <w:ind w:firstLineChars="0" w:firstLine="0"/>
              <w:jc w:val="center"/>
              <w:rPr>
                <w:rFonts w:eastAsia="楷体"/>
                <w:color w:val="000000"/>
                <w:kern w:val="0"/>
                <w:sz w:val="22"/>
              </w:rPr>
            </w:pPr>
            <w:r w:rsidRPr="00E06120">
              <w:rPr>
                <w:rFonts w:eastAsia="楷体"/>
                <w:color w:val="000000"/>
                <w:kern w:val="0"/>
                <w:sz w:val="22"/>
              </w:rPr>
              <w:t>元</w:t>
            </w:r>
          </w:p>
        </w:tc>
        <w:tc>
          <w:tcPr>
            <w:tcW w:w="539" w:type="pct"/>
            <w:tcBorders>
              <w:top w:val="nil"/>
              <w:left w:val="nil"/>
              <w:bottom w:val="single" w:sz="4" w:space="0" w:color="auto"/>
              <w:right w:val="single" w:sz="4" w:space="0" w:color="auto"/>
            </w:tcBorders>
            <w:shd w:val="clear" w:color="auto" w:fill="auto"/>
            <w:noWrap/>
            <w:vAlign w:val="center"/>
            <w:hideMark/>
          </w:tcPr>
          <w:p w14:paraId="03BCC973"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384255</w:t>
            </w:r>
          </w:p>
        </w:tc>
        <w:tc>
          <w:tcPr>
            <w:tcW w:w="539" w:type="pct"/>
            <w:tcBorders>
              <w:top w:val="nil"/>
              <w:left w:val="nil"/>
              <w:bottom w:val="single" w:sz="4" w:space="0" w:color="auto"/>
              <w:right w:val="single" w:sz="4" w:space="0" w:color="auto"/>
            </w:tcBorders>
            <w:shd w:val="clear" w:color="auto" w:fill="auto"/>
            <w:noWrap/>
            <w:vAlign w:val="center"/>
            <w:hideMark/>
          </w:tcPr>
          <w:p w14:paraId="7C890482"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483452</w:t>
            </w:r>
          </w:p>
        </w:tc>
        <w:tc>
          <w:tcPr>
            <w:tcW w:w="539" w:type="pct"/>
            <w:tcBorders>
              <w:top w:val="nil"/>
              <w:left w:val="nil"/>
              <w:bottom w:val="single" w:sz="4" w:space="0" w:color="auto"/>
              <w:right w:val="single" w:sz="4" w:space="0" w:color="auto"/>
            </w:tcBorders>
            <w:shd w:val="clear" w:color="auto" w:fill="auto"/>
            <w:noWrap/>
            <w:vAlign w:val="center"/>
            <w:hideMark/>
          </w:tcPr>
          <w:p w14:paraId="2F7EF739"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593871</w:t>
            </w:r>
          </w:p>
        </w:tc>
        <w:tc>
          <w:tcPr>
            <w:tcW w:w="539" w:type="pct"/>
            <w:tcBorders>
              <w:top w:val="nil"/>
              <w:left w:val="nil"/>
              <w:bottom w:val="single" w:sz="4" w:space="0" w:color="auto"/>
              <w:right w:val="single" w:sz="4" w:space="0" w:color="auto"/>
            </w:tcBorders>
            <w:shd w:val="clear" w:color="auto" w:fill="auto"/>
            <w:noWrap/>
            <w:vAlign w:val="center"/>
            <w:hideMark/>
          </w:tcPr>
          <w:p w14:paraId="34DF1342"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708746</w:t>
            </w:r>
          </w:p>
        </w:tc>
        <w:tc>
          <w:tcPr>
            <w:tcW w:w="539" w:type="pct"/>
            <w:tcBorders>
              <w:top w:val="nil"/>
              <w:left w:val="nil"/>
              <w:bottom w:val="single" w:sz="4" w:space="0" w:color="auto"/>
              <w:right w:val="single" w:sz="4" w:space="0" w:color="auto"/>
            </w:tcBorders>
            <w:shd w:val="clear" w:color="auto" w:fill="auto"/>
            <w:noWrap/>
            <w:vAlign w:val="center"/>
            <w:hideMark/>
          </w:tcPr>
          <w:p w14:paraId="6CF2A4BD"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845842</w:t>
            </w:r>
          </w:p>
        </w:tc>
        <w:tc>
          <w:tcPr>
            <w:tcW w:w="594" w:type="pct"/>
            <w:tcBorders>
              <w:top w:val="nil"/>
              <w:left w:val="nil"/>
              <w:bottom w:val="single" w:sz="4" w:space="0" w:color="auto"/>
              <w:right w:val="single" w:sz="4" w:space="0" w:color="auto"/>
            </w:tcBorders>
            <w:shd w:val="clear" w:color="auto" w:fill="auto"/>
            <w:noWrap/>
            <w:vAlign w:val="center"/>
            <w:hideMark/>
          </w:tcPr>
          <w:p w14:paraId="33A6D7BA"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1061807</w:t>
            </w:r>
          </w:p>
        </w:tc>
        <w:tc>
          <w:tcPr>
            <w:tcW w:w="594" w:type="pct"/>
            <w:tcBorders>
              <w:top w:val="nil"/>
              <w:left w:val="nil"/>
              <w:bottom w:val="single" w:sz="4" w:space="0" w:color="auto"/>
              <w:right w:val="single" w:sz="4" w:space="0" w:color="auto"/>
            </w:tcBorders>
            <w:shd w:val="clear" w:color="auto" w:fill="auto"/>
            <w:noWrap/>
            <w:vAlign w:val="center"/>
            <w:hideMark/>
          </w:tcPr>
          <w:p w14:paraId="22AED828"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1294337</w:t>
            </w:r>
          </w:p>
        </w:tc>
      </w:tr>
      <w:tr w:rsidR="00E06120" w:rsidRPr="00E06120" w14:paraId="39852364" w14:textId="77777777" w:rsidTr="00CD32C3">
        <w:trPr>
          <w:trHeight w:val="864"/>
        </w:trPr>
        <w:tc>
          <w:tcPr>
            <w:tcW w:w="766" w:type="pct"/>
            <w:tcBorders>
              <w:top w:val="nil"/>
              <w:left w:val="single" w:sz="4" w:space="0" w:color="auto"/>
              <w:bottom w:val="single" w:sz="4" w:space="0" w:color="auto"/>
              <w:right w:val="single" w:sz="4" w:space="0" w:color="auto"/>
            </w:tcBorders>
            <w:shd w:val="clear" w:color="auto" w:fill="auto"/>
            <w:vAlign w:val="bottom"/>
            <w:hideMark/>
          </w:tcPr>
          <w:p w14:paraId="350286D9" w14:textId="77777777" w:rsidR="00E06120" w:rsidRPr="00E06120" w:rsidRDefault="00E06120" w:rsidP="00E06120">
            <w:pPr>
              <w:widowControl/>
              <w:spacing w:line="240" w:lineRule="auto"/>
              <w:ind w:firstLineChars="0" w:firstLine="0"/>
              <w:jc w:val="left"/>
              <w:rPr>
                <w:rFonts w:eastAsia="楷体"/>
                <w:color w:val="000000"/>
                <w:kern w:val="0"/>
                <w:sz w:val="22"/>
              </w:rPr>
            </w:pPr>
            <w:r w:rsidRPr="00E06120">
              <w:rPr>
                <w:rFonts w:eastAsia="楷体"/>
                <w:color w:val="000000"/>
                <w:kern w:val="0"/>
                <w:sz w:val="22"/>
              </w:rPr>
              <w:t>网上零售占社会消费品零售总额比例</w:t>
            </w:r>
          </w:p>
        </w:tc>
        <w:tc>
          <w:tcPr>
            <w:tcW w:w="348" w:type="pct"/>
            <w:tcBorders>
              <w:top w:val="nil"/>
              <w:left w:val="nil"/>
              <w:bottom w:val="single" w:sz="4" w:space="0" w:color="auto"/>
              <w:right w:val="single" w:sz="4" w:space="0" w:color="auto"/>
            </w:tcBorders>
            <w:shd w:val="clear" w:color="auto" w:fill="auto"/>
            <w:noWrap/>
            <w:vAlign w:val="center"/>
            <w:hideMark/>
          </w:tcPr>
          <w:p w14:paraId="3CFC13CA" w14:textId="77777777" w:rsidR="00E06120" w:rsidRPr="00E06120" w:rsidRDefault="00E06120" w:rsidP="00E06120">
            <w:pPr>
              <w:widowControl/>
              <w:spacing w:line="240" w:lineRule="auto"/>
              <w:ind w:firstLineChars="0" w:firstLine="0"/>
              <w:jc w:val="center"/>
              <w:rPr>
                <w:rFonts w:eastAsia="楷体"/>
                <w:color w:val="000000"/>
                <w:kern w:val="0"/>
                <w:sz w:val="22"/>
              </w:rPr>
            </w:pPr>
            <w:r w:rsidRPr="00E06120">
              <w:rPr>
                <w:rFonts w:eastAsia="楷体"/>
                <w:color w:val="000000"/>
                <w:kern w:val="0"/>
                <w:sz w:val="22"/>
              </w:rPr>
              <w:t>%</w:t>
            </w:r>
          </w:p>
        </w:tc>
        <w:tc>
          <w:tcPr>
            <w:tcW w:w="539" w:type="pct"/>
            <w:tcBorders>
              <w:top w:val="nil"/>
              <w:left w:val="nil"/>
              <w:bottom w:val="single" w:sz="4" w:space="0" w:color="auto"/>
              <w:right w:val="single" w:sz="4" w:space="0" w:color="auto"/>
            </w:tcBorders>
            <w:shd w:val="clear" w:color="auto" w:fill="auto"/>
            <w:noWrap/>
            <w:vAlign w:val="center"/>
            <w:hideMark/>
          </w:tcPr>
          <w:p w14:paraId="2D9007DF"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24.90%</w:t>
            </w:r>
          </w:p>
        </w:tc>
        <w:tc>
          <w:tcPr>
            <w:tcW w:w="539" w:type="pct"/>
            <w:tcBorders>
              <w:top w:val="nil"/>
              <w:left w:val="nil"/>
              <w:bottom w:val="single" w:sz="4" w:space="0" w:color="auto"/>
              <w:right w:val="single" w:sz="4" w:space="0" w:color="auto"/>
            </w:tcBorders>
            <w:shd w:val="clear" w:color="auto" w:fill="auto"/>
            <w:noWrap/>
            <w:vAlign w:val="center"/>
            <w:hideMark/>
          </w:tcPr>
          <w:p w14:paraId="098AC78A"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30%</w:t>
            </w:r>
          </w:p>
        </w:tc>
        <w:tc>
          <w:tcPr>
            <w:tcW w:w="539" w:type="pct"/>
            <w:tcBorders>
              <w:top w:val="nil"/>
              <w:left w:val="nil"/>
              <w:bottom w:val="single" w:sz="4" w:space="0" w:color="auto"/>
              <w:right w:val="single" w:sz="4" w:space="0" w:color="auto"/>
            </w:tcBorders>
            <w:shd w:val="clear" w:color="auto" w:fill="auto"/>
            <w:noWrap/>
            <w:vAlign w:val="center"/>
            <w:hideMark/>
          </w:tcPr>
          <w:p w14:paraId="2C159E39"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35.26%</w:t>
            </w:r>
          </w:p>
        </w:tc>
        <w:tc>
          <w:tcPr>
            <w:tcW w:w="539" w:type="pct"/>
            <w:tcBorders>
              <w:top w:val="nil"/>
              <w:left w:val="nil"/>
              <w:bottom w:val="single" w:sz="4" w:space="0" w:color="auto"/>
              <w:right w:val="single" w:sz="4" w:space="0" w:color="auto"/>
            </w:tcBorders>
            <w:shd w:val="clear" w:color="auto" w:fill="auto"/>
            <w:noWrap/>
            <w:vAlign w:val="center"/>
            <w:hideMark/>
          </w:tcPr>
          <w:p w14:paraId="5463C72C"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40.55%</w:t>
            </w:r>
          </w:p>
        </w:tc>
        <w:tc>
          <w:tcPr>
            <w:tcW w:w="539" w:type="pct"/>
            <w:tcBorders>
              <w:top w:val="nil"/>
              <w:left w:val="nil"/>
              <w:bottom w:val="single" w:sz="4" w:space="0" w:color="auto"/>
              <w:right w:val="single" w:sz="4" w:space="0" w:color="auto"/>
            </w:tcBorders>
            <w:shd w:val="clear" w:color="auto" w:fill="auto"/>
            <w:noWrap/>
            <w:vAlign w:val="center"/>
            <w:hideMark/>
          </w:tcPr>
          <w:p w14:paraId="12DCD45B"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45.01%</w:t>
            </w:r>
          </w:p>
        </w:tc>
        <w:tc>
          <w:tcPr>
            <w:tcW w:w="594" w:type="pct"/>
            <w:tcBorders>
              <w:top w:val="nil"/>
              <w:left w:val="nil"/>
              <w:bottom w:val="single" w:sz="4" w:space="0" w:color="auto"/>
              <w:right w:val="single" w:sz="4" w:space="0" w:color="auto"/>
            </w:tcBorders>
            <w:shd w:val="clear" w:color="auto" w:fill="auto"/>
            <w:noWrap/>
            <w:vAlign w:val="center"/>
            <w:hideMark/>
          </w:tcPr>
          <w:p w14:paraId="3CCB53B7"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49.51%</w:t>
            </w:r>
          </w:p>
        </w:tc>
        <w:tc>
          <w:tcPr>
            <w:tcW w:w="594" w:type="pct"/>
            <w:tcBorders>
              <w:top w:val="nil"/>
              <w:left w:val="nil"/>
              <w:bottom w:val="single" w:sz="4" w:space="0" w:color="auto"/>
              <w:right w:val="single" w:sz="4" w:space="0" w:color="auto"/>
            </w:tcBorders>
            <w:shd w:val="clear" w:color="auto" w:fill="auto"/>
            <w:noWrap/>
            <w:vAlign w:val="center"/>
            <w:hideMark/>
          </w:tcPr>
          <w:p w14:paraId="5F577735" w14:textId="77777777" w:rsidR="00E06120" w:rsidRPr="00A7330C" w:rsidRDefault="00E06120" w:rsidP="00E06120">
            <w:pPr>
              <w:widowControl/>
              <w:spacing w:line="240" w:lineRule="auto"/>
              <w:ind w:firstLineChars="0" w:firstLine="0"/>
              <w:jc w:val="center"/>
              <w:rPr>
                <w:rFonts w:eastAsia="楷体"/>
                <w:color w:val="000000"/>
                <w:kern w:val="0"/>
                <w:sz w:val="22"/>
              </w:rPr>
            </w:pPr>
            <w:r w:rsidRPr="00A7330C">
              <w:rPr>
                <w:rFonts w:eastAsia="楷体"/>
                <w:color w:val="000000"/>
                <w:kern w:val="0"/>
                <w:sz w:val="22"/>
              </w:rPr>
              <w:t>52.48%</w:t>
            </w:r>
          </w:p>
        </w:tc>
      </w:tr>
    </w:tbl>
    <w:p w14:paraId="684A2111" w14:textId="63CFF3F4" w:rsidR="00BD452C" w:rsidRDefault="00BD452C" w:rsidP="00BD452C">
      <w:pPr>
        <w:pStyle w:val="4"/>
      </w:pPr>
      <w:r>
        <w:rPr>
          <w:rFonts w:hint="eastAsia"/>
        </w:rPr>
        <w:t>4</w:t>
      </w:r>
      <w:r>
        <w:t>.2.</w:t>
      </w:r>
      <w:r w:rsidR="00E06120">
        <w:t>2</w:t>
      </w:r>
      <w:r>
        <w:t xml:space="preserve"> </w:t>
      </w:r>
      <w:r w:rsidR="00E06120" w:rsidRPr="00E06120">
        <w:rPr>
          <w:rFonts w:hint="eastAsia"/>
        </w:rPr>
        <w:t>结构因素</w:t>
      </w:r>
    </w:p>
    <w:p w14:paraId="1714CDE4" w14:textId="7B1908D5" w:rsidR="00BD452C" w:rsidRPr="00CD32C3" w:rsidRDefault="00011A60" w:rsidP="00B526E1">
      <w:pPr>
        <w:ind w:firstLine="562"/>
        <w:rPr>
          <w:b/>
          <w:bCs/>
        </w:rPr>
      </w:pPr>
      <w:r w:rsidRPr="00CD32C3">
        <w:rPr>
          <w:rFonts w:hint="eastAsia"/>
          <w:b/>
          <w:bCs/>
        </w:rPr>
        <w:t>（</w:t>
      </w:r>
      <w:r w:rsidRPr="00CD32C3">
        <w:rPr>
          <w:rFonts w:hint="eastAsia"/>
          <w:b/>
          <w:bCs/>
        </w:rPr>
        <w:t>1</w:t>
      </w:r>
      <w:r w:rsidRPr="00CD32C3">
        <w:rPr>
          <w:rFonts w:hint="eastAsia"/>
          <w:b/>
          <w:bCs/>
        </w:rPr>
        <w:t>）货物运输结构优化</w:t>
      </w:r>
    </w:p>
    <w:p w14:paraId="719F7527" w14:textId="77777777" w:rsidR="00011A60" w:rsidRDefault="00011A60" w:rsidP="00011A60">
      <w:pPr>
        <w:ind w:firstLine="560"/>
      </w:pPr>
      <w:r>
        <w:rPr>
          <w:rFonts w:hint="eastAsia"/>
        </w:rPr>
        <w:t>从低碳发展的角度看，铁路货运和水路货运能耗强度分别是公路货运的</w:t>
      </w:r>
      <w:r>
        <w:rPr>
          <w:rFonts w:hint="eastAsia"/>
        </w:rPr>
        <w:t>1/7</w:t>
      </w:r>
      <w:r>
        <w:rPr>
          <w:rFonts w:hint="eastAsia"/>
        </w:rPr>
        <w:t>和</w:t>
      </w:r>
      <w:r>
        <w:rPr>
          <w:rFonts w:hint="eastAsia"/>
        </w:rPr>
        <w:t>1/9</w:t>
      </w:r>
      <w:r>
        <w:rPr>
          <w:rFonts w:hint="eastAsia"/>
        </w:rPr>
        <w:t>，推进大宗货物及中长距离货物运输向铁路和水运有序转移是今后相当长一段时间内交通运输绿色发展和高质量发展</w:t>
      </w:r>
      <w:r>
        <w:rPr>
          <w:rFonts w:hint="eastAsia"/>
        </w:rPr>
        <w:lastRenderedPageBreak/>
        <w:t>的关键抓手。</w:t>
      </w:r>
    </w:p>
    <w:p w14:paraId="1F278DD3" w14:textId="69BFDE74" w:rsidR="0077344D" w:rsidRDefault="00011A60" w:rsidP="00011A60">
      <w:pPr>
        <w:ind w:firstLine="560"/>
      </w:pPr>
      <w:r>
        <w:rPr>
          <w:rFonts w:hint="eastAsia"/>
        </w:rPr>
        <w:t>现阶段，公路</w:t>
      </w:r>
      <w:r w:rsidR="00631D2E">
        <w:rPr>
          <w:rFonts w:hint="eastAsia"/>
        </w:rPr>
        <w:t>货运车辆</w:t>
      </w:r>
      <w:r>
        <w:rPr>
          <w:rFonts w:hint="eastAsia"/>
        </w:rPr>
        <w:t>碳排放是中国交通</w:t>
      </w:r>
      <w:r w:rsidR="00575327">
        <w:rPr>
          <w:rFonts w:hint="eastAsia"/>
        </w:rPr>
        <w:t>部门</w:t>
      </w:r>
      <w:r>
        <w:rPr>
          <w:rFonts w:hint="eastAsia"/>
        </w:rPr>
        <w:t>重要碳排放源之一。</w:t>
      </w:r>
      <w:r w:rsidR="0077344D">
        <w:rPr>
          <w:rFonts w:hint="eastAsia"/>
        </w:rPr>
        <w:t>从历史趋势来看，</w:t>
      </w:r>
      <w:r>
        <w:rPr>
          <w:rFonts w:hint="eastAsia"/>
        </w:rPr>
        <w:t>公路货物运输量占货物运输总量</w:t>
      </w:r>
      <w:r w:rsidR="0077344D">
        <w:rPr>
          <w:rFonts w:hint="eastAsia"/>
        </w:rPr>
        <w:t>比例从</w:t>
      </w:r>
      <w:r w:rsidR="0077344D">
        <w:rPr>
          <w:rFonts w:hint="eastAsia"/>
        </w:rPr>
        <w:t>2</w:t>
      </w:r>
      <w:r w:rsidR="0077344D">
        <w:t>005</w:t>
      </w:r>
      <w:r w:rsidR="0077344D">
        <w:rPr>
          <w:rFonts w:hint="eastAsia"/>
        </w:rPr>
        <w:t>年的</w:t>
      </w:r>
      <w:r w:rsidR="0077344D">
        <w:rPr>
          <w:rFonts w:hint="eastAsia"/>
        </w:rPr>
        <w:t>7</w:t>
      </w:r>
      <w:r w:rsidR="0077344D">
        <w:t>1</w:t>
      </w:r>
      <w:r w:rsidR="0077344D">
        <w:rPr>
          <w:rFonts w:hint="eastAsia"/>
        </w:rPr>
        <w:t>%</w:t>
      </w:r>
      <w:r w:rsidR="0077344D">
        <w:rPr>
          <w:rFonts w:hint="eastAsia"/>
        </w:rPr>
        <w:t>，增长到</w:t>
      </w:r>
      <w:r w:rsidR="0077344D">
        <w:rPr>
          <w:rFonts w:hint="eastAsia"/>
        </w:rPr>
        <w:t>2</w:t>
      </w:r>
      <w:r w:rsidR="0077344D">
        <w:t>020</w:t>
      </w:r>
      <w:r w:rsidR="0077344D">
        <w:rPr>
          <w:rFonts w:hint="eastAsia"/>
        </w:rPr>
        <w:t>年的</w:t>
      </w:r>
      <w:r w:rsidR="0077344D">
        <w:rPr>
          <w:rFonts w:hint="eastAsia"/>
        </w:rPr>
        <w:t>7</w:t>
      </w:r>
      <w:r w:rsidR="0077344D">
        <w:t>4</w:t>
      </w:r>
      <w:r w:rsidR="0077344D">
        <w:rPr>
          <w:rFonts w:hint="eastAsia"/>
        </w:rPr>
        <w:t>%</w:t>
      </w:r>
      <w:r w:rsidR="0077344D">
        <w:rPr>
          <w:rFonts w:hint="eastAsia"/>
        </w:rPr>
        <w:t>；</w:t>
      </w:r>
      <w:r>
        <w:rPr>
          <w:rFonts w:hint="eastAsia"/>
        </w:rPr>
        <w:t>铁路</w:t>
      </w:r>
      <w:r w:rsidR="0077344D">
        <w:rPr>
          <w:rFonts w:hint="eastAsia"/>
        </w:rPr>
        <w:t>货物</w:t>
      </w:r>
      <w:r>
        <w:rPr>
          <w:rFonts w:hint="eastAsia"/>
        </w:rPr>
        <w:t>运输量占</w:t>
      </w:r>
      <w:r w:rsidR="0077344D">
        <w:rPr>
          <w:rFonts w:hint="eastAsia"/>
        </w:rPr>
        <w:t>比则从</w:t>
      </w:r>
      <w:r w:rsidR="0077344D">
        <w:rPr>
          <w:rFonts w:hint="eastAsia"/>
        </w:rPr>
        <w:t>2</w:t>
      </w:r>
      <w:r w:rsidR="0077344D">
        <w:t>005</w:t>
      </w:r>
      <w:r w:rsidR="0077344D">
        <w:rPr>
          <w:rFonts w:hint="eastAsia"/>
        </w:rPr>
        <w:t>年的</w:t>
      </w:r>
      <w:r w:rsidR="0077344D">
        <w:rPr>
          <w:rFonts w:hint="eastAsia"/>
        </w:rPr>
        <w:t>1</w:t>
      </w:r>
      <w:r w:rsidR="0077344D">
        <w:t>6.5</w:t>
      </w:r>
      <w:r w:rsidR="0077344D">
        <w:rPr>
          <w:rFonts w:hint="eastAsia"/>
        </w:rPr>
        <w:t>%</w:t>
      </w:r>
      <w:r w:rsidR="0077344D">
        <w:rPr>
          <w:rFonts w:hint="eastAsia"/>
        </w:rPr>
        <w:t>，下降至</w:t>
      </w:r>
      <w:r w:rsidR="0077344D">
        <w:rPr>
          <w:rFonts w:hint="eastAsia"/>
        </w:rPr>
        <w:t>2</w:t>
      </w:r>
      <w:r w:rsidR="0077344D">
        <w:t>020</w:t>
      </w:r>
      <w:r w:rsidR="0077344D">
        <w:rPr>
          <w:rFonts w:hint="eastAsia"/>
        </w:rPr>
        <w:t>年的</w:t>
      </w:r>
      <w:r w:rsidR="0077344D">
        <w:rPr>
          <w:rFonts w:hint="eastAsia"/>
        </w:rPr>
        <w:t>9</w:t>
      </w:r>
      <w:r w:rsidR="0077344D">
        <w:t>.5</w:t>
      </w:r>
      <w:r w:rsidR="00631D2E">
        <w:rPr>
          <w:rFonts w:hint="eastAsia"/>
        </w:rPr>
        <w:t>%</w:t>
      </w:r>
      <w:r w:rsidR="0077344D">
        <w:rPr>
          <w:rFonts w:hint="eastAsia"/>
        </w:rPr>
        <w:t>；水路货物运输量占比从</w:t>
      </w:r>
      <w:r w:rsidR="0077344D">
        <w:rPr>
          <w:rFonts w:hint="eastAsia"/>
        </w:rPr>
        <w:t>2</w:t>
      </w:r>
      <w:r w:rsidR="0077344D">
        <w:t>005</w:t>
      </w:r>
      <w:r w:rsidR="0077344D">
        <w:rPr>
          <w:rFonts w:hint="eastAsia"/>
        </w:rPr>
        <w:t>年的</w:t>
      </w:r>
      <w:r w:rsidR="0077344D">
        <w:t>10</w:t>
      </w:r>
      <w:r w:rsidR="0077344D">
        <w:rPr>
          <w:rFonts w:hint="eastAsia"/>
        </w:rPr>
        <w:t>%</w:t>
      </w:r>
      <w:r w:rsidR="0077344D">
        <w:rPr>
          <w:rFonts w:hint="eastAsia"/>
        </w:rPr>
        <w:t>，增长到</w:t>
      </w:r>
      <w:r w:rsidR="0077344D">
        <w:rPr>
          <w:rFonts w:hint="eastAsia"/>
        </w:rPr>
        <w:t>2</w:t>
      </w:r>
      <w:r w:rsidR="0077344D">
        <w:t>020</w:t>
      </w:r>
      <w:r w:rsidR="0077344D">
        <w:rPr>
          <w:rFonts w:hint="eastAsia"/>
        </w:rPr>
        <w:t>年的</w:t>
      </w:r>
      <w:r w:rsidR="0077344D">
        <w:t>14</w:t>
      </w:r>
      <w:r w:rsidR="0077344D">
        <w:rPr>
          <w:rFonts w:hint="eastAsia"/>
        </w:rPr>
        <w:t>%</w:t>
      </w:r>
      <w:r w:rsidR="0077344D">
        <w:rPr>
          <w:rFonts w:hint="eastAsia"/>
        </w:rPr>
        <w:t>，</w:t>
      </w:r>
      <w:r>
        <w:rPr>
          <w:rFonts w:hint="eastAsia"/>
        </w:rPr>
        <w:t>如图</w:t>
      </w:r>
      <w:r w:rsidR="00000106">
        <w:rPr>
          <w:rFonts w:hint="eastAsia"/>
        </w:rPr>
        <w:t>4-</w:t>
      </w:r>
      <w:r w:rsidR="00000106">
        <w:t>8</w:t>
      </w:r>
      <w:r>
        <w:rPr>
          <w:rFonts w:hint="eastAsia"/>
        </w:rPr>
        <w:t>所示</w:t>
      </w:r>
      <w:r w:rsidR="0077344D">
        <w:rPr>
          <w:rFonts w:hint="eastAsia"/>
        </w:rPr>
        <w:t>。</w:t>
      </w:r>
    </w:p>
    <w:p w14:paraId="0A74CA38" w14:textId="21C83457" w:rsidR="00011A60" w:rsidRDefault="00011A60" w:rsidP="00011A60">
      <w:pPr>
        <w:ind w:firstLine="560"/>
      </w:pPr>
      <w:r>
        <w:rPr>
          <w:rFonts w:hint="eastAsia"/>
        </w:rPr>
        <w:t>基于对低碳治理从“末端治理”转向“源头控制”的思路，运输结构调整成为绿色低碳发展的关键举措。现阶段造成</w:t>
      </w:r>
      <w:r w:rsidR="0077344D">
        <w:rPr>
          <w:rFonts w:hint="eastAsia"/>
        </w:rPr>
        <w:t>中国货物</w:t>
      </w:r>
      <w:r>
        <w:rPr>
          <w:rFonts w:hint="eastAsia"/>
        </w:rPr>
        <w:t>运输结构不尽合理的主要原因是交通基础设施衔接不畅、基础设施能力不足、铁路货运总体运力紧张，尤其是在通达程度、路网覆盖度方面，加之不同运输方式之间的联运水平不高</w:t>
      </w:r>
      <w:r w:rsidR="00870C01">
        <w:rPr>
          <w:rFonts w:hint="eastAsia"/>
        </w:rPr>
        <w:t>，</w:t>
      </w:r>
      <w:r>
        <w:rPr>
          <w:rFonts w:hint="eastAsia"/>
        </w:rPr>
        <w:t>公铁运输合理的比价关系还未形成，生产制造企业对公路运输依赖程度普遍较高。</w:t>
      </w:r>
    </w:p>
    <w:p w14:paraId="60929C8C" w14:textId="0BB87228" w:rsidR="00BD452C" w:rsidRDefault="00011A60" w:rsidP="00011A60">
      <w:pPr>
        <w:ind w:firstLineChars="0" w:firstLine="0"/>
      </w:pPr>
      <w:r>
        <w:rPr>
          <w:noProof/>
        </w:rPr>
        <w:drawing>
          <wp:inline distT="0" distB="0" distL="0" distR="0" wp14:anchorId="3E001351" wp14:editId="5E077347">
            <wp:extent cx="5274310" cy="2785533"/>
            <wp:effectExtent l="0" t="0" r="2540" b="15240"/>
            <wp:docPr id="11" name="图表 11">
              <a:extLst xmlns:a="http://schemas.openxmlformats.org/drawingml/2006/main">
                <a:ext uri="{FF2B5EF4-FFF2-40B4-BE49-F238E27FC236}">
                  <a16:creationId xmlns:a16="http://schemas.microsoft.com/office/drawing/2014/main" id="{7523501A-DAB0-4C9B-953F-AB37107AA3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387A36D3" w14:textId="7779D4C9" w:rsidR="00CD32C3" w:rsidRPr="00A8551D" w:rsidRDefault="00CD32C3" w:rsidP="00CD32C3">
      <w:pPr>
        <w:ind w:firstLineChars="0" w:firstLine="0"/>
        <w:jc w:val="center"/>
        <w:rPr>
          <w:rFonts w:eastAsia="黑体"/>
          <w:sz w:val="24"/>
          <w:szCs w:val="21"/>
        </w:rPr>
      </w:pPr>
      <w:r w:rsidRPr="00A8551D">
        <w:rPr>
          <w:rFonts w:eastAsia="黑体" w:hint="eastAsia"/>
          <w:sz w:val="24"/>
          <w:szCs w:val="21"/>
        </w:rPr>
        <w:t>图</w:t>
      </w:r>
      <w:r w:rsidRPr="00A8551D">
        <w:rPr>
          <w:rFonts w:eastAsia="黑体"/>
          <w:sz w:val="24"/>
          <w:szCs w:val="21"/>
        </w:rPr>
        <w:t>4</w:t>
      </w:r>
      <w:r w:rsidRPr="00A8551D">
        <w:rPr>
          <w:rFonts w:eastAsia="黑体" w:hint="eastAsia"/>
          <w:sz w:val="24"/>
          <w:szCs w:val="21"/>
        </w:rPr>
        <w:t>-</w:t>
      </w:r>
      <w:r w:rsidRPr="00A8551D">
        <w:rPr>
          <w:rFonts w:eastAsia="黑体"/>
          <w:sz w:val="24"/>
          <w:szCs w:val="21"/>
        </w:rPr>
        <w:t>8</w:t>
      </w:r>
      <w:r w:rsidRPr="00A8551D">
        <w:rPr>
          <w:rFonts w:eastAsia="黑体" w:hint="eastAsia"/>
          <w:sz w:val="24"/>
          <w:szCs w:val="21"/>
        </w:rPr>
        <w:t xml:space="preserve"> 2005-2020</w:t>
      </w:r>
      <w:r w:rsidRPr="00A8551D">
        <w:rPr>
          <w:rFonts w:eastAsia="黑体" w:hint="eastAsia"/>
          <w:sz w:val="24"/>
          <w:szCs w:val="21"/>
        </w:rPr>
        <w:t>年不同货运量占比变化</w:t>
      </w:r>
    </w:p>
    <w:p w14:paraId="4D1AB1DE" w14:textId="6EE863D0" w:rsidR="00A21B75" w:rsidRDefault="0077344D" w:rsidP="00B526E1">
      <w:pPr>
        <w:ind w:firstLine="560"/>
      </w:pPr>
      <w:r w:rsidRPr="0077344D">
        <w:rPr>
          <w:rFonts w:hint="eastAsia"/>
        </w:rPr>
        <w:t>《中共中央</w:t>
      </w:r>
      <w:r w:rsidRPr="0077344D">
        <w:rPr>
          <w:rFonts w:hint="eastAsia"/>
        </w:rPr>
        <w:t xml:space="preserve"> </w:t>
      </w:r>
      <w:r w:rsidRPr="0077344D">
        <w:rPr>
          <w:rFonts w:hint="eastAsia"/>
        </w:rPr>
        <w:t>国务院关于完整准确全面贯彻新发展理念做好碳达峰碳中和工作的意见》《</w:t>
      </w:r>
      <w:r w:rsidRPr="0077344D">
        <w:rPr>
          <w:rFonts w:hint="eastAsia"/>
        </w:rPr>
        <w:t>2030</w:t>
      </w:r>
      <w:r w:rsidRPr="0077344D">
        <w:rPr>
          <w:rFonts w:hint="eastAsia"/>
        </w:rPr>
        <w:t>年前碳达峰行动方案》《交通强国建设纲</w:t>
      </w:r>
      <w:r w:rsidRPr="0077344D">
        <w:rPr>
          <w:rFonts w:hint="eastAsia"/>
        </w:rPr>
        <w:lastRenderedPageBreak/>
        <w:t>要》等一系列重要文件中就优化运输结构提出了明确要求。</w:t>
      </w:r>
      <w:r>
        <w:rPr>
          <w:rFonts w:hint="eastAsia"/>
        </w:rPr>
        <w:t>在</w:t>
      </w:r>
      <w:r w:rsidR="00A21B75">
        <w:rPr>
          <w:rFonts w:hint="eastAsia"/>
        </w:rPr>
        <w:t>实现“双碳”目标的背景下，</w:t>
      </w:r>
      <w:r>
        <w:rPr>
          <w:rFonts w:hint="eastAsia"/>
        </w:rPr>
        <w:t>交通运输部</w:t>
      </w:r>
      <w:r w:rsidR="00A21B75">
        <w:rPr>
          <w:rFonts w:hint="eastAsia"/>
        </w:rPr>
        <w:t>陆续</w:t>
      </w:r>
      <w:r>
        <w:rPr>
          <w:rFonts w:hint="eastAsia"/>
        </w:rPr>
        <w:t>出台了</w:t>
      </w:r>
      <w:r w:rsidRPr="0077344D">
        <w:rPr>
          <w:rFonts w:hint="eastAsia"/>
        </w:rPr>
        <w:t>《综合交通运输发展“十四五”规划》《综合运输服务“十四五”发展规划》《</w:t>
      </w:r>
      <w:r>
        <w:rPr>
          <w:rFonts w:hint="eastAsia"/>
        </w:rPr>
        <w:t>绿色交通</w:t>
      </w:r>
      <w:r w:rsidRPr="0077344D">
        <w:rPr>
          <w:rFonts w:hint="eastAsia"/>
        </w:rPr>
        <w:t>“十四五”规划》</w:t>
      </w:r>
      <w:r>
        <w:rPr>
          <w:rFonts w:hint="eastAsia"/>
        </w:rPr>
        <w:t>等</w:t>
      </w:r>
      <w:r w:rsidR="00A21B75">
        <w:rPr>
          <w:rFonts w:hint="eastAsia"/>
        </w:rPr>
        <w:t>规划，</w:t>
      </w:r>
      <w:r w:rsidR="00870C01">
        <w:rPr>
          <w:rFonts w:hint="eastAsia"/>
        </w:rPr>
        <w:t>提出</w:t>
      </w:r>
      <w:r w:rsidR="00A21B75">
        <w:rPr>
          <w:rFonts w:hint="eastAsia"/>
        </w:rPr>
        <w:t>加快</w:t>
      </w:r>
      <w:r w:rsidR="00A21B75" w:rsidRPr="00A21B75">
        <w:rPr>
          <w:rFonts w:hint="eastAsia"/>
        </w:rPr>
        <w:t>优化调整运输结构</w:t>
      </w:r>
      <w:r w:rsidR="00A21B75">
        <w:rPr>
          <w:rFonts w:hint="eastAsia"/>
        </w:rPr>
        <w:t>。具体措施包括：</w:t>
      </w:r>
      <w:r w:rsidR="00A21B75" w:rsidRPr="00A21B75">
        <w:rPr>
          <w:rFonts w:hint="eastAsia"/>
        </w:rPr>
        <w:t>持续推动大宗货物和中长途货物运输“公转铁”“公转水”。大力发展内河集装箱运输、江海（河海）直达运输，提高航运枢纽</w:t>
      </w:r>
      <w:r w:rsidR="00F064DD">
        <w:rPr>
          <w:rFonts w:hint="eastAsia"/>
        </w:rPr>
        <w:t>“水水”</w:t>
      </w:r>
      <w:r w:rsidR="00A21B75" w:rsidRPr="00A21B75">
        <w:rPr>
          <w:rFonts w:hint="eastAsia"/>
        </w:rPr>
        <w:t>中转比例。全面加快集疏港铁路建设，具备条件的沿海及内河主要港口的重点港区基本接入集疏港铁路。加快城市周边地区铁路外围集结转运中心和市内铁路场站设施改造，构建“外集内配、绿色联运”的公铁联运配送体系。</w:t>
      </w:r>
      <w:r w:rsidR="00A21B75">
        <w:rPr>
          <w:rFonts w:hint="eastAsia"/>
        </w:rPr>
        <w:t>推进运输结构示范区建设。</w:t>
      </w:r>
      <w:r w:rsidR="00A21B75" w:rsidRPr="00A21B75">
        <w:rPr>
          <w:rFonts w:hint="eastAsia"/>
        </w:rPr>
        <w:t>深化京津冀及周边地区运输结构调整示范区建设，京津冀及周边地区、长三角地区等沿海主要港口和唐山港、黄骅港共同完成的矿石、焦炭等大宗货物疏港铁路、水路、封闭式皮带廊道、新能源汽车运输比例达到</w:t>
      </w:r>
      <w:r w:rsidR="00A21B75" w:rsidRPr="00A21B75">
        <w:rPr>
          <w:rFonts w:hint="eastAsia"/>
        </w:rPr>
        <w:t>70%</w:t>
      </w:r>
      <w:r w:rsidR="00A21B75" w:rsidRPr="00A21B75">
        <w:rPr>
          <w:rFonts w:hint="eastAsia"/>
        </w:rPr>
        <w:t>左右。建设晋陕蒙煤炭主产区运输结构调整示范区，大力推进区域内货运铁路和铁路专用线建设，到</w:t>
      </w:r>
      <w:r w:rsidR="00A21B75" w:rsidRPr="00A21B75">
        <w:rPr>
          <w:rFonts w:hint="eastAsia"/>
        </w:rPr>
        <w:t>2025</w:t>
      </w:r>
      <w:r w:rsidR="00A21B75" w:rsidRPr="00A21B75">
        <w:rPr>
          <w:rFonts w:hint="eastAsia"/>
        </w:rPr>
        <w:t>年，山西、陕西、内蒙古（呼包鄂地区）大宗货物年货运量</w:t>
      </w:r>
      <w:r w:rsidR="00A21B75" w:rsidRPr="00A21B75">
        <w:rPr>
          <w:rFonts w:hint="eastAsia"/>
        </w:rPr>
        <w:t>150</w:t>
      </w:r>
      <w:r w:rsidR="00A21B75" w:rsidRPr="00A21B75">
        <w:rPr>
          <w:rFonts w:hint="eastAsia"/>
        </w:rPr>
        <w:t>万吨以上且有出省运输需求的煤炭矿区和煤炭物流园区铁路专用线或专用铁路接入比例大幅提升，出省（区）运距</w:t>
      </w:r>
      <w:r w:rsidR="00A21B75" w:rsidRPr="00A21B75">
        <w:rPr>
          <w:rFonts w:hint="eastAsia"/>
        </w:rPr>
        <w:t>500</w:t>
      </w:r>
      <w:r w:rsidR="00A21B75" w:rsidRPr="00A21B75">
        <w:rPr>
          <w:rFonts w:hint="eastAsia"/>
        </w:rPr>
        <w:t>公里以上的煤炭和焦炭铁路运输比例力争达到</w:t>
      </w:r>
      <w:r w:rsidR="00A21B75" w:rsidRPr="00A21B75">
        <w:rPr>
          <w:rFonts w:hint="eastAsia"/>
        </w:rPr>
        <w:t>80%</w:t>
      </w:r>
      <w:r w:rsidR="00A21B75" w:rsidRPr="00A21B75">
        <w:rPr>
          <w:rFonts w:hint="eastAsia"/>
        </w:rPr>
        <w:t>左右。</w:t>
      </w:r>
      <w:r w:rsidR="00F064DD">
        <w:rPr>
          <w:rFonts w:hint="eastAsia"/>
        </w:rPr>
        <w:t>通过一系列政策措施，</w:t>
      </w:r>
      <w:r w:rsidR="00EC1F4E">
        <w:rPr>
          <w:rFonts w:hint="eastAsia"/>
        </w:rPr>
        <w:t>能够</w:t>
      </w:r>
      <w:r w:rsidR="00F064DD">
        <w:rPr>
          <w:rFonts w:hint="eastAsia"/>
        </w:rPr>
        <w:t>完善</w:t>
      </w:r>
      <w:r w:rsidR="00A21B75" w:rsidRPr="00A21B75">
        <w:rPr>
          <w:rFonts w:hint="eastAsia"/>
        </w:rPr>
        <w:t>铁路、水路基础设施，</w:t>
      </w:r>
      <w:r w:rsidR="00F064DD">
        <w:rPr>
          <w:rFonts w:hint="eastAsia"/>
        </w:rPr>
        <w:t>提高</w:t>
      </w:r>
      <w:r w:rsidR="00A21B75" w:rsidRPr="00A21B75">
        <w:rPr>
          <w:rFonts w:hint="eastAsia"/>
        </w:rPr>
        <w:t>铁路、水路的运力</w:t>
      </w:r>
      <w:r w:rsidR="00F064DD">
        <w:rPr>
          <w:rFonts w:hint="eastAsia"/>
        </w:rPr>
        <w:t>，</w:t>
      </w:r>
      <w:r w:rsidR="00EC1F4E">
        <w:rPr>
          <w:rFonts w:hint="eastAsia"/>
        </w:rPr>
        <w:t>预计</w:t>
      </w:r>
      <w:r w:rsidR="00EC1F4E" w:rsidRPr="00EC1F4E">
        <w:rPr>
          <w:rFonts w:hint="eastAsia"/>
        </w:rPr>
        <w:t>相比于</w:t>
      </w:r>
      <w:r w:rsidR="00EC1F4E" w:rsidRPr="00EC1F4E">
        <w:rPr>
          <w:rFonts w:hint="eastAsia"/>
        </w:rPr>
        <w:t>2020</w:t>
      </w:r>
      <w:r w:rsidR="00EC1F4E" w:rsidRPr="00EC1F4E">
        <w:rPr>
          <w:rFonts w:hint="eastAsia"/>
        </w:rPr>
        <w:t>年，</w:t>
      </w:r>
      <w:r w:rsidR="00EC1F4E" w:rsidRPr="00EC1F4E">
        <w:rPr>
          <w:rFonts w:hint="eastAsia"/>
        </w:rPr>
        <w:t>2025</w:t>
      </w:r>
      <w:r w:rsidR="00EC1F4E" w:rsidRPr="00EC1F4E">
        <w:rPr>
          <w:rFonts w:hint="eastAsia"/>
        </w:rPr>
        <w:t>年、</w:t>
      </w:r>
      <w:r w:rsidR="00EC1F4E" w:rsidRPr="00EC1F4E">
        <w:rPr>
          <w:rFonts w:hint="eastAsia"/>
        </w:rPr>
        <w:t>2030</w:t>
      </w:r>
      <w:r w:rsidR="00EC1F4E" w:rsidRPr="00EC1F4E">
        <w:rPr>
          <w:rFonts w:hint="eastAsia"/>
        </w:rPr>
        <w:t>年铁路货运量</w:t>
      </w:r>
      <w:r w:rsidR="00EC1F4E">
        <w:rPr>
          <w:rFonts w:hint="eastAsia"/>
        </w:rPr>
        <w:t>能够</w:t>
      </w:r>
      <w:r w:rsidR="00EC1F4E" w:rsidRPr="00EC1F4E">
        <w:rPr>
          <w:rFonts w:hint="eastAsia"/>
        </w:rPr>
        <w:t>分别增长</w:t>
      </w:r>
      <w:r w:rsidR="00EC1F4E" w:rsidRPr="00EC1F4E">
        <w:rPr>
          <w:rFonts w:hint="eastAsia"/>
        </w:rPr>
        <w:t>7</w:t>
      </w:r>
      <w:r w:rsidR="008102C6">
        <w:rPr>
          <w:rFonts w:hint="eastAsia"/>
        </w:rPr>
        <w:t>亿</w:t>
      </w:r>
      <w:r w:rsidR="008102C6">
        <w:rPr>
          <w:rFonts w:hint="eastAsia"/>
        </w:rPr>
        <w:t>t</w:t>
      </w:r>
      <w:r w:rsidR="00EC1F4E" w:rsidRPr="00EC1F4E">
        <w:rPr>
          <w:rFonts w:hint="eastAsia"/>
        </w:rPr>
        <w:t>、</w:t>
      </w:r>
      <w:r w:rsidR="00EC1F4E" w:rsidRPr="00EC1F4E">
        <w:rPr>
          <w:rFonts w:hint="eastAsia"/>
        </w:rPr>
        <w:t>14</w:t>
      </w:r>
      <w:r w:rsidR="008102C6">
        <w:rPr>
          <w:rFonts w:hint="eastAsia"/>
        </w:rPr>
        <w:t>亿</w:t>
      </w:r>
      <w:r w:rsidR="008102C6">
        <w:rPr>
          <w:rFonts w:hint="eastAsia"/>
        </w:rPr>
        <w:t>t</w:t>
      </w:r>
      <w:r w:rsidR="00EC1F4E">
        <w:rPr>
          <w:rFonts w:hint="eastAsia"/>
        </w:rPr>
        <w:t>；</w:t>
      </w:r>
      <w:r w:rsidR="00EC1F4E" w:rsidRPr="00EC1F4E">
        <w:rPr>
          <w:rFonts w:hint="eastAsia"/>
        </w:rPr>
        <w:t>内河货运量分别增长</w:t>
      </w:r>
      <w:r w:rsidR="00EC1F4E" w:rsidRPr="00EC1F4E">
        <w:rPr>
          <w:rFonts w:hint="eastAsia"/>
        </w:rPr>
        <w:t>5</w:t>
      </w:r>
      <w:r w:rsidR="008102C6">
        <w:rPr>
          <w:rFonts w:hint="eastAsia"/>
        </w:rPr>
        <w:t>亿</w:t>
      </w:r>
      <w:r w:rsidR="008102C6">
        <w:rPr>
          <w:rFonts w:hint="eastAsia"/>
        </w:rPr>
        <w:t>t</w:t>
      </w:r>
      <w:r w:rsidR="00EC1F4E" w:rsidRPr="00EC1F4E">
        <w:rPr>
          <w:rFonts w:hint="eastAsia"/>
        </w:rPr>
        <w:t>、</w:t>
      </w:r>
      <w:r w:rsidR="00EC1F4E" w:rsidRPr="00EC1F4E">
        <w:rPr>
          <w:rFonts w:hint="eastAsia"/>
        </w:rPr>
        <w:t>10</w:t>
      </w:r>
      <w:r w:rsidR="008102C6">
        <w:rPr>
          <w:rFonts w:hint="eastAsia"/>
        </w:rPr>
        <w:t>亿</w:t>
      </w:r>
      <w:r w:rsidR="008102C6">
        <w:rPr>
          <w:rFonts w:hint="eastAsia"/>
        </w:rPr>
        <w:t>t</w:t>
      </w:r>
      <w:r w:rsidR="00EC1F4E">
        <w:rPr>
          <w:rFonts w:hint="eastAsia"/>
        </w:rPr>
        <w:t>；沿海货运量</w:t>
      </w:r>
      <w:r w:rsidR="00EC1F4E" w:rsidRPr="00EC1F4E">
        <w:rPr>
          <w:rFonts w:hint="eastAsia"/>
        </w:rPr>
        <w:t>增长</w:t>
      </w:r>
      <w:r w:rsidR="00EC1F4E" w:rsidRPr="00EC1F4E">
        <w:rPr>
          <w:rFonts w:hint="eastAsia"/>
        </w:rPr>
        <w:t>2</w:t>
      </w:r>
      <w:r w:rsidR="008102C6">
        <w:rPr>
          <w:rFonts w:hint="eastAsia"/>
        </w:rPr>
        <w:t>亿</w:t>
      </w:r>
      <w:r w:rsidR="008102C6">
        <w:rPr>
          <w:rFonts w:hint="eastAsia"/>
        </w:rPr>
        <w:t>t</w:t>
      </w:r>
      <w:r w:rsidR="00EC1F4E" w:rsidRPr="00EC1F4E">
        <w:rPr>
          <w:rFonts w:hint="eastAsia"/>
        </w:rPr>
        <w:t>、</w:t>
      </w:r>
      <w:r w:rsidR="00EC1F4E" w:rsidRPr="00EC1F4E">
        <w:rPr>
          <w:rFonts w:hint="eastAsia"/>
        </w:rPr>
        <w:t xml:space="preserve">5 </w:t>
      </w:r>
      <w:r w:rsidR="008102C6">
        <w:rPr>
          <w:rFonts w:hint="eastAsia"/>
        </w:rPr>
        <w:t>亿</w:t>
      </w:r>
      <w:r w:rsidR="008102C6">
        <w:rPr>
          <w:rFonts w:hint="eastAsia"/>
        </w:rPr>
        <w:t>t</w:t>
      </w:r>
      <w:r w:rsidR="00A21B75" w:rsidRPr="00A21B75">
        <w:rPr>
          <w:rFonts w:hint="eastAsia"/>
        </w:rPr>
        <w:t>。</w:t>
      </w:r>
    </w:p>
    <w:p w14:paraId="29970B3A" w14:textId="0448A56E" w:rsidR="00A21B75" w:rsidRPr="00CD32C3" w:rsidRDefault="00A21B75" w:rsidP="00B526E1">
      <w:pPr>
        <w:ind w:firstLine="562"/>
        <w:rPr>
          <w:b/>
          <w:bCs/>
        </w:rPr>
      </w:pPr>
      <w:r w:rsidRPr="00CD32C3">
        <w:rPr>
          <w:rFonts w:hint="eastAsia"/>
          <w:b/>
          <w:bCs/>
        </w:rPr>
        <w:lastRenderedPageBreak/>
        <w:t>（</w:t>
      </w:r>
      <w:r w:rsidRPr="00CD32C3">
        <w:rPr>
          <w:rFonts w:hint="eastAsia"/>
          <w:b/>
          <w:bCs/>
        </w:rPr>
        <w:t>2</w:t>
      </w:r>
      <w:r w:rsidRPr="00CD32C3">
        <w:rPr>
          <w:rFonts w:hint="eastAsia"/>
          <w:b/>
          <w:bCs/>
        </w:rPr>
        <w:t>）</w:t>
      </w:r>
      <w:r w:rsidR="002A4997" w:rsidRPr="00CD32C3">
        <w:rPr>
          <w:rFonts w:hint="eastAsia"/>
          <w:b/>
          <w:bCs/>
        </w:rPr>
        <w:t>倡导绿色出行</w:t>
      </w:r>
    </w:p>
    <w:p w14:paraId="79EADFB3" w14:textId="0CA32255" w:rsidR="002A4997" w:rsidRDefault="002A4997" w:rsidP="002A4997">
      <w:pPr>
        <w:ind w:firstLine="560"/>
      </w:pPr>
      <w:r>
        <w:rPr>
          <w:rFonts w:hint="eastAsia"/>
        </w:rPr>
        <w:t>从城市各种交通方式道路资源占用情况来看，公共交通是一种高效率、集约化的出行方式，能以最小的道路空间占用运送大量的客流，与小汽车相比具有明显优势。在需求总量不发生显著变化的情况下，出行结构的优化调整（特别是由以非集约化的私人机动化出行为主向集约化的公共交通出行为主转变）对于缓解交通拥堵能起到一定的作用。从绿色低碳的角度来看，公共交通的单耗要远低于私家车出行的单耗。研究表明，当满载率高于</w:t>
      </w:r>
      <w:r>
        <w:rPr>
          <w:rFonts w:hint="eastAsia"/>
        </w:rPr>
        <w:t>5%</w:t>
      </w:r>
      <w:r>
        <w:rPr>
          <w:rFonts w:hint="eastAsia"/>
        </w:rPr>
        <w:t>时，轨道交通的能耗强度就低于私人乘用车；当满载率高于</w:t>
      </w:r>
      <w:r>
        <w:rPr>
          <w:rFonts w:hint="eastAsia"/>
        </w:rPr>
        <w:t>10%</w:t>
      </w:r>
      <w:r>
        <w:rPr>
          <w:rFonts w:hint="eastAsia"/>
        </w:rPr>
        <w:t>时，公交车能耗强度就低于私人乘用车；城市出租车通常采用的是节能型车辆，出租车能耗强度就低于私人乘用车。因此，以节能减排为发展目标的城市，在保障城市交通内部结构的均衡性的前提下，采取各种政策措施，提高公交出行分担率，能够降低城市客运能源消费量和碳排放量。</w:t>
      </w:r>
    </w:p>
    <w:p w14:paraId="7F41DA58" w14:textId="7EA82A4E" w:rsidR="00A21B75" w:rsidRDefault="002A4997" w:rsidP="002A4997">
      <w:pPr>
        <w:ind w:firstLine="560"/>
      </w:pPr>
      <w:r>
        <w:rPr>
          <w:rFonts w:hint="eastAsia"/>
        </w:rPr>
        <w:t>现阶段，随着中国城镇化率、居民人均</w:t>
      </w:r>
      <w:r>
        <w:rPr>
          <w:rFonts w:hint="eastAsia"/>
        </w:rPr>
        <w:t>GDP</w:t>
      </w:r>
      <w:r>
        <w:rPr>
          <w:rFonts w:hint="eastAsia"/>
        </w:rPr>
        <w:t>的提升，城市客运出行总量将持续上升。随着不同城市客运方式基础设施的完善，居民出行选择愈发多样化，如图</w:t>
      </w:r>
      <w:r w:rsidR="005F5771">
        <w:rPr>
          <w:rFonts w:hint="eastAsia"/>
        </w:rPr>
        <w:t>4-</w:t>
      </w:r>
      <w:r w:rsidR="005F5771">
        <w:t>10</w:t>
      </w:r>
      <w:r>
        <w:rPr>
          <w:rFonts w:hint="eastAsia"/>
        </w:rPr>
        <w:t>所示。</w:t>
      </w:r>
      <w:r>
        <w:rPr>
          <w:rFonts w:hint="eastAsia"/>
        </w:rPr>
        <w:t>20</w:t>
      </w:r>
      <w:r w:rsidR="007B0949">
        <w:t>19</w:t>
      </w:r>
      <w:r>
        <w:rPr>
          <w:rFonts w:hint="eastAsia"/>
        </w:rPr>
        <w:t>年公共交通占机动化出行比例为</w:t>
      </w:r>
      <w:r w:rsidR="007B0949">
        <w:t>49.2</w:t>
      </w:r>
      <w:r>
        <w:rPr>
          <w:rFonts w:hint="eastAsia"/>
        </w:rPr>
        <w:t>%</w:t>
      </w:r>
      <w:r w:rsidR="007B0949">
        <w:rPr>
          <w:rFonts w:hint="eastAsia"/>
        </w:rPr>
        <w:t>（</w:t>
      </w:r>
      <w:r w:rsidR="007B0949">
        <w:rPr>
          <w:rFonts w:hint="eastAsia"/>
        </w:rPr>
        <w:t>2</w:t>
      </w:r>
      <w:r w:rsidR="007B0949">
        <w:t>020</w:t>
      </w:r>
      <w:r w:rsidR="007B0949">
        <w:rPr>
          <w:rFonts w:hint="eastAsia"/>
        </w:rPr>
        <w:t>年受疫情影响，数据有所下降）</w:t>
      </w:r>
      <w:r>
        <w:rPr>
          <w:rFonts w:hint="eastAsia"/>
        </w:rPr>
        <w:t>。而私家车出行占比逐年稳步提升</w:t>
      </w:r>
      <w:r w:rsidR="00E27D80">
        <w:rPr>
          <w:rFonts w:hint="eastAsia"/>
        </w:rPr>
        <w:t>。</w:t>
      </w:r>
      <w:r w:rsidR="00E064CD">
        <w:rPr>
          <w:rFonts w:hint="eastAsia"/>
        </w:rPr>
        <w:t>2</w:t>
      </w:r>
      <w:r w:rsidR="00E064CD">
        <w:t>0</w:t>
      </w:r>
      <w:r w:rsidR="00464048">
        <w:t>21</w:t>
      </w:r>
      <w:r w:rsidR="00464048">
        <w:rPr>
          <w:rFonts w:hint="eastAsia"/>
        </w:rPr>
        <w:t>年</w:t>
      </w:r>
      <w:r>
        <w:rPr>
          <w:rFonts w:hint="eastAsia"/>
        </w:rPr>
        <w:t>，</w:t>
      </w:r>
      <w:r w:rsidR="007B0949">
        <w:rPr>
          <w:rFonts w:hint="eastAsia"/>
        </w:rPr>
        <w:t>中国</w:t>
      </w:r>
      <w:r>
        <w:rPr>
          <w:rFonts w:hint="eastAsia"/>
        </w:rPr>
        <w:t>私人汽车保有量为</w:t>
      </w:r>
      <w:r w:rsidR="007B0949">
        <w:t>2.23</w:t>
      </w:r>
      <w:r w:rsidR="007B0949">
        <w:rPr>
          <w:rFonts w:hint="eastAsia"/>
        </w:rPr>
        <w:t>亿</w:t>
      </w:r>
      <w:r>
        <w:rPr>
          <w:rFonts w:hint="eastAsia"/>
        </w:rPr>
        <w:t>辆，较</w:t>
      </w:r>
      <w:r>
        <w:rPr>
          <w:rFonts w:hint="eastAsia"/>
        </w:rPr>
        <w:t>20</w:t>
      </w:r>
      <w:r w:rsidR="007B0949">
        <w:t>05</w:t>
      </w:r>
      <w:r>
        <w:rPr>
          <w:rFonts w:hint="eastAsia"/>
        </w:rPr>
        <w:t>年增长近</w:t>
      </w:r>
      <w:r w:rsidR="007B0949">
        <w:t>12</w:t>
      </w:r>
      <w:r>
        <w:rPr>
          <w:rFonts w:hint="eastAsia"/>
        </w:rPr>
        <w:t>倍。</w:t>
      </w:r>
    </w:p>
    <w:p w14:paraId="0770CBBC" w14:textId="334ABD38" w:rsidR="00A21B75" w:rsidRDefault="002A4997" w:rsidP="002A4997">
      <w:pPr>
        <w:ind w:firstLineChars="0" w:firstLine="0"/>
      </w:pPr>
      <w:r>
        <w:rPr>
          <w:noProof/>
        </w:rPr>
        <w:lastRenderedPageBreak/>
        <w:drawing>
          <wp:inline distT="0" distB="0" distL="0" distR="0" wp14:anchorId="5549CBFC" wp14:editId="4C34AE01">
            <wp:extent cx="5220000" cy="3091543"/>
            <wp:effectExtent l="0" t="0" r="0" b="13970"/>
            <wp:docPr id="12" name="图表 12">
              <a:extLst xmlns:a="http://schemas.openxmlformats.org/drawingml/2006/main">
                <a:ext uri="{FF2B5EF4-FFF2-40B4-BE49-F238E27FC236}">
                  <a16:creationId xmlns:a16="http://schemas.microsoft.com/office/drawing/2014/main" id="{689CE621-9AA4-40E9-8602-D5FA0FA7E0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5769E507" w14:textId="6A1E9F26" w:rsidR="002A4997" w:rsidRPr="00A8551D" w:rsidRDefault="002A4997" w:rsidP="00AB1A75">
      <w:pPr>
        <w:ind w:firstLineChars="0" w:firstLine="0"/>
        <w:jc w:val="center"/>
        <w:rPr>
          <w:rFonts w:eastAsia="黑体"/>
          <w:sz w:val="24"/>
          <w:szCs w:val="21"/>
        </w:rPr>
      </w:pPr>
      <w:r w:rsidRPr="00A8551D">
        <w:rPr>
          <w:rFonts w:eastAsia="黑体" w:hint="eastAsia"/>
          <w:sz w:val="24"/>
          <w:szCs w:val="21"/>
        </w:rPr>
        <w:t>图</w:t>
      </w:r>
      <w:r w:rsidR="00CD32C3" w:rsidRPr="00A8551D">
        <w:rPr>
          <w:rFonts w:eastAsia="黑体" w:hint="eastAsia"/>
          <w:sz w:val="24"/>
          <w:szCs w:val="21"/>
        </w:rPr>
        <w:t>4</w:t>
      </w:r>
      <w:r w:rsidR="00CD32C3" w:rsidRPr="00A8551D">
        <w:rPr>
          <w:rFonts w:eastAsia="黑体"/>
          <w:sz w:val="24"/>
          <w:szCs w:val="21"/>
        </w:rPr>
        <w:t>-9</w:t>
      </w:r>
      <w:r w:rsidRPr="00A8551D">
        <w:rPr>
          <w:rFonts w:eastAsia="黑体" w:hint="eastAsia"/>
          <w:sz w:val="24"/>
          <w:szCs w:val="21"/>
        </w:rPr>
        <w:t xml:space="preserve"> 20</w:t>
      </w:r>
      <w:r w:rsidRPr="00A8551D">
        <w:rPr>
          <w:rFonts w:eastAsia="黑体"/>
          <w:sz w:val="24"/>
          <w:szCs w:val="21"/>
        </w:rPr>
        <w:t>05</w:t>
      </w:r>
      <w:r w:rsidRPr="00A8551D">
        <w:rPr>
          <w:rFonts w:eastAsia="黑体" w:hint="eastAsia"/>
          <w:sz w:val="24"/>
          <w:szCs w:val="21"/>
        </w:rPr>
        <w:t>-2020</w:t>
      </w:r>
      <w:r w:rsidRPr="00A8551D">
        <w:rPr>
          <w:rFonts w:eastAsia="黑体" w:hint="eastAsia"/>
          <w:sz w:val="24"/>
          <w:szCs w:val="21"/>
        </w:rPr>
        <w:t>年城市出行与人均</w:t>
      </w:r>
      <w:r w:rsidRPr="00A8551D">
        <w:rPr>
          <w:rFonts w:eastAsia="黑体" w:hint="eastAsia"/>
          <w:sz w:val="24"/>
          <w:szCs w:val="21"/>
        </w:rPr>
        <w:t>GDP</w:t>
      </w:r>
      <w:r w:rsidRPr="00A8551D">
        <w:rPr>
          <w:rFonts w:eastAsia="黑体" w:hint="eastAsia"/>
          <w:sz w:val="24"/>
          <w:szCs w:val="21"/>
        </w:rPr>
        <w:t>变化趋势</w:t>
      </w:r>
    </w:p>
    <w:p w14:paraId="2A17BA71" w14:textId="212DB545" w:rsidR="002A4997" w:rsidRDefault="002A4997" w:rsidP="002A4997">
      <w:pPr>
        <w:ind w:firstLineChars="0" w:firstLine="0"/>
      </w:pPr>
      <w:r>
        <w:rPr>
          <w:noProof/>
        </w:rPr>
        <w:drawing>
          <wp:inline distT="0" distB="0" distL="0" distR="0" wp14:anchorId="718FE8D6" wp14:editId="42CC00C4">
            <wp:extent cx="5220000" cy="3091543"/>
            <wp:effectExtent l="0" t="0" r="0" b="13970"/>
            <wp:docPr id="13" name="图表 13">
              <a:extLst xmlns:a="http://schemas.openxmlformats.org/drawingml/2006/main">
                <a:ext uri="{FF2B5EF4-FFF2-40B4-BE49-F238E27FC236}">
                  <a16:creationId xmlns:a16="http://schemas.microsoft.com/office/drawing/2014/main" id="{AEB93625-A18E-4005-AA92-914F8B1B98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1D357BF9" w14:textId="09DE5200" w:rsidR="00A21B75" w:rsidRPr="00A8551D" w:rsidRDefault="002A4997" w:rsidP="00AB1A75">
      <w:pPr>
        <w:ind w:firstLineChars="0" w:firstLine="0"/>
        <w:jc w:val="center"/>
        <w:rPr>
          <w:rFonts w:eastAsia="黑体"/>
          <w:sz w:val="24"/>
          <w:szCs w:val="21"/>
        </w:rPr>
      </w:pPr>
      <w:r w:rsidRPr="00A8551D">
        <w:rPr>
          <w:rFonts w:eastAsia="黑体" w:hint="eastAsia"/>
          <w:sz w:val="24"/>
          <w:szCs w:val="21"/>
        </w:rPr>
        <w:t>图</w:t>
      </w:r>
      <w:r w:rsidR="00CD32C3" w:rsidRPr="00A8551D">
        <w:rPr>
          <w:rFonts w:eastAsia="黑体" w:hint="eastAsia"/>
          <w:sz w:val="24"/>
          <w:szCs w:val="21"/>
        </w:rPr>
        <w:t>4</w:t>
      </w:r>
      <w:r w:rsidR="00CD32C3" w:rsidRPr="00A8551D">
        <w:rPr>
          <w:rFonts w:eastAsia="黑体"/>
          <w:sz w:val="24"/>
          <w:szCs w:val="21"/>
        </w:rPr>
        <w:t>-10</w:t>
      </w:r>
      <w:r w:rsidRPr="00A8551D">
        <w:rPr>
          <w:rFonts w:eastAsia="黑体" w:hint="eastAsia"/>
          <w:sz w:val="24"/>
          <w:szCs w:val="21"/>
        </w:rPr>
        <w:t xml:space="preserve"> 20</w:t>
      </w:r>
      <w:r w:rsidRPr="00A8551D">
        <w:rPr>
          <w:rFonts w:eastAsia="黑体"/>
          <w:sz w:val="24"/>
          <w:szCs w:val="21"/>
        </w:rPr>
        <w:t>05</w:t>
      </w:r>
      <w:r w:rsidRPr="00A8551D">
        <w:rPr>
          <w:rFonts w:eastAsia="黑体" w:hint="eastAsia"/>
          <w:sz w:val="24"/>
          <w:szCs w:val="21"/>
        </w:rPr>
        <w:t>-2020</w:t>
      </w:r>
      <w:r w:rsidRPr="00A8551D">
        <w:rPr>
          <w:rFonts w:eastAsia="黑体" w:hint="eastAsia"/>
          <w:sz w:val="24"/>
          <w:szCs w:val="21"/>
        </w:rPr>
        <w:t>年中国城市居民出行结构变化</w:t>
      </w:r>
    </w:p>
    <w:p w14:paraId="1A9D3ECC" w14:textId="33D9D5C9" w:rsidR="007B0949" w:rsidRDefault="007B0949" w:rsidP="00B526E1">
      <w:pPr>
        <w:ind w:firstLine="560"/>
      </w:pPr>
      <w:r w:rsidRPr="007B0949">
        <w:rPr>
          <w:rFonts w:hint="eastAsia"/>
        </w:rPr>
        <w:t>居民是否选择绿色出行主要受到以下几个因素影响：一是出行条件。良好行车条件与公共交通设施的不足使居民倾向于私家车出行。二是出行距离。出行距离与居民出行方式有较大相关性。近距离出行以步行、自行车为主，中距离以公交和私家车为主，远距离以私家车为主。三是居民经济条件。随着人均</w:t>
      </w:r>
      <w:r w:rsidRPr="007B0949">
        <w:rPr>
          <w:rFonts w:hint="eastAsia"/>
        </w:rPr>
        <w:t>GDP</w:t>
      </w:r>
      <w:r w:rsidRPr="007B0949">
        <w:rPr>
          <w:rFonts w:hint="eastAsia"/>
        </w:rPr>
        <w:t>的增加，私家车保有量将</w:t>
      </w:r>
      <w:r w:rsidRPr="007B0949">
        <w:rPr>
          <w:rFonts w:hint="eastAsia"/>
        </w:rPr>
        <w:lastRenderedPageBreak/>
        <w:t>进一步增长，目前</w:t>
      </w:r>
      <w:r w:rsidR="003A7441">
        <w:rPr>
          <w:rFonts w:hint="eastAsia"/>
        </w:rPr>
        <w:t>中国</w:t>
      </w:r>
      <w:r w:rsidRPr="007B0949">
        <w:rPr>
          <w:rFonts w:hint="eastAsia"/>
        </w:rPr>
        <w:t>私人汽车千人保有量为</w:t>
      </w:r>
      <w:r w:rsidR="003A7441">
        <w:t>159</w:t>
      </w:r>
      <w:r w:rsidRPr="007B0949">
        <w:rPr>
          <w:rFonts w:hint="eastAsia"/>
        </w:rPr>
        <w:t>辆，与全球主要汽车强国及日本韩国等都有明显差距（美国、日本千人拥车量分别为</w:t>
      </w:r>
      <w:r w:rsidRPr="007B0949">
        <w:rPr>
          <w:rFonts w:hint="eastAsia"/>
        </w:rPr>
        <w:t>837</w:t>
      </w:r>
      <w:r w:rsidRPr="007B0949">
        <w:rPr>
          <w:rFonts w:hint="eastAsia"/>
        </w:rPr>
        <w:t>辆、</w:t>
      </w:r>
      <w:r w:rsidRPr="007B0949">
        <w:rPr>
          <w:rFonts w:hint="eastAsia"/>
        </w:rPr>
        <w:t>650</w:t>
      </w:r>
      <w:r w:rsidRPr="007B0949">
        <w:rPr>
          <w:rFonts w:hint="eastAsia"/>
        </w:rPr>
        <w:t>辆）</w:t>
      </w:r>
      <w:r w:rsidR="003A7441">
        <w:rPr>
          <w:rFonts w:hint="eastAsia"/>
        </w:rPr>
        <w:t>。综合多家研究机构预测数据，本次研究通过分析人均</w:t>
      </w:r>
      <w:r w:rsidR="003A7441">
        <w:rPr>
          <w:rFonts w:hint="eastAsia"/>
        </w:rPr>
        <w:t>GDP</w:t>
      </w:r>
      <w:r w:rsidR="00A20FBA">
        <w:rPr>
          <w:rFonts w:hint="eastAsia"/>
        </w:rPr>
        <w:t>、</w:t>
      </w:r>
      <w:r w:rsidR="003A7441">
        <w:rPr>
          <w:rFonts w:hint="eastAsia"/>
        </w:rPr>
        <w:t>居民人均可支配收入、城镇化率、</w:t>
      </w:r>
      <w:r w:rsidR="003A7441">
        <w:rPr>
          <w:rFonts w:hint="eastAsia"/>
        </w:rPr>
        <w:t>6</w:t>
      </w:r>
      <w:r w:rsidR="003A7441">
        <w:t>5</w:t>
      </w:r>
      <w:r w:rsidR="003A7441">
        <w:rPr>
          <w:rFonts w:hint="eastAsia"/>
        </w:rPr>
        <w:t>岁以上人口比例等多个因素，构建私人乘用车</w:t>
      </w:r>
      <w:r w:rsidR="00C73530">
        <w:rPr>
          <w:rFonts w:hint="eastAsia"/>
        </w:rPr>
        <w:t>预测模型。</w:t>
      </w:r>
      <w:r w:rsidR="00A20FBA">
        <w:rPr>
          <w:rFonts w:hint="eastAsia"/>
        </w:rPr>
        <w:t>研究</w:t>
      </w:r>
      <w:r w:rsidR="00C73530">
        <w:rPr>
          <w:rFonts w:hint="eastAsia"/>
        </w:rPr>
        <w:t>结果显示，</w:t>
      </w:r>
      <w:r w:rsidRPr="007B0949">
        <w:rPr>
          <w:rFonts w:hint="eastAsia"/>
        </w:rPr>
        <w:t>到</w:t>
      </w:r>
      <w:r w:rsidRPr="007B0949">
        <w:rPr>
          <w:rFonts w:hint="eastAsia"/>
        </w:rPr>
        <w:t>20</w:t>
      </w:r>
      <w:r w:rsidR="00C73530">
        <w:t>30</w:t>
      </w:r>
      <w:r w:rsidRPr="007B0949">
        <w:rPr>
          <w:rFonts w:hint="eastAsia"/>
        </w:rPr>
        <w:t>年</w:t>
      </w:r>
      <w:r w:rsidR="00C73530">
        <w:rPr>
          <w:rFonts w:hint="eastAsia"/>
        </w:rPr>
        <w:t>中国</w:t>
      </w:r>
      <w:r w:rsidRPr="007B0949">
        <w:rPr>
          <w:rFonts w:hint="eastAsia"/>
        </w:rPr>
        <w:t>私人乘用车数量</w:t>
      </w:r>
      <w:r w:rsidR="00A20FBA">
        <w:rPr>
          <w:rFonts w:hint="eastAsia"/>
        </w:rPr>
        <w:t>将</w:t>
      </w:r>
      <w:r w:rsidRPr="007B0949">
        <w:rPr>
          <w:rFonts w:hint="eastAsia"/>
        </w:rPr>
        <w:t>达到</w:t>
      </w:r>
      <w:r w:rsidR="00C73530">
        <w:t>3.56</w:t>
      </w:r>
      <w:r w:rsidR="00C73530">
        <w:rPr>
          <w:rFonts w:hint="eastAsia"/>
        </w:rPr>
        <w:t>亿</w:t>
      </w:r>
      <w:r w:rsidRPr="007B0949">
        <w:rPr>
          <w:rFonts w:hint="eastAsia"/>
        </w:rPr>
        <w:t>辆，千人保有</w:t>
      </w:r>
      <w:r w:rsidR="00754E72">
        <w:rPr>
          <w:rFonts w:hint="eastAsia"/>
        </w:rPr>
        <w:t>量</w:t>
      </w:r>
      <w:r w:rsidRPr="007B0949">
        <w:rPr>
          <w:rFonts w:hint="eastAsia"/>
        </w:rPr>
        <w:t>达到</w:t>
      </w:r>
      <w:r w:rsidR="00C73530">
        <w:rPr>
          <w:rFonts w:hint="eastAsia"/>
        </w:rPr>
        <w:t>2</w:t>
      </w:r>
      <w:r w:rsidR="00C73530">
        <w:t>49</w:t>
      </w:r>
      <w:r w:rsidRPr="007B0949">
        <w:rPr>
          <w:rFonts w:hint="eastAsia"/>
        </w:rPr>
        <w:t>辆；到</w:t>
      </w:r>
      <w:r w:rsidRPr="007B0949">
        <w:rPr>
          <w:rFonts w:hint="eastAsia"/>
        </w:rPr>
        <w:t>20</w:t>
      </w:r>
      <w:r w:rsidR="00C73530">
        <w:t>40</w:t>
      </w:r>
      <w:r w:rsidRPr="007B0949">
        <w:rPr>
          <w:rFonts w:hint="eastAsia"/>
        </w:rPr>
        <w:t>年</w:t>
      </w:r>
      <w:r w:rsidR="00C73530">
        <w:rPr>
          <w:rFonts w:hint="eastAsia"/>
        </w:rPr>
        <w:t>达到峰值，为</w:t>
      </w:r>
      <w:r w:rsidR="00C73530">
        <w:rPr>
          <w:rFonts w:hint="eastAsia"/>
        </w:rPr>
        <w:t>4</w:t>
      </w:r>
      <w:r w:rsidR="00C73530">
        <w:t>.01</w:t>
      </w:r>
      <w:r w:rsidR="00C73530">
        <w:rPr>
          <w:rFonts w:hint="eastAsia"/>
        </w:rPr>
        <w:t>亿</w:t>
      </w:r>
      <w:r w:rsidRPr="007B0949">
        <w:rPr>
          <w:rFonts w:hint="eastAsia"/>
        </w:rPr>
        <w:t>辆，千人保有</w:t>
      </w:r>
      <w:r w:rsidR="00754E72">
        <w:rPr>
          <w:rFonts w:hint="eastAsia"/>
        </w:rPr>
        <w:t>量</w:t>
      </w:r>
      <w:r w:rsidRPr="007B0949">
        <w:rPr>
          <w:rFonts w:hint="eastAsia"/>
        </w:rPr>
        <w:t>达到</w:t>
      </w:r>
      <w:r w:rsidR="00C73530">
        <w:t>292</w:t>
      </w:r>
      <w:r w:rsidRPr="007B0949">
        <w:rPr>
          <w:rFonts w:hint="eastAsia"/>
        </w:rPr>
        <w:t>辆</w:t>
      </w:r>
      <w:r w:rsidR="00C73530">
        <w:rPr>
          <w:rFonts w:hint="eastAsia"/>
        </w:rPr>
        <w:t>；到</w:t>
      </w:r>
      <w:r w:rsidR="00C73530">
        <w:t>2060</w:t>
      </w:r>
      <w:r w:rsidR="00C73530">
        <w:rPr>
          <w:rFonts w:hint="eastAsia"/>
        </w:rPr>
        <w:t>年，随着智能交通、共享交通的普及，居民出行习惯将出行显著变化，私家车保有量将降至</w:t>
      </w:r>
      <w:r w:rsidR="00C73530">
        <w:rPr>
          <w:rFonts w:hint="eastAsia"/>
        </w:rPr>
        <w:t>3</w:t>
      </w:r>
      <w:r w:rsidR="00C73530">
        <w:t>.14</w:t>
      </w:r>
      <w:r w:rsidR="00C73530">
        <w:rPr>
          <w:rFonts w:hint="eastAsia"/>
        </w:rPr>
        <w:t>亿辆。</w:t>
      </w:r>
      <w:r w:rsidRPr="007B0949">
        <w:rPr>
          <w:rFonts w:hint="eastAsia"/>
        </w:rPr>
        <w:t>四是低碳意识。部分居民受教育程度高，对新事物接纳快且社会责任感强，适当引导和现实条件配合能减少小汽车出行次数，提高低碳出行比例，减少能源消费量。</w:t>
      </w:r>
    </w:p>
    <w:p w14:paraId="251B623E" w14:textId="0717F128" w:rsidR="007B0949" w:rsidRDefault="00C73530" w:rsidP="00C73530">
      <w:pPr>
        <w:ind w:firstLineChars="0" w:firstLine="0"/>
      </w:pPr>
      <w:r>
        <w:rPr>
          <w:noProof/>
        </w:rPr>
        <w:drawing>
          <wp:inline distT="0" distB="0" distL="0" distR="0" wp14:anchorId="3C8B2FDF" wp14:editId="6E48303D">
            <wp:extent cx="5274310" cy="2690495"/>
            <wp:effectExtent l="0" t="0" r="2540" b="14605"/>
            <wp:docPr id="14" name="图表 14">
              <a:extLst xmlns:a="http://schemas.openxmlformats.org/drawingml/2006/main">
                <a:ext uri="{FF2B5EF4-FFF2-40B4-BE49-F238E27FC236}">
                  <a16:creationId xmlns:a16="http://schemas.microsoft.com/office/drawing/2014/main" id="{C71A7713-D4DA-458D-B622-3527BD086D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30E80386" w14:textId="14007B13" w:rsidR="007B0949" w:rsidRPr="00A8551D" w:rsidRDefault="00C73530" w:rsidP="00AB1A75">
      <w:pPr>
        <w:ind w:firstLineChars="0" w:firstLine="0"/>
        <w:jc w:val="center"/>
        <w:rPr>
          <w:rFonts w:eastAsia="黑体"/>
          <w:sz w:val="24"/>
          <w:szCs w:val="21"/>
        </w:rPr>
      </w:pPr>
      <w:r w:rsidRPr="00A8551D">
        <w:rPr>
          <w:rFonts w:eastAsia="黑体" w:hint="eastAsia"/>
          <w:sz w:val="24"/>
          <w:szCs w:val="21"/>
        </w:rPr>
        <w:t>图</w:t>
      </w:r>
      <w:r w:rsidR="00CD32C3" w:rsidRPr="00A8551D">
        <w:rPr>
          <w:rFonts w:eastAsia="黑体"/>
          <w:sz w:val="24"/>
          <w:szCs w:val="21"/>
        </w:rPr>
        <w:t>4</w:t>
      </w:r>
      <w:r w:rsidRPr="00A8551D">
        <w:rPr>
          <w:rFonts w:eastAsia="黑体" w:hint="eastAsia"/>
          <w:sz w:val="24"/>
          <w:szCs w:val="21"/>
        </w:rPr>
        <w:t>-</w:t>
      </w:r>
      <w:r w:rsidR="00CD32C3" w:rsidRPr="00A8551D">
        <w:rPr>
          <w:rFonts w:eastAsia="黑体"/>
          <w:sz w:val="24"/>
          <w:szCs w:val="21"/>
        </w:rPr>
        <w:t>11</w:t>
      </w:r>
      <w:r w:rsidRPr="00A8551D">
        <w:rPr>
          <w:rFonts w:eastAsia="黑体" w:hint="eastAsia"/>
          <w:sz w:val="24"/>
          <w:szCs w:val="21"/>
        </w:rPr>
        <w:t xml:space="preserve"> 20</w:t>
      </w:r>
      <w:r w:rsidRPr="00A8551D">
        <w:rPr>
          <w:rFonts w:eastAsia="黑体"/>
          <w:sz w:val="24"/>
          <w:szCs w:val="21"/>
        </w:rPr>
        <w:t>20</w:t>
      </w:r>
      <w:r w:rsidRPr="00A8551D">
        <w:rPr>
          <w:rFonts w:eastAsia="黑体" w:hint="eastAsia"/>
          <w:sz w:val="24"/>
          <w:szCs w:val="21"/>
        </w:rPr>
        <w:t>-20</w:t>
      </w:r>
      <w:r w:rsidRPr="00A8551D">
        <w:rPr>
          <w:rFonts w:eastAsia="黑体"/>
          <w:sz w:val="24"/>
          <w:szCs w:val="21"/>
        </w:rPr>
        <w:t>60</w:t>
      </w:r>
      <w:r w:rsidRPr="00A8551D">
        <w:rPr>
          <w:rFonts w:eastAsia="黑体" w:hint="eastAsia"/>
          <w:sz w:val="24"/>
          <w:szCs w:val="21"/>
        </w:rPr>
        <w:t>年私家车保有量趋势预测</w:t>
      </w:r>
    </w:p>
    <w:p w14:paraId="7263C667" w14:textId="46EB3DC3" w:rsidR="007B0949" w:rsidRDefault="00C73530" w:rsidP="00B526E1">
      <w:pPr>
        <w:ind w:firstLine="560"/>
      </w:pPr>
      <w:r w:rsidRPr="00C73530">
        <w:rPr>
          <w:rFonts w:hint="eastAsia"/>
        </w:rPr>
        <w:t>随着经济发展水平引致的城镇化及人均收入水平的提高，居民出行量必将持续上升。</w:t>
      </w:r>
      <w:r>
        <w:rPr>
          <w:rFonts w:hint="eastAsia"/>
        </w:rPr>
        <w:t>通过</w:t>
      </w:r>
      <w:r w:rsidRPr="00C73530">
        <w:rPr>
          <w:rFonts w:hint="eastAsia"/>
        </w:rPr>
        <w:t>完善公共交通基础设施，加快城市轨道交通、公交专用道、快速公交系统等大容量公共交通基础设施建设，加强自</w:t>
      </w:r>
      <w:r w:rsidRPr="00C73530">
        <w:rPr>
          <w:rFonts w:hint="eastAsia"/>
        </w:rPr>
        <w:lastRenderedPageBreak/>
        <w:t>行车专用道和行人步道等城市慢行系统建设，保障居民能够便捷的乘坐公共交通工具</w:t>
      </w:r>
      <w:r>
        <w:rPr>
          <w:rFonts w:hint="eastAsia"/>
        </w:rPr>
        <w:t>，</w:t>
      </w:r>
      <w:r w:rsidRPr="00C73530">
        <w:rPr>
          <w:rFonts w:hint="eastAsia"/>
        </w:rPr>
        <w:t>宣传低碳出行文化，引领居民采用公共交通工具出行。</w:t>
      </w:r>
      <w:r>
        <w:rPr>
          <w:rFonts w:hint="eastAsia"/>
        </w:rPr>
        <w:t>依照</w:t>
      </w:r>
      <w:r w:rsidRPr="00C73530">
        <w:rPr>
          <w:rFonts w:hint="eastAsia"/>
        </w:rPr>
        <w:t>《</w:t>
      </w:r>
      <w:r w:rsidRPr="00C73530">
        <w:rPr>
          <w:rFonts w:hint="eastAsia"/>
        </w:rPr>
        <w:t>2030</w:t>
      </w:r>
      <w:r w:rsidRPr="00C73530">
        <w:rPr>
          <w:rFonts w:hint="eastAsia"/>
        </w:rPr>
        <w:t>年前碳达峰行动方案》</w:t>
      </w:r>
      <w:r>
        <w:rPr>
          <w:rFonts w:hint="eastAsia"/>
        </w:rPr>
        <w:t>等文件规划，</w:t>
      </w:r>
      <w:r w:rsidRPr="00C73530">
        <w:rPr>
          <w:rFonts w:hint="eastAsia"/>
        </w:rPr>
        <w:t>到</w:t>
      </w:r>
      <w:r w:rsidRPr="00C73530">
        <w:rPr>
          <w:rFonts w:hint="eastAsia"/>
        </w:rPr>
        <w:t>2030</w:t>
      </w:r>
      <w:r w:rsidRPr="00C73530">
        <w:rPr>
          <w:rFonts w:hint="eastAsia"/>
        </w:rPr>
        <w:t>年，城区常住人口</w:t>
      </w:r>
      <w:r w:rsidRPr="00C73530">
        <w:rPr>
          <w:rFonts w:hint="eastAsia"/>
        </w:rPr>
        <w:t>100</w:t>
      </w:r>
      <w:r w:rsidRPr="00C73530">
        <w:rPr>
          <w:rFonts w:hint="eastAsia"/>
        </w:rPr>
        <w:t>万以上的城市绿色出行比例不低于</w:t>
      </w:r>
      <w:r w:rsidRPr="00C73530">
        <w:rPr>
          <w:rFonts w:hint="eastAsia"/>
        </w:rPr>
        <w:t>70%</w:t>
      </w:r>
      <w:r w:rsidRPr="00C73530">
        <w:rPr>
          <w:rFonts w:hint="eastAsia"/>
        </w:rPr>
        <w:t>。</w:t>
      </w:r>
    </w:p>
    <w:p w14:paraId="3D7483F1" w14:textId="5DF83094" w:rsidR="0043252B" w:rsidRDefault="006F6DA0" w:rsidP="0043252B">
      <w:pPr>
        <w:pStyle w:val="4"/>
      </w:pPr>
      <w:r>
        <w:rPr>
          <w:rFonts w:hint="eastAsia"/>
        </w:rPr>
        <w:t>4</w:t>
      </w:r>
      <w:r>
        <w:t>.2.</w:t>
      </w:r>
      <w:r w:rsidR="0043252B">
        <w:t>3</w:t>
      </w:r>
      <w:r>
        <w:t xml:space="preserve"> </w:t>
      </w:r>
      <w:r w:rsidR="00A568C4">
        <w:rPr>
          <w:rFonts w:hint="eastAsia"/>
        </w:rPr>
        <w:t>能效</w:t>
      </w:r>
      <w:r w:rsidR="00851ED8">
        <w:rPr>
          <w:rFonts w:hint="eastAsia"/>
        </w:rPr>
        <w:t>提升</w:t>
      </w:r>
    </w:p>
    <w:p w14:paraId="17DB6145" w14:textId="7230B376" w:rsidR="00B94391" w:rsidRDefault="00851ED8" w:rsidP="00851ED8">
      <w:pPr>
        <w:ind w:firstLine="560"/>
      </w:pPr>
      <w:r>
        <w:rPr>
          <w:rFonts w:hint="eastAsia"/>
        </w:rPr>
        <w:t>运载工具能源利用效率</w:t>
      </w:r>
      <w:r w:rsidR="00A754D1">
        <w:rPr>
          <w:rFonts w:hint="eastAsia"/>
        </w:rPr>
        <w:t>受到</w:t>
      </w:r>
      <w:r>
        <w:rPr>
          <w:rFonts w:hint="eastAsia"/>
        </w:rPr>
        <w:t>运输装备燃料类型、运输装备技术水平、</w:t>
      </w:r>
      <w:r w:rsidR="00B94391">
        <w:rPr>
          <w:rFonts w:hint="eastAsia"/>
        </w:rPr>
        <w:t>轻量化材料利用情况、生态驾驶普及、网络货运的普及、自动驾驶技术应用</w:t>
      </w:r>
      <w:r w:rsidR="00EA0370" w:rsidRPr="00EA0370">
        <w:rPr>
          <w:rFonts w:hint="eastAsia"/>
        </w:rPr>
        <w:t>等多方面因素</w:t>
      </w:r>
      <w:r>
        <w:rPr>
          <w:rFonts w:hint="eastAsia"/>
        </w:rPr>
        <w:t>影响。</w:t>
      </w:r>
    </w:p>
    <w:p w14:paraId="1148CCF1" w14:textId="5B475A3D" w:rsidR="00B94391" w:rsidRPr="00CD32C3" w:rsidRDefault="00B94391" w:rsidP="00851ED8">
      <w:pPr>
        <w:ind w:firstLine="562"/>
        <w:rPr>
          <w:b/>
          <w:bCs/>
        </w:rPr>
      </w:pPr>
      <w:r w:rsidRPr="00CD32C3">
        <w:rPr>
          <w:rFonts w:hint="eastAsia"/>
          <w:b/>
          <w:bCs/>
        </w:rPr>
        <w:t>（</w:t>
      </w:r>
      <w:r w:rsidRPr="00CD32C3">
        <w:rPr>
          <w:rFonts w:hint="eastAsia"/>
          <w:b/>
          <w:bCs/>
        </w:rPr>
        <w:t>1</w:t>
      </w:r>
      <w:r w:rsidRPr="00CD32C3">
        <w:rPr>
          <w:rFonts w:hint="eastAsia"/>
          <w:b/>
          <w:bCs/>
        </w:rPr>
        <w:t>）运输装备（传统）燃料类型</w:t>
      </w:r>
    </w:p>
    <w:p w14:paraId="6DECBBC5" w14:textId="6E68C0BF" w:rsidR="00B94391" w:rsidRDefault="00851ED8" w:rsidP="00851ED8">
      <w:pPr>
        <w:ind w:firstLine="560"/>
      </w:pPr>
      <w:r>
        <w:rPr>
          <w:rFonts w:hint="eastAsia"/>
        </w:rPr>
        <w:t>不同的能源类型的发动机，在提供同等动力的情况下，其碳排放及能效存在差异，影响碳排放量。以汽、柴油机为例，现阶段汽油机效率一般在</w:t>
      </w:r>
      <w:r>
        <w:rPr>
          <w:rFonts w:hint="eastAsia"/>
        </w:rPr>
        <w:t>20-30%</w:t>
      </w:r>
      <w:r>
        <w:rPr>
          <w:rFonts w:hint="eastAsia"/>
        </w:rPr>
        <w:t>，柴油机效率一般在</w:t>
      </w:r>
      <w:r>
        <w:rPr>
          <w:rFonts w:hint="eastAsia"/>
        </w:rPr>
        <w:t>28-40%</w:t>
      </w:r>
      <w:r w:rsidR="00D72451">
        <w:rPr>
          <w:rFonts w:hint="eastAsia"/>
        </w:rPr>
        <w:t>。满足同等运输需求的条件下，</w:t>
      </w:r>
      <w:r>
        <w:rPr>
          <w:rFonts w:hint="eastAsia"/>
        </w:rPr>
        <w:t>柴油机车辆要比汽油机车辆油耗低</w:t>
      </w:r>
      <w:r>
        <w:rPr>
          <w:rFonts w:hint="eastAsia"/>
        </w:rPr>
        <w:t>15%</w:t>
      </w:r>
      <w:r>
        <w:rPr>
          <w:rFonts w:hint="eastAsia"/>
        </w:rPr>
        <w:t>左右。</w:t>
      </w:r>
    </w:p>
    <w:p w14:paraId="0FC34598" w14:textId="6C9D9C16" w:rsidR="00B94391" w:rsidRPr="00CD32C3" w:rsidRDefault="00B94391" w:rsidP="00851ED8">
      <w:pPr>
        <w:ind w:firstLine="562"/>
        <w:rPr>
          <w:b/>
          <w:bCs/>
        </w:rPr>
      </w:pPr>
      <w:r w:rsidRPr="00CD32C3">
        <w:rPr>
          <w:rFonts w:hint="eastAsia"/>
          <w:b/>
          <w:bCs/>
        </w:rPr>
        <w:t>（</w:t>
      </w:r>
      <w:r w:rsidRPr="00CD32C3">
        <w:rPr>
          <w:rFonts w:hint="eastAsia"/>
          <w:b/>
          <w:bCs/>
        </w:rPr>
        <w:t>2</w:t>
      </w:r>
      <w:r w:rsidRPr="00CD32C3">
        <w:rPr>
          <w:rFonts w:hint="eastAsia"/>
          <w:b/>
          <w:bCs/>
        </w:rPr>
        <w:t>）燃油经济性的提高</w:t>
      </w:r>
    </w:p>
    <w:p w14:paraId="5D7F62CA" w14:textId="310F16D5" w:rsidR="00321486" w:rsidRDefault="00851ED8" w:rsidP="00321486">
      <w:pPr>
        <w:ind w:firstLine="560"/>
      </w:pPr>
      <w:r>
        <w:rPr>
          <w:rFonts w:hint="eastAsia"/>
        </w:rPr>
        <w:t>节能技术进步将进一步提高燃油经济性。</w:t>
      </w:r>
      <w:r w:rsidR="00266EA7">
        <w:rPr>
          <w:rFonts w:hint="eastAsia"/>
        </w:rPr>
        <w:t>公路</w:t>
      </w:r>
      <w:r>
        <w:rPr>
          <w:rFonts w:hint="eastAsia"/>
        </w:rPr>
        <w:t>运载工具汽油和柴油发动机效率仍有提高空间，随着轻量化、发动机节油技术的应用，发动机能源利用效率最高可达</w:t>
      </w:r>
      <w:r>
        <w:rPr>
          <w:rFonts w:hint="eastAsia"/>
        </w:rPr>
        <w:t>45-50%</w:t>
      </w:r>
      <w:r>
        <w:rPr>
          <w:rFonts w:hint="eastAsia"/>
        </w:rPr>
        <w:t>。船舶大型化技术、船型标准化等一系列技术应用，水路运输的能源效率提升潜力为</w:t>
      </w:r>
      <w:r>
        <w:rPr>
          <w:rFonts w:hint="eastAsia"/>
        </w:rPr>
        <w:t>20%</w:t>
      </w:r>
      <w:r>
        <w:rPr>
          <w:rFonts w:hint="eastAsia"/>
        </w:rPr>
        <w:t>左右。</w:t>
      </w:r>
    </w:p>
    <w:p w14:paraId="2AEBAFD0" w14:textId="2EC48E83" w:rsidR="00495975" w:rsidRDefault="00495975" w:rsidP="00321486">
      <w:pPr>
        <w:ind w:firstLine="560"/>
      </w:pPr>
    </w:p>
    <w:p w14:paraId="459C0A29" w14:textId="0E3EA72E" w:rsidR="00495975" w:rsidRDefault="00495975" w:rsidP="00321486">
      <w:pPr>
        <w:ind w:firstLine="560"/>
      </w:pPr>
    </w:p>
    <w:p w14:paraId="14A052DA" w14:textId="65971F14" w:rsidR="00495975" w:rsidRDefault="00495975" w:rsidP="00321486">
      <w:pPr>
        <w:ind w:firstLine="560"/>
      </w:pPr>
    </w:p>
    <w:p w14:paraId="719030B5" w14:textId="77777777" w:rsidR="00495975" w:rsidRDefault="00495975" w:rsidP="00321486">
      <w:pPr>
        <w:ind w:firstLine="560"/>
      </w:pPr>
    </w:p>
    <w:p w14:paraId="08AA4041" w14:textId="55AA54C1" w:rsidR="00B94391" w:rsidRPr="00AB1A75" w:rsidRDefault="00321486" w:rsidP="00321486">
      <w:pPr>
        <w:ind w:firstLineChars="0" w:firstLine="0"/>
        <w:jc w:val="center"/>
        <w:rPr>
          <w:rFonts w:eastAsia="黑体"/>
        </w:rPr>
      </w:pPr>
      <w:r w:rsidRPr="00AB1A75">
        <w:rPr>
          <w:rFonts w:eastAsia="黑体" w:hint="eastAsia"/>
        </w:rPr>
        <w:lastRenderedPageBreak/>
        <w:t>表</w:t>
      </w:r>
      <w:r w:rsidR="00CD32C3">
        <w:rPr>
          <w:rFonts w:eastAsia="黑体" w:hint="eastAsia"/>
        </w:rPr>
        <w:t>4</w:t>
      </w:r>
      <w:r w:rsidR="00CD32C3">
        <w:rPr>
          <w:rFonts w:eastAsia="黑体"/>
        </w:rPr>
        <w:t>-3</w:t>
      </w:r>
      <w:r w:rsidRPr="00AB1A75">
        <w:rPr>
          <w:rFonts w:eastAsia="黑体" w:hint="eastAsia"/>
        </w:rPr>
        <w:t xml:space="preserve"> </w:t>
      </w:r>
      <w:r w:rsidRPr="00AB1A75">
        <w:rPr>
          <w:rFonts w:eastAsia="黑体" w:hint="eastAsia"/>
        </w:rPr>
        <w:t>节能汽车总体目标</w:t>
      </w:r>
    </w:p>
    <w:tbl>
      <w:tblPr>
        <w:tblW w:w="5000" w:type="pct"/>
        <w:tblLook w:val="04A0" w:firstRow="1" w:lastRow="0" w:firstColumn="1" w:lastColumn="0" w:noHBand="0" w:noVBand="1"/>
      </w:tblPr>
      <w:tblGrid>
        <w:gridCol w:w="1751"/>
        <w:gridCol w:w="2243"/>
        <w:gridCol w:w="2243"/>
        <w:gridCol w:w="2059"/>
      </w:tblGrid>
      <w:tr w:rsidR="00321486" w:rsidRPr="00321486" w14:paraId="2FC73AE5" w14:textId="77777777" w:rsidTr="00321486">
        <w:trPr>
          <w:trHeight w:val="360"/>
        </w:trPr>
        <w:tc>
          <w:tcPr>
            <w:tcW w:w="105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C241906" w14:textId="2A8C393A" w:rsidR="00321486" w:rsidRPr="00321486" w:rsidRDefault="00321486" w:rsidP="00321486">
            <w:pPr>
              <w:widowControl/>
              <w:spacing w:line="240" w:lineRule="auto"/>
              <w:ind w:firstLineChars="0" w:firstLine="0"/>
              <w:jc w:val="center"/>
              <w:rPr>
                <w:rFonts w:eastAsia="DengXian"/>
                <w:b/>
                <w:bCs/>
                <w:color w:val="000000"/>
                <w:kern w:val="0"/>
                <w:sz w:val="24"/>
                <w:szCs w:val="24"/>
              </w:rPr>
            </w:pPr>
          </w:p>
        </w:tc>
        <w:tc>
          <w:tcPr>
            <w:tcW w:w="1352" w:type="pct"/>
            <w:tcBorders>
              <w:top w:val="single" w:sz="4" w:space="0" w:color="auto"/>
              <w:left w:val="nil"/>
              <w:bottom w:val="single" w:sz="4" w:space="0" w:color="auto"/>
              <w:right w:val="single" w:sz="4" w:space="0" w:color="auto"/>
            </w:tcBorders>
            <w:shd w:val="clear" w:color="auto" w:fill="auto"/>
            <w:vAlign w:val="center"/>
            <w:hideMark/>
          </w:tcPr>
          <w:p w14:paraId="4FE0C296" w14:textId="77777777" w:rsidR="00321486" w:rsidRPr="00321486" w:rsidRDefault="00321486" w:rsidP="00321486">
            <w:pPr>
              <w:widowControl/>
              <w:spacing w:line="240" w:lineRule="auto"/>
              <w:ind w:firstLineChars="0" w:firstLine="0"/>
              <w:jc w:val="center"/>
              <w:rPr>
                <w:rFonts w:eastAsia="DengXian"/>
                <w:b/>
                <w:bCs/>
                <w:color w:val="000000"/>
                <w:kern w:val="0"/>
                <w:sz w:val="24"/>
                <w:szCs w:val="24"/>
              </w:rPr>
            </w:pPr>
            <w:r w:rsidRPr="00321486">
              <w:rPr>
                <w:rFonts w:eastAsia="DengXian"/>
                <w:b/>
                <w:bCs/>
                <w:color w:val="000000"/>
                <w:kern w:val="0"/>
                <w:sz w:val="24"/>
                <w:szCs w:val="24"/>
              </w:rPr>
              <w:t>2025</w:t>
            </w:r>
            <w:r w:rsidRPr="00321486">
              <w:rPr>
                <w:rFonts w:ascii="楷体" w:eastAsia="楷体" w:hAnsi="楷体" w:hint="eastAsia"/>
                <w:b/>
                <w:bCs/>
                <w:color w:val="000000"/>
                <w:kern w:val="0"/>
                <w:sz w:val="24"/>
                <w:szCs w:val="24"/>
              </w:rPr>
              <w:t>年</w:t>
            </w:r>
          </w:p>
        </w:tc>
        <w:tc>
          <w:tcPr>
            <w:tcW w:w="1352" w:type="pct"/>
            <w:tcBorders>
              <w:top w:val="single" w:sz="4" w:space="0" w:color="auto"/>
              <w:left w:val="nil"/>
              <w:bottom w:val="single" w:sz="4" w:space="0" w:color="auto"/>
              <w:right w:val="single" w:sz="4" w:space="0" w:color="auto"/>
            </w:tcBorders>
            <w:shd w:val="clear" w:color="auto" w:fill="auto"/>
            <w:vAlign w:val="center"/>
            <w:hideMark/>
          </w:tcPr>
          <w:p w14:paraId="7C95D24D" w14:textId="77777777" w:rsidR="00321486" w:rsidRPr="00321486" w:rsidRDefault="00321486" w:rsidP="00321486">
            <w:pPr>
              <w:widowControl/>
              <w:spacing w:line="240" w:lineRule="auto"/>
              <w:ind w:firstLineChars="0" w:firstLine="0"/>
              <w:jc w:val="center"/>
              <w:rPr>
                <w:rFonts w:eastAsia="DengXian"/>
                <w:b/>
                <w:bCs/>
                <w:color w:val="000000"/>
                <w:kern w:val="0"/>
                <w:sz w:val="24"/>
                <w:szCs w:val="24"/>
              </w:rPr>
            </w:pPr>
            <w:r w:rsidRPr="00321486">
              <w:rPr>
                <w:rFonts w:eastAsia="DengXian"/>
                <w:b/>
                <w:bCs/>
                <w:color w:val="000000"/>
                <w:kern w:val="0"/>
                <w:sz w:val="24"/>
                <w:szCs w:val="24"/>
              </w:rPr>
              <w:t>2030</w:t>
            </w:r>
            <w:r w:rsidRPr="00321486">
              <w:rPr>
                <w:rFonts w:ascii="楷体" w:eastAsia="楷体" w:hAnsi="楷体" w:hint="eastAsia"/>
                <w:b/>
                <w:bCs/>
                <w:color w:val="000000"/>
                <w:kern w:val="0"/>
                <w:sz w:val="24"/>
                <w:szCs w:val="24"/>
              </w:rPr>
              <w:t>年</w:t>
            </w:r>
          </w:p>
        </w:tc>
        <w:tc>
          <w:tcPr>
            <w:tcW w:w="1241" w:type="pct"/>
            <w:tcBorders>
              <w:top w:val="single" w:sz="4" w:space="0" w:color="auto"/>
              <w:left w:val="nil"/>
              <w:bottom w:val="single" w:sz="4" w:space="0" w:color="auto"/>
              <w:right w:val="single" w:sz="4" w:space="0" w:color="auto"/>
            </w:tcBorders>
            <w:shd w:val="clear" w:color="auto" w:fill="auto"/>
            <w:vAlign w:val="center"/>
            <w:hideMark/>
          </w:tcPr>
          <w:p w14:paraId="1AB1BDB3" w14:textId="77777777" w:rsidR="00321486" w:rsidRPr="00321486" w:rsidRDefault="00321486" w:rsidP="00321486">
            <w:pPr>
              <w:widowControl/>
              <w:spacing w:line="240" w:lineRule="auto"/>
              <w:ind w:firstLineChars="0" w:firstLine="0"/>
              <w:jc w:val="center"/>
              <w:rPr>
                <w:rFonts w:eastAsia="DengXian"/>
                <w:b/>
                <w:bCs/>
                <w:color w:val="000000"/>
                <w:kern w:val="0"/>
                <w:sz w:val="24"/>
                <w:szCs w:val="24"/>
              </w:rPr>
            </w:pPr>
            <w:r w:rsidRPr="00321486">
              <w:rPr>
                <w:rFonts w:eastAsia="DengXian"/>
                <w:b/>
                <w:bCs/>
                <w:color w:val="000000"/>
                <w:kern w:val="0"/>
                <w:sz w:val="24"/>
                <w:szCs w:val="24"/>
              </w:rPr>
              <w:t>2035</w:t>
            </w:r>
            <w:r w:rsidRPr="00321486">
              <w:rPr>
                <w:rFonts w:ascii="楷体" w:eastAsia="楷体" w:hAnsi="楷体" w:hint="eastAsia"/>
                <w:b/>
                <w:bCs/>
                <w:color w:val="000000"/>
                <w:kern w:val="0"/>
                <w:sz w:val="24"/>
                <w:szCs w:val="24"/>
              </w:rPr>
              <w:t>年</w:t>
            </w:r>
          </w:p>
        </w:tc>
      </w:tr>
      <w:tr w:rsidR="00321486" w:rsidRPr="00321486" w14:paraId="670B6535" w14:textId="77777777" w:rsidTr="00321486">
        <w:trPr>
          <w:trHeight w:val="335"/>
        </w:trPr>
        <w:tc>
          <w:tcPr>
            <w:tcW w:w="1055" w:type="pct"/>
            <w:tcBorders>
              <w:top w:val="nil"/>
              <w:left w:val="single" w:sz="4" w:space="0" w:color="auto"/>
              <w:bottom w:val="single" w:sz="4" w:space="0" w:color="auto"/>
              <w:right w:val="single" w:sz="4" w:space="0" w:color="auto"/>
            </w:tcBorders>
            <w:shd w:val="clear" w:color="auto" w:fill="auto"/>
            <w:vAlign w:val="center"/>
            <w:hideMark/>
          </w:tcPr>
          <w:p w14:paraId="092B25E2" w14:textId="77777777" w:rsidR="00321486" w:rsidRPr="00321486" w:rsidRDefault="00321486" w:rsidP="00321486">
            <w:pPr>
              <w:widowControl/>
              <w:spacing w:line="240" w:lineRule="auto"/>
              <w:ind w:firstLineChars="0" w:firstLine="0"/>
              <w:jc w:val="center"/>
              <w:rPr>
                <w:rFonts w:eastAsia="DengXian"/>
                <w:b/>
                <w:bCs/>
                <w:color w:val="000000"/>
                <w:kern w:val="0"/>
                <w:sz w:val="24"/>
                <w:szCs w:val="24"/>
              </w:rPr>
            </w:pPr>
            <w:r w:rsidRPr="00321486">
              <w:rPr>
                <w:rFonts w:ascii="楷体" w:eastAsia="楷体" w:hAnsi="楷体" w:hint="eastAsia"/>
                <w:b/>
                <w:bCs/>
                <w:color w:val="000000"/>
                <w:kern w:val="0"/>
                <w:sz w:val="24"/>
                <w:szCs w:val="24"/>
              </w:rPr>
              <w:t>乘用车</w:t>
            </w:r>
          </w:p>
        </w:tc>
        <w:tc>
          <w:tcPr>
            <w:tcW w:w="1352" w:type="pct"/>
            <w:tcBorders>
              <w:top w:val="nil"/>
              <w:left w:val="nil"/>
              <w:bottom w:val="single" w:sz="4" w:space="0" w:color="auto"/>
              <w:right w:val="single" w:sz="4" w:space="0" w:color="auto"/>
            </w:tcBorders>
            <w:shd w:val="clear" w:color="auto" w:fill="auto"/>
            <w:vAlign w:val="center"/>
            <w:hideMark/>
          </w:tcPr>
          <w:p w14:paraId="5758F58A" w14:textId="77777777" w:rsidR="00321486" w:rsidRPr="00321486" w:rsidRDefault="00321486" w:rsidP="00321486">
            <w:pPr>
              <w:widowControl/>
              <w:spacing w:line="240" w:lineRule="auto"/>
              <w:ind w:firstLineChars="0" w:firstLine="0"/>
              <w:jc w:val="left"/>
              <w:rPr>
                <w:rFonts w:eastAsia="DengXian"/>
                <w:color w:val="000000"/>
                <w:kern w:val="0"/>
                <w:sz w:val="24"/>
                <w:szCs w:val="24"/>
              </w:rPr>
            </w:pPr>
            <w:r w:rsidRPr="00321486">
              <w:rPr>
                <w:rFonts w:ascii="楷体" w:eastAsia="楷体" w:hAnsi="楷体" w:hint="eastAsia"/>
                <w:color w:val="000000"/>
                <w:kern w:val="0"/>
                <w:sz w:val="24"/>
                <w:szCs w:val="24"/>
              </w:rPr>
              <w:t>传统能源乘用车油耗</w:t>
            </w:r>
            <w:r w:rsidRPr="00321486">
              <w:rPr>
                <w:rFonts w:eastAsia="DengXian"/>
                <w:color w:val="000000"/>
                <w:kern w:val="0"/>
                <w:sz w:val="24"/>
                <w:szCs w:val="24"/>
              </w:rPr>
              <w:t>5.6L/100Km</w:t>
            </w:r>
          </w:p>
        </w:tc>
        <w:tc>
          <w:tcPr>
            <w:tcW w:w="1352" w:type="pct"/>
            <w:tcBorders>
              <w:top w:val="nil"/>
              <w:left w:val="nil"/>
              <w:bottom w:val="single" w:sz="4" w:space="0" w:color="auto"/>
              <w:right w:val="single" w:sz="4" w:space="0" w:color="auto"/>
            </w:tcBorders>
            <w:shd w:val="clear" w:color="auto" w:fill="auto"/>
            <w:vAlign w:val="center"/>
            <w:hideMark/>
          </w:tcPr>
          <w:p w14:paraId="0AD08FF2" w14:textId="77777777" w:rsidR="00321486" w:rsidRPr="00321486" w:rsidRDefault="00321486" w:rsidP="00321486">
            <w:pPr>
              <w:widowControl/>
              <w:spacing w:line="240" w:lineRule="auto"/>
              <w:ind w:firstLineChars="0" w:firstLine="0"/>
              <w:jc w:val="left"/>
              <w:rPr>
                <w:rFonts w:eastAsia="DengXian"/>
                <w:color w:val="000000"/>
                <w:kern w:val="0"/>
                <w:sz w:val="24"/>
                <w:szCs w:val="24"/>
              </w:rPr>
            </w:pPr>
            <w:r w:rsidRPr="00321486">
              <w:rPr>
                <w:rFonts w:ascii="楷体" w:eastAsia="楷体" w:hAnsi="楷体" w:hint="eastAsia"/>
                <w:color w:val="000000"/>
                <w:kern w:val="0"/>
                <w:sz w:val="24"/>
                <w:szCs w:val="24"/>
              </w:rPr>
              <w:t>传统能源乘用车油耗</w:t>
            </w:r>
            <w:r w:rsidRPr="00321486">
              <w:rPr>
                <w:rFonts w:eastAsia="DengXian"/>
                <w:color w:val="000000"/>
                <w:kern w:val="0"/>
                <w:sz w:val="24"/>
                <w:szCs w:val="24"/>
              </w:rPr>
              <w:t>4.8L/100Km</w:t>
            </w:r>
          </w:p>
        </w:tc>
        <w:tc>
          <w:tcPr>
            <w:tcW w:w="1241" w:type="pct"/>
            <w:tcBorders>
              <w:top w:val="nil"/>
              <w:left w:val="nil"/>
              <w:bottom w:val="single" w:sz="4" w:space="0" w:color="auto"/>
              <w:right w:val="single" w:sz="4" w:space="0" w:color="auto"/>
            </w:tcBorders>
            <w:shd w:val="clear" w:color="auto" w:fill="auto"/>
            <w:vAlign w:val="center"/>
            <w:hideMark/>
          </w:tcPr>
          <w:p w14:paraId="7E2EDE19" w14:textId="77777777" w:rsidR="00321486" w:rsidRPr="00321486" w:rsidRDefault="00321486" w:rsidP="00321486">
            <w:pPr>
              <w:widowControl/>
              <w:spacing w:line="240" w:lineRule="auto"/>
              <w:ind w:firstLineChars="0" w:firstLine="0"/>
              <w:jc w:val="left"/>
              <w:rPr>
                <w:rFonts w:eastAsia="DengXian"/>
                <w:color w:val="000000"/>
                <w:kern w:val="0"/>
                <w:sz w:val="24"/>
                <w:szCs w:val="24"/>
              </w:rPr>
            </w:pPr>
            <w:r w:rsidRPr="00321486">
              <w:rPr>
                <w:rFonts w:ascii="楷体" w:eastAsia="楷体" w:hAnsi="楷体" w:hint="eastAsia"/>
                <w:color w:val="000000"/>
                <w:kern w:val="0"/>
                <w:sz w:val="24"/>
                <w:szCs w:val="24"/>
              </w:rPr>
              <w:t>传统能源乘用车油耗</w:t>
            </w:r>
            <w:r w:rsidRPr="00321486">
              <w:rPr>
                <w:rFonts w:eastAsia="DengXian"/>
                <w:color w:val="000000"/>
                <w:kern w:val="0"/>
                <w:sz w:val="24"/>
                <w:szCs w:val="24"/>
              </w:rPr>
              <w:t>4L/100Km</w:t>
            </w:r>
          </w:p>
        </w:tc>
      </w:tr>
      <w:tr w:rsidR="00321486" w:rsidRPr="00321486" w14:paraId="46C3C16B" w14:textId="77777777" w:rsidTr="00321486">
        <w:trPr>
          <w:trHeight w:val="767"/>
        </w:trPr>
        <w:tc>
          <w:tcPr>
            <w:tcW w:w="1055" w:type="pct"/>
            <w:vMerge w:val="restart"/>
            <w:tcBorders>
              <w:top w:val="nil"/>
              <w:left w:val="single" w:sz="4" w:space="0" w:color="auto"/>
              <w:bottom w:val="single" w:sz="4" w:space="0" w:color="auto"/>
              <w:right w:val="single" w:sz="4" w:space="0" w:color="auto"/>
            </w:tcBorders>
            <w:shd w:val="clear" w:color="auto" w:fill="auto"/>
            <w:vAlign w:val="center"/>
            <w:hideMark/>
          </w:tcPr>
          <w:p w14:paraId="3B369379" w14:textId="77777777" w:rsidR="00321486" w:rsidRPr="00321486" w:rsidRDefault="00321486" w:rsidP="00321486">
            <w:pPr>
              <w:widowControl/>
              <w:spacing w:line="240" w:lineRule="auto"/>
              <w:ind w:firstLineChars="0" w:firstLine="0"/>
              <w:jc w:val="center"/>
              <w:rPr>
                <w:rFonts w:eastAsia="DengXian"/>
                <w:b/>
                <w:bCs/>
                <w:color w:val="000000"/>
                <w:kern w:val="0"/>
                <w:sz w:val="24"/>
                <w:szCs w:val="24"/>
              </w:rPr>
            </w:pPr>
            <w:r w:rsidRPr="00321486">
              <w:rPr>
                <w:rFonts w:ascii="楷体" w:eastAsia="楷体" w:hAnsi="楷体" w:hint="eastAsia"/>
                <w:b/>
                <w:bCs/>
                <w:color w:val="000000"/>
                <w:kern w:val="0"/>
                <w:sz w:val="24"/>
                <w:szCs w:val="24"/>
              </w:rPr>
              <w:t>商用车</w:t>
            </w:r>
          </w:p>
        </w:tc>
        <w:tc>
          <w:tcPr>
            <w:tcW w:w="1352" w:type="pct"/>
            <w:tcBorders>
              <w:top w:val="nil"/>
              <w:left w:val="nil"/>
              <w:bottom w:val="single" w:sz="4" w:space="0" w:color="auto"/>
              <w:right w:val="single" w:sz="4" w:space="0" w:color="auto"/>
            </w:tcBorders>
            <w:shd w:val="clear" w:color="auto" w:fill="auto"/>
            <w:vAlign w:val="center"/>
            <w:hideMark/>
          </w:tcPr>
          <w:p w14:paraId="37C44E0B" w14:textId="4C51D1DF" w:rsidR="00321486" w:rsidRPr="00321486" w:rsidRDefault="00321486" w:rsidP="00321486">
            <w:pPr>
              <w:widowControl/>
              <w:spacing w:line="240" w:lineRule="auto"/>
              <w:ind w:firstLineChars="0" w:firstLine="0"/>
              <w:jc w:val="left"/>
              <w:rPr>
                <w:rFonts w:eastAsia="DengXian"/>
                <w:color w:val="000000"/>
                <w:kern w:val="0"/>
                <w:sz w:val="24"/>
                <w:szCs w:val="24"/>
              </w:rPr>
            </w:pPr>
            <w:r w:rsidRPr="00321486">
              <w:rPr>
                <w:rFonts w:ascii="楷体" w:eastAsia="楷体" w:hAnsi="楷体" w:hint="eastAsia"/>
                <w:color w:val="000000"/>
                <w:kern w:val="0"/>
                <w:sz w:val="24"/>
                <w:szCs w:val="24"/>
              </w:rPr>
              <w:t>载货汽车油耗较</w:t>
            </w:r>
            <w:r w:rsidRPr="00321486">
              <w:rPr>
                <w:rFonts w:eastAsia="DengXian"/>
                <w:color w:val="000000"/>
                <w:kern w:val="0"/>
                <w:sz w:val="24"/>
                <w:szCs w:val="24"/>
              </w:rPr>
              <w:t>2019</w:t>
            </w:r>
            <w:r w:rsidRPr="00321486">
              <w:rPr>
                <w:rFonts w:ascii="楷体" w:eastAsia="楷体" w:hAnsi="楷体" w:hint="eastAsia"/>
                <w:color w:val="000000"/>
                <w:kern w:val="0"/>
                <w:sz w:val="24"/>
                <w:szCs w:val="24"/>
              </w:rPr>
              <w:t>年降低</w:t>
            </w:r>
            <w:r w:rsidR="00EA0370">
              <w:rPr>
                <w:rFonts w:eastAsia="DengXian"/>
                <w:color w:val="000000"/>
                <w:kern w:val="0"/>
                <w:sz w:val="24"/>
                <w:szCs w:val="24"/>
              </w:rPr>
              <w:t>10</w:t>
            </w:r>
            <w:r w:rsidRPr="00321486">
              <w:rPr>
                <w:rFonts w:eastAsia="DengXian"/>
                <w:color w:val="000000"/>
                <w:kern w:val="0"/>
                <w:sz w:val="24"/>
                <w:szCs w:val="24"/>
              </w:rPr>
              <w:t>%-1</w:t>
            </w:r>
            <w:r w:rsidR="00EA0370">
              <w:rPr>
                <w:rFonts w:eastAsia="DengXian"/>
                <w:color w:val="000000"/>
                <w:kern w:val="0"/>
                <w:sz w:val="24"/>
                <w:szCs w:val="24"/>
              </w:rPr>
              <w:t>5</w:t>
            </w:r>
            <w:r w:rsidRPr="00321486">
              <w:rPr>
                <w:rFonts w:eastAsia="DengXian"/>
                <w:color w:val="000000"/>
                <w:kern w:val="0"/>
                <w:sz w:val="24"/>
                <w:szCs w:val="24"/>
              </w:rPr>
              <w:t>%</w:t>
            </w:r>
          </w:p>
        </w:tc>
        <w:tc>
          <w:tcPr>
            <w:tcW w:w="1352" w:type="pct"/>
            <w:tcBorders>
              <w:top w:val="nil"/>
              <w:left w:val="nil"/>
              <w:bottom w:val="single" w:sz="4" w:space="0" w:color="auto"/>
              <w:right w:val="single" w:sz="4" w:space="0" w:color="auto"/>
            </w:tcBorders>
            <w:shd w:val="clear" w:color="auto" w:fill="auto"/>
            <w:vAlign w:val="center"/>
            <w:hideMark/>
          </w:tcPr>
          <w:p w14:paraId="00F2C19C" w14:textId="1E504549" w:rsidR="00321486" w:rsidRPr="00321486" w:rsidRDefault="00321486" w:rsidP="00321486">
            <w:pPr>
              <w:widowControl/>
              <w:spacing w:line="240" w:lineRule="auto"/>
              <w:ind w:firstLineChars="0" w:firstLine="0"/>
              <w:jc w:val="left"/>
              <w:rPr>
                <w:rFonts w:eastAsia="DengXian"/>
                <w:color w:val="000000"/>
                <w:kern w:val="0"/>
                <w:sz w:val="24"/>
                <w:szCs w:val="24"/>
              </w:rPr>
            </w:pPr>
            <w:r w:rsidRPr="00321486">
              <w:rPr>
                <w:rFonts w:ascii="楷体" w:eastAsia="楷体" w:hAnsi="楷体" w:hint="eastAsia"/>
                <w:color w:val="000000"/>
                <w:kern w:val="0"/>
                <w:sz w:val="24"/>
                <w:szCs w:val="24"/>
              </w:rPr>
              <w:t>载货汽车油耗较</w:t>
            </w:r>
            <w:r w:rsidRPr="00321486">
              <w:rPr>
                <w:rFonts w:eastAsia="DengXian"/>
                <w:color w:val="000000"/>
                <w:kern w:val="0"/>
                <w:sz w:val="24"/>
                <w:szCs w:val="24"/>
              </w:rPr>
              <w:t>20</w:t>
            </w:r>
            <w:r w:rsidR="00EA0370">
              <w:rPr>
                <w:rFonts w:eastAsia="DengXian"/>
                <w:color w:val="000000"/>
                <w:kern w:val="0"/>
                <w:sz w:val="24"/>
                <w:szCs w:val="24"/>
              </w:rPr>
              <w:t>25</w:t>
            </w:r>
            <w:r w:rsidRPr="00321486">
              <w:rPr>
                <w:rFonts w:ascii="楷体" w:eastAsia="楷体" w:hAnsi="楷体" w:hint="eastAsia"/>
                <w:color w:val="000000"/>
                <w:kern w:val="0"/>
                <w:sz w:val="24"/>
                <w:szCs w:val="24"/>
              </w:rPr>
              <w:t>年降低</w:t>
            </w:r>
            <w:r w:rsidRPr="00321486">
              <w:rPr>
                <w:rFonts w:eastAsia="DengXian"/>
                <w:color w:val="000000"/>
                <w:kern w:val="0"/>
                <w:sz w:val="24"/>
                <w:szCs w:val="24"/>
              </w:rPr>
              <w:t>1</w:t>
            </w:r>
            <w:r w:rsidR="00EA0370">
              <w:rPr>
                <w:rFonts w:eastAsia="DengXian"/>
                <w:color w:val="000000"/>
                <w:kern w:val="0"/>
                <w:sz w:val="24"/>
                <w:szCs w:val="24"/>
              </w:rPr>
              <w:t>0</w:t>
            </w:r>
            <w:r w:rsidRPr="00321486">
              <w:rPr>
                <w:rFonts w:eastAsia="DengXian"/>
                <w:color w:val="000000"/>
                <w:kern w:val="0"/>
                <w:sz w:val="24"/>
                <w:szCs w:val="24"/>
              </w:rPr>
              <w:t>%-</w:t>
            </w:r>
            <w:r w:rsidR="00EA0370">
              <w:rPr>
                <w:rFonts w:eastAsia="DengXian"/>
                <w:color w:val="000000"/>
                <w:kern w:val="0"/>
                <w:sz w:val="24"/>
                <w:szCs w:val="24"/>
              </w:rPr>
              <w:t>15</w:t>
            </w:r>
            <w:r w:rsidRPr="00321486">
              <w:rPr>
                <w:rFonts w:eastAsia="DengXian"/>
                <w:color w:val="000000"/>
                <w:kern w:val="0"/>
                <w:sz w:val="24"/>
                <w:szCs w:val="24"/>
              </w:rPr>
              <w:t>%</w:t>
            </w:r>
          </w:p>
        </w:tc>
        <w:tc>
          <w:tcPr>
            <w:tcW w:w="1241" w:type="pct"/>
            <w:tcBorders>
              <w:top w:val="nil"/>
              <w:left w:val="nil"/>
              <w:bottom w:val="single" w:sz="4" w:space="0" w:color="auto"/>
              <w:right w:val="single" w:sz="4" w:space="0" w:color="auto"/>
            </w:tcBorders>
            <w:shd w:val="clear" w:color="auto" w:fill="auto"/>
            <w:vAlign w:val="center"/>
            <w:hideMark/>
          </w:tcPr>
          <w:p w14:paraId="7BFA2754" w14:textId="1480AFDD" w:rsidR="00321486" w:rsidRPr="00321486" w:rsidRDefault="00321486" w:rsidP="00321486">
            <w:pPr>
              <w:widowControl/>
              <w:spacing w:line="240" w:lineRule="auto"/>
              <w:ind w:firstLineChars="0" w:firstLine="0"/>
              <w:jc w:val="left"/>
              <w:rPr>
                <w:rFonts w:eastAsia="DengXian"/>
                <w:color w:val="000000"/>
                <w:kern w:val="0"/>
                <w:sz w:val="24"/>
                <w:szCs w:val="24"/>
              </w:rPr>
            </w:pPr>
            <w:r w:rsidRPr="00321486">
              <w:rPr>
                <w:rFonts w:ascii="楷体" w:eastAsia="楷体" w:hAnsi="楷体" w:hint="eastAsia"/>
                <w:color w:val="000000"/>
                <w:kern w:val="0"/>
                <w:sz w:val="24"/>
                <w:szCs w:val="24"/>
              </w:rPr>
              <w:t>载货汽车油耗较</w:t>
            </w:r>
            <w:r w:rsidRPr="00321486">
              <w:rPr>
                <w:rFonts w:eastAsia="DengXian"/>
                <w:color w:val="000000"/>
                <w:kern w:val="0"/>
                <w:sz w:val="24"/>
                <w:szCs w:val="24"/>
              </w:rPr>
              <w:t>20</w:t>
            </w:r>
            <w:r w:rsidR="00EA0370">
              <w:rPr>
                <w:rFonts w:eastAsia="DengXian"/>
                <w:color w:val="000000"/>
                <w:kern w:val="0"/>
                <w:sz w:val="24"/>
                <w:szCs w:val="24"/>
              </w:rPr>
              <w:t>30</w:t>
            </w:r>
            <w:r w:rsidRPr="00321486">
              <w:rPr>
                <w:rFonts w:ascii="楷体" w:eastAsia="楷体" w:hAnsi="楷体" w:hint="eastAsia"/>
                <w:color w:val="000000"/>
                <w:kern w:val="0"/>
                <w:sz w:val="24"/>
                <w:szCs w:val="24"/>
              </w:rPr>
              <w:t>年降低</w:t>
            </w:r>
            <w:r w:rsidR="00EA0370">
              <w:rPr>
                <w:rFonts w:eastAsia="DengXian"/>
                <w:color w:val="000000"/>
                <w:kern w:val="0"/>
                <w:sz w:val="24"/>
                <w:szCs w:val="24"/>
              </w:rPr>
              <w:t>10</w:t>
            </w:r>
            <w:r w:rsidRPr="00321486">
              <w:rPr>
                <w:rFonts w:eastAsia="DengXian"/>
                <w:color w:val="000000"/>
                <w:kern w:val="0"/>
                <w:sz w:val="24"/>
                <w:szCs w:val="24"/>
              </w:rPr>
              <w:t>%-</w:t>
            </w:r>
            <w:r w:rsidR="00EA0370">
              <w:rPr>
                <w:rFonts w:eastAsia="DengXian"/>
                <w:color w:val="000000"/>
                <w:kern w:val="0"/>
                <w:sz w:val="24"/>
                <w:szCs w:val="24"/>
              </w:rPr>
              <w:t>15</w:t>
            </w:r>
            <w:r w:rsidRPr="00321486">
              <w:rPr>
                <w:rFonts w:eastAsia="DengXian"/>
                <w:color w:val="000000"/>
                <w:kern w:val="0"/>
                <w:sz w:val="24"/>
                <w:szCs w:val="24"/>
              </w:rPr>
              <w:t>%</w:t>
            </w:r>
          </w:p>
        </w:tc>
      </w:tr>
      <w:tr w:rsidR="00321486" w:rsidRPr="00321486" w14:paraId="67B2C6EA" w14:textId="77777777" w:rsidTr="00321486">
        <w:trPr>
          <w:trHeight w:val="329"/>
        </w:trPr>
        <w:tc>
          <w:tcPr>
            <w:tcW w:w="1055" w:type="pct"/>
            <w:vMerge/>
            <w:tcBorders>
              <w:top w:val="nil"/>
              <w:left w:val="single" w:sz="4" w:space="0" w:color="auto"/>
              <w:bottom w:val="single" w:sz="4" w:space="0" w:color="auto"/>
              <w:right w:val="single" w:sz="4" w:space="0" w:color="auto"/>
            </w:tcBorders>
            <w:vAlign w:val="center"/>
            <w:hideMark/>
          </w:tcPr>
          <w:p w14:paraId="5EE00DA5" w14:textId="77777777" w:rsidR="00321486" w:rsidRPr="00321486" w:rsidRDefault="00321486" w:rsidP="00321486">
            <w:pPr>
              <w:widowControl/>
              <w:spacing w:line="240" w:lineRule="auto"/>
              <w:ind w:firstLineChars="0" w:firstLine="0"/>
              <w:jc w:val="left"/>
              <w:rPr>
                <w:rFonts w:eastAsia="DengXian"/>
                <w:b/>
                <w:bCs/>
                <w:color w:val="000000"/>
                <w:kern w:val="0"/>
                <w:sz w:val="24"/>
                <w:szCs w:val="24"/>
              </w:rPr>
            </w:pPr>
          </w:p>
        </w:tc>
        <w:tc>
          <w:tcPr>
            <w:tcW w:w="1352" w:type="pct"/>
            <w:tcBorders>
              <w:top w:val="nil"/>
              <w:left w:val="nil"/>
              <w:bottom w:val="single" w:sz="4" w:space="0" w:color="auto"/>
              <w:right w:val="single" w:sz="4" w:space="0" w:color="auto"/>
            </w:tcBorders>
            <w:shd w:val="clear" w:color="auto" w:fill="auto"/>
            <w:vAlign w:val="center"/>
            <w:hideMark/>
          </w:tcPr>
          <w:p w14:paraId="547862BC" w14:textId="77777777" w:rsidR="00321486" w:rsidRPr="00321486" w:rsidRDefault="00321486" w:rsidP="00321486">
            <w:pPr>
              <w:widowControl/>
              <w:spacing w:line="240" w:lineRule="auto"/>
              <w:ind w:firstLineChars="0" w:firstLine="0"/>
              <w:jc w:val="left"/>
              <w:rPr>
                <w:rFonts w:eastAsia="DengXian"/>
                <w:color w:val="000000"/>
                <w:kern w:val="0"/>
                <w:sz w:val="24"/>
                <w:szCs w:val="24"/>
              </w:rPr>
            </w:pPr>
            <w:r w:rsidRPr="00321486">
              <w:rPr>
                <w:rFonts w:ascii="楷体" w:eastAsia="楷体" w:hAnsi="楷体" w:hint="eastAsia"/>
                <w:color w:val="000000"/>
                <w:kern w:val="0"/>
                <w:sz w:val="24"/>
                <w:szCs w:val="24"/>
              </w:rPr>
              <w:t>客车油耗较</w:t>
            </w:r>
            <w:r w:rsidRPr="00321486">
              <w:rPr>
                <w:rFonts w:eastAsia="DengXian"/>
                <w:color w:val="000000"/>
                <w:kern w:val="0"/>
                <w:sz w:val="24"/>
                <w:szCs w:val="24"/>
              </w:rPr>
              <w:t>2019</w:t>
            </w:r>
            <w:r w:rsidRPr="00321486">
              <w:rPr>
                <w:rFonts w:ascii="楷体" w:eastAsia="楷体" w:hAnsi="楷体" w:hint="eastAsia"/>
                <w:color w:val="000000"/>
                <w:kern w:val="0"/>
                <w:sz w:val="24"/>
                <w:szCs w:val="24"/>
              </w:rPr>
              <w:t>年降低</w:t>
            </w:r>
            <w:r w:rsidRPr="00321486">
              <w:rPr>
                <w:rFonts w:eastAsia="DengXian"/>
                <w:color w:val="000000"/>
                <w:kern w:val="0"/>
                <w:sz w:val="24"/>
                <w:szCs w:val="24"/>
              </w:rPr>
              <w:t>10%-15%</w:t>
            </w:r>
          </w:p>
        </w:tc>
        <w:tc>
          <w:tcPr>
            <w:tcW w:w="1352" w:type="pct"/>
            <w:tcBorders>
              <w:top w:val="nil"/>
              <w:left w:val="nil"/>
              <w:bottom w:val="single" w:sz="4" w:space="0" w:color="auto"/>
              <w:right w:val="single" w:sz="4" w:space="0" w:color="auto"/>
            </w:tcBorders>
            <w:shd w:val="clear" w:color="auto" w:fill="auto"/>
            <w:vAlign w:val="center"/>
            <w:hideMark/>
          </w:tcPr>
          <w:p w14:paraId="2970A070" w14:textId="64819CE8" w:rsidR="00321486" w:rsidRPr="00321486" w:rsidRDefault="00321486" w:rsidP="00321486">
            <w:pPr>
              <w:widowControl/>
              <w:spacing w:line="240" w:lineRule="auto"/>
              <w:ind w:firstLineChars="0" w:firstLine="0"/>
              <w:jc w:val="left"/>
              <w:rPr>
                <w:rFonts w:eastAsia="DengXian"/>
                <w:color w:val="000000"/>
                <w:kern w:val="0"/>
                <w:sz w:val="24"/>
                <w:szCs w:val="24"/>
              </w:rPr>
            </w:pPr>
            <w:r w:rsidRPr="00321486">
              <w:rPr>
                <w:rFonts w:ascii="楷体" w:eastAsia="楷体" w:hAnsi="楷体" w:hint="eastAsia"/>
                <w:color w:val="000000"/>
                <w:kern w:val="0"/>
                <w:sz w:val="24"/>
                <w:szCs w:val="24"/>
              </w:rPr>
              <w:t>客车油耗较</w:t>
            </w:r>
            <w:r w:rsidR="00EA0370" w:rsidRPr="00321486">
              <w:rPr>
                <w:rFonts w:eastAsia="DengXian"/>
                <w:color w:val="000000"/>
                <w:kern w:val="0"/>
                <w:sz w:val="24"/>
                <w:szCs w:val="24"/>
              </w:rPr>
              <w:t>20</w:t>
            </w:r>
            <w:r w:rsidR="00EA0370">
              <w:rPr>
                <w:rFonts w:eastAsia="DengXian"/>
                <w:color w:val="000000"/>
                <w:kern w:val="0"/>
                <w:sz w:val="24"/>
                <w:szCs w:val="24"/>
              </w:rPr>
              <w:t>25</w:t>
            </w:r>
            <w:r w:rsidR="00EA0370" w:rsidRPr="00321486">
              <w:rPr>
                <w:rFonts w:ascii="楷体" w:eastAsia="楷体" w:hAnsi="楷体" w:hint="eastAsia"/>
                <w:color w:val="000000"/>
                <w:kern w:val="0"/>
                <w:sz w:val="24"/>
                <w:szCs w:val="24"/>
              </w:rPr>
              <w:t>年降低</w:t>
            </w:r>
            <w:r w:rsidR="00EA0370" w:rsidRPr="00321486">
              <w:rPr>
                <w:rFonts w:eastAsia="DengXian"/>
                <w:color w:val="000000"/>
                <w:kern w:val="0"/>
                <w:sz w:val="24"/>
                <w:szCs w:val="24"/>
              </w:rPr>
              <w:t>1</w:t>
            </w:r>
            <w:r w:rsidR="00EA0370">
              <w:rPr>
                <w:rFonts w:eastAsia="DengXian"/>
                <w:color w:val="000000"/>
                <w:kern w:val="0"/>
                <w:sz w:val="24"/>
                <w:szCs w:val="24"/>
              </w:rPr>
              <w:t>0</w:t>
            </w:r>
            <w:r w:rsidR="00EA0370" w:rsidRPr="00321486">
              <w:rPr>
                <w:rFonts w:eastAsia="DengXian"/>
                <w:color w:val="000000"/>
                <w:kern w:val="0"/>
                <w:sz w:val="24"/>
                <w:szCs w:val="24"/>
              </w:rPr>
              <w:t>%-</w:t>
            </w:r>
            <w:r w:rsidR="00EA0370">
              <w:rPr>
                <w:rFonts w:eastAsia="DengXian"/>
                <w:color w:val="000000"/>
                <w:kern w:val="0"/>
                <w:sz w:val="24"/>
                <w:szCs w:val="24"/>
              </w:rPr>
              <w:t>15</w:t>
            </w:r>
            <w:r w:rsidR="00EA0370" w:rsidRPr="00321486">
              <w:rPr>
                <w:rFonts w:eastAsia="DengXian"/>
                <w:color w:val="000000"/>
                <w:kern w:val="0"/>
                <w:sz w:val="24"/>
                <w:szCs w:val="24"/>
              </w:rPr>
              <w:t>%</w:t>
            </w:r>
          </w:p>
        </w:tc>
        <w:tc>
          <w:tcPr>
            <w:tcW w:w="1241" w:type="pct"/>
            <w:tcBorders>
              <w:top w:val="nil"/>
              <w:left w:val="nil"/>
              <w:bottom w:val="single" w:sz="4" w:space="0" w:color="auto"/>
              <w:right w:val="single" w:sz="4" w:space="0" w:color="auto"/>
            </w:tcBorders>
            <w:shd w:val="clear" w:color="auto" w:fill="auto"/>
            <w:vAlign w:val="center"/>
            <w:hideMark/>
          </w:tcPr>
          <w:p w14:paraId="60C7AFDE" w14:textId="541CA786" w:rsidR="00321486" w:rsidRPr="00321486" w:rsidRDefault="00321486" w:rsidP="00321486">
            <w:pPr>
              <w:widowControl/>
              <w:spacing w:line="240" w:lineRule="auto"/>
              <w:ind w:firstLineChars="0" w:firstLine="0"/>
              <w:jc w:val="left"/>
              <w:rPr>
                <w:rFonts w:eastAsia="DengXian"/>
                <w:color w:val="000000"/>
                <w:kern w:val="0"/>
                <w:sz w:val="24"/>
                <w:szCs w:val="24"/>
              </w:rPr>
            </w:pPr>
            <w:r w:rsidRPr="00321486">
              <w:rPr>
                <w:rFonts w:ascii="楷体" w:eastAsia="楷体" w:hAnsi="楷体" w:hint="eastAsia"/>
                <w:color w:val="000000"/>
                <w:kern w:val="0"/>
                <w:sz w:val="24"/>
                <w:szCs w:val="24"/>
              </w:rPr>
              <w:t>客车油耗较</w:t>
            </w:r>
            <w:r w:rsidRPr="00321486">
              <w:rPr>
                <w:rFonts w:eastAsia="DengXian"/>
                <w:color w:val="000000"/>
                <w:kern w:val="0"/>
                <w:sz w:val="24"/>
                <w:szCs w:val="24"/>
              </w:rPr>
              <w:t>20</w:t>
            </w:r>
            <w:r w:rsidR="00EA0370">
              <w:rPr>
                <w:rFonts w:eastAsia="DengXian"/>
                <w:color w:val="000000"/>
                <w:kern w:val="0"/>
                <w:sz w:val="24"/>
                <w:szCs w:val="24"/>
              </w:rPr>
              <w:t>30</w:t>
            </w:r>
            <w:r w:rsidRPr="00321486">
              <w:rPr>
                <w:rFonts w:ascii="楷体" w:eastAsia="楷体" w:hAnsi="楷体" w:hint="eastAsia"/>
                <w:color w:val="000000"/>
                <w:kern w:val="0"/>
                <w:sz w:val="24"/>
                <w:szCs w:val="24"/>
              </w:rPr>
              <w:t>年降低</w:t>
            </w:r>
            <w:r w:rsidR="00EA0370">
              <w:rPr>
                <w:rFonts w:eastAsia="DengXian"/>
                <w:color w:val="000000"/>
                <w:kern w:val="0"/>
                <w:sz w:val="24"/>
                <w:szCs w:val="24"/>
              </w:rPr>
              <w:t>1</w:t>
            </w:r>
            <w:r w:rsidR="00CD564A" w:rsidRPr="00CD564A">
              <w:rPr>
                <w:rFonts w:eastAsia="DengXian"/>
                <w:color w:val="000000"/>
                <w:kern w:val="0"/>
                <w:sz w:val="24"/>
                <w:szCs w:val="24"/>
              </w:rPr>
              <w:t>0%-</w:t>
            </w:r>
            <w:r w:rsidR="00EA0370">
              <w:rPr>
                <w:rFonts w:eastAsia="DengXian"/>
                <w:color w:val="000000"/>
                <w:kern w:val="0"/>
                <w:sz w:val="24"/>
                <w:szCs w:val="24"/>
              </w:rPr>
              <w:t>1</w:t>
            </w:r>
            <w:r w:rsidR="00CD564A" w:rsidRPr="00CD564A">
              <w:rPr>
                <w:rFonts w:eastAsia="DengXian"/>
                <w:color w:val="000000"/>
                <w:kern w:val="0"/>
                <w:sz w:val="24"/>
                <w:szCs w:val="24"/>
              </w:rPr>
              <w:t>5%</w:t>
            </w:r>
          </w:p>
        </w:tc>
      </w:tr>
    </w:tbl>
    <w:p w14:paraId="034BDFFC" w14:textId="6D2EB68F" w:rsidR="00B94391" w:rsidRPr="00495975" w:rsidRDefault="00321486" w:rsidP="00B94391">
      <w:pPr>
        <w:ind w:firstLineChars="0" w:firstLine="0"/>
        <w:rPr>
          <w:rFonts w:ascii="楷体" w:eastAsia="楷体" w:hAnsi="楷体"/>
          <w:sz w:val="24"/>
          <w:szCs w:val="21"/>
        </w:rPr>
      </w:pPr>
      <w:r w:rsidRPr="00495975">
        <w:rPr>
          <w:rFonts w:ascii="楷体" w:eastAsia="楷体" w:hAnsi="楷体" w:hint="eastAsia"/>
          <w:sz w:val="24"/>
          <w:szCs w:val="21"/>
        </w:rPr>
        <w:t>来源：《节能与新能源汽车技术路线图2.0》</w:t>
      </w:r>
      <w:r w:rsidR="00266EA7" w:rsidRPr="00495975">
        <w:rPr>
          <w:rFonts w:ascii="楷体" w:eastAsia="楷体" w:hAnsi="楷体" w:hint="eastAsia"/>
          <w:sz w:val="24"/>
          <w:szCs w:val="21"/>
        </w:rPr>
        <w:t>（商用车部分</w:t>
      </w:r>
      <w:r w:rsidR="00CD564A" w:rsidRPr="00495975">
        <w:rPr>
          <w:rFonts w:ascii="楷体" w:eastAsia="楷体" w:hAnsi="楷体" w:hint="eastAsia"/>
          <w:sz w:val="24"/>
          <w:szCs w:val="21"/>
        </w:rPr>
        <w:t>略有修改</w:t>
      </w:r>
      <w:r w:rsidR="00266EA7" w:rsidRPr="00495975">
        <w:rPr>
          <w:rFonts w:ascii="楷体" w:eastAsia="楷体" w:hAnsi="楷体" w:hint="eastAsia"/>
          <w:sz w:val="24"/>
          <w:szCs w:val="21"/>
        </w:rPr>
        <w:t>）</w:t>
      </w:r>
    </w:p>
    <w:p w14:paraId="59834D14" w14:textId="77777777" w:rsidR="00495975" w:rsidRDefault="00495975" w:rsidP="00851ED8">
      <w:pPr>
        <w:ind w:firstLine="560"/>
      </w:pPr>
    </w:p>
    <w:p w14:paraId="0700647D" w14:textId="43A985EA" w:rsidR="00B94391" w:rsidRDefault="00321486" w:rsidP="00851ED8">
      <w:pPr>
        <w:ind w:firstLine="560"/>
      </w:pPr>
      <w:r>
        <w:rPr>
          <w:rFonts w:hint="eastAsia"/>
        </w:rPr>
        <w:t>相比于</w:t>
      </w:r>
      <w:r>
        <w:rPr>
          <w:rFonts w:hint="eastAsia"/>
        </w:rPr>
        <w:t>2</w:t>
      </w:r>
      <w:r>
        <w:t>020</w:t>
      </w:r>
      <w:r>
        <w:rPr>
          <w:rFonts w:hint="eastAsia"/>
        </w:rPr>
        <w:t>年，</w:t>
      </w:r>
      <w:r w:rsidRPr="00321486">
        <w:rPr>
          <w:rFonts w:hint="eastAsia"/>
        </w:rPr>
        <w:t>2025</w:t>
      </w:r>
      <w:r w:rsidRPr="00321486">
        <w:rPr>
          <w:rFonts w:hint="eastAsia"/>
        </w:rPr>
        <w:t>年、</w:t>
      </w:r>
      <w:r w:rsidRPr="00321486">
        <w:rPr>
          <w:rFonts w:hint="eastAsia"/>
        </w:rPr>
        <w:t>2030</w:t>
      </w:r>
      <w:r w:rsidRPr="00321486">
        <w:rPr>
          <w:rFonts w:hint="eastAsia"/>
        </w:rPr>
        <w:t>年营运货车碳排放强度</w:t>
      </w:r>
      <w:r>
        <w:rPr>
          <w:rFonts w:hint="eastAsia"/>
        </w:rPr>
        <w:t>的降低潜力分别为</w:t>
      </w:r>
      <w:r>
        <w:rPr>
          <w:rFonts w:hint="eastAsia"/>
        </w:rPr>
        <w:t>5%</w:t>
      </w:r>
      <w:r>
        <w:rPr>
          <w:rFonts w:hint="eastAsia"/>
        </w:rPr>
        <w:t>，</w:t>
      </w:r>
      <w:r>
        <w:rPr>
          <w:rFonts w:hint="eastAsia"/>
        </w:rPr>
        <w:t>1</w:t>
      </w:r>
      <w:r>
        <w:t>0</w:t>
      </w:r>
      <w:r>
        <w:rPr>
          <w:rFonts w:hint="eastAsia"/>
        </w:rPr>
        <w:t>%</w:t>
      </w:r>
      <w:r>
        <w:rPr>
          <w:rFonts w:hint="eastAsia"/>
        </w:rPr>
        <w:t>。</w:t>
      </w:r>
      <w:r w:rsidRPr="00321486">
        <w:rPr>
          <w:rFonts w:hint="eastAsia"/>
        </w:rPr>
        <w:t>2020</w:t>
      </w:r>
      <w:r w:rsidRPr="00321486">
        <w:rPr>
          <w:rFonts w:hint="eastAsia"/>
        </w:rPr>
        <w:t>年全国营运货车约</w:t>
      </w:r>
      <w:r w:rsidRPr="00321486">
        <w:rPr>
          <w:rFonts w:hint="eastAsia"/>
        </w:rPr>
        <w:t>770</w:t>
      </w:r>
      <w:r w:rsidRPr="00321486">
        <w:rPr>
          <w:rFonts w:hint="eastAsia"/>
        </w:rPr>
        <w:t>万辆（不含挂车），按照当前的车龄和平均淘汰年限，每年约十分之一的更新淘汰比例，平均每年淘汰更新营运货车约</w:t>
      </w:r>
      <w:r w:rsidRPr="00321486">
        <w:rPr>
          <w:rFonts w:hint="eastAsia"/>
        </w:rPr>
        <w:t>80</w:t>
      </w:r>
      <w:r w:rsidRPr="00321486">
        <w:rPr>
          <w:rFonts w:hint="eastAsia"/>
        </w:rPr>
        <w:t>万辆，五年累计约</w:t>
      </w:r>
      <w:r w:rsidRPr="00321486">
        <w:rPr>
          <w:rFonts w:hint="eastAsia"/>
        </w:rPr>
        <w:t>400</w:t>
      </w:r>
      <w:r w:rsidRPr="00321486">
        <w:rPr>
          <w:rFonts w:hint="eastAsia"/>
        </w:rPr>
        <w:t>万辆，占现有营运货车的</w:t>
      </w:r>
      <w:r w:rsidRPr="00321486">
        <w:rPr>
          <w:rFonts w:hint="eastAsia"/>
        </w:rPr>
        <w:t>52%</w:t>
      </w:r>
      <w:r w:rsidRPr="00321486">
        <w:rPr>
          <w:rFonts w:hint="eastAsia"/>
        </w:rPr>
        <w:t>左右。另外，考虑载货汽车更新新能源汽车的可行性和现状，在更新淘汰的营运车辆中，预计更新</w:t>
      </w:r>
      <w:r w:rsidRPr="00321486">
        <w:rPr>
          <w:rFonts w:hint="eastAsia"/>
        </w:rPr>
        <w:t>10</w:t>
      </w:r>
      <w:r w:rsidRPr="00321486">
        <w:rPr>
          <w:rFonts w:hint="eastAsia"/>
        </w:rPr>
        <w:t>万辆左右新能源</w:t>
      </w:r>
      <w:r w:rsidRPr="00321486">
        <w:rPr>
          <w:rFonts w:hint="eastAsia"/>
        </w:rPr>
        <w:t>/</w:t>
      </w:r>
      <w:r w:rsidRPr="00321486">
        <w:rPr>
          <w:rFonts w:hint="eastAsia"/>
        </w:rPr>
        <w:t>清洁能源载货汽车，其中新能源载货汽车约</w:t>
      </w:r>
      <w:r w:rsidRPr="00321486">
        <w:rPr>
          <w:rFonts w:hint="eastAsia"/>
        </w:rPr>
        <w:t>2</w:t>
      </w:r>
      <w:r w:rsidRPr="00321486">
        <w:rPr>
          <w:rFonts w:hint="eastAsia"/>
        </w:rPr>
        <w:t>万辆，清洁能源载货汽车约</w:t>
      </w:r>
      <w:r w:rsidRPr="00321486">
        <w:rPr>
          <w:rFonts w:hint="eastAsia"/>
        </w:rPr>
        <w:t>8</w:t>
      </w:r>
      <w:r w:rsidRPr="00321486">
        <w:rPr>
          <w:rFonts w:hint="eastAsia"/>
        </w:rPr>
        <w:t>万辆。综合考虑更新淘汰老旧车辆和运输组织效率的提高，到</w:t>
      </w:r>
      <w:r w:rsidRPr="00321486">
        <w:rPr>
          <w:rFonts w:hint="eastAsia"/>
        </w:rPr>
        <w:t>2025</w:t>
      </w:r>
      <w:r w:rsidRPr="00321486">
        <w:rPr>
          <w:rFonts w:hint="eastAsia"/>
        </w:rPr>
        <w:t>年，</w:t>
      </w:r>
      <w:r w:rsidRPr="00321486">
        <w:rPr>
          <w:rFonts w:hint="eastAsia"/>
        </w:rPr>
        <w:t>52%</w:t>
      </w:r>
      <w:r w:rsidRPr="00321486">
        <w:rPr>
          <w:rFonts w:hint="eastAsia"/>
        </w:rPr>
        <w:t>的载货汽车的能效提升可达到</w:t>
      </w:r>
      <w:r w:rsidRPr="00321486">
        <w:rPr>
          <w:rFonts w:hint="eastAsia"/>
        </w:rPr>
        <w:t>10%</w:t>
      </w:r>
      <w:r w:rsidRPr="00321486">
        <w:rPr>
          <w:rFonts w:hint="eastAsia"/>
        </w:rPr>
        <w:t>以上。综上，</w:t>
      </w:r>
      <w:r w:rsidRPr="00321486">
        <w:rPr>
          <w:rFonts w:hint="eastAsia"/>
        </w:rPr>
        <w:t>2025</w:t>
      </w:r>
      <w:r w:rsidRPr="00321486">
        <w:rPr>
          <w:rFonts w:hint="eastAsia"/>
        </w:rPr>
        <w:t>年营运车辆单位运输周转量碳排放</w:t>
      </w:r>
      <w:r w:rsidR="00C3292A">
        <w:rPr>
          <w:rFonts w:hint="eastAsia"/>
        </w:rPr>
        <w:t>量</w:t>
      </w:r>
      <w:r w:rsidRPr="00321486">
        <w:rPr>
          <w:rFonts w:hint="eastAsia"/>
        </w:rPr>
        <w:t>较</w:t>
      </w:r>
      <w:r w:rsidRPr="00321486">
        <w:rPr>
          <w:rFonts w:hint="eastAsia"/>
        </w:rPr>
        <w:t>2020</w:t>
      </w:r>
      <w:r w:rsidRPr="00321486">
        <w:rPr>
          <w:rFonts w:hint="eastAsia"/>
        </w:rPr>
        <w:t>年下降预计达到</w:t>
      </w:r>
      <w:r w:rsidRPr="00321486">
        <w:rPr>
          <w:rFonts w:hint="eastAsia"/>
        </w:rPr>
        <w:t>5%</w:t>
      </w:r>
      <w:r w:rsidRPr="00321486">
        <w:rPr>
          <w:rFonts w:hint="eastAsia"/>
        </w:rPr>
        <w:t>左右。随着新能源和清洁能源车辆技术逐渐成熟，预计在</w:t>
      </w:r>
      <w:r w:rsidRPr="00321486">
        <w:rPr>
          <w:rFonts w:hint="eastAsia"/>
        </w:rPr>
        <w:t>2026</w:t>
      </w:r>
      <w:r w:rsidRPr="00321486">
        <w:rPr>
          <w:rFonts w:hint="eastAsia"/>
        </w:rPr>
        <w:t>年至</w:t>
      </w:r>
      <w:r w:rsidRPr="00321486">
        <w:rPr>
          <w:rFonts w:hint="eastAsia"/>
        </w:rPr>
        <w:t>2030</w:t>
      </w:r>
      <w:r w:rsidRPr="00321486">
        <w:rPr>
          <w:rFonts w:hint="eastAsia"/>
        </w:rPr>
        <w:t>年间新增</w:t>
      </w:r>
      <w:r w:rsidR="00051439">
        <w:rPr>
          <w:rFonts w:hint="eastAsia"/>
        </w:rPr>
        <w:t>或</w:t>
      </w:r>
      <w:r w:rsidRPr="00321486">
        <w:rPr>
          <w:rFonts w:hint="eastAsia"/>
        </w:rPr>
        <w:t>更新</w:t>
      </w:r>
      <w:r w:rsidR="00051439">
        <w:rPr>
          <w:rFonts w:hint="eastAsia"/>
        </w:rPr>
        <w:t>的</w:t>
      </w:r>
      <w:r w:rsidRPr="00321486">
        <w:rPr>
          <w:rFonts w:hint="eastAsia"/>
        </w:rPr>
        <w:t>新能源和清洁能源车辆较十四五期间将有明显增长，预计</w:t>
      </w:r>
      <w:r w:rsidRPr="00321486">
        <w:rPr>
          <w:rFonts w:hint="eastAsia"/>
        </w:rPr>
        <w:t>2026-2030</w:t>
      </w:r>
      <w:r w:rsidRPr="00321486">
        <w:rPr>
          <w:rFonts w:hint="eastAsia"/>
        </w:rPr>
        <w:t>年更新</w:t>
      </w:r>
      <w:r w:rsidRPr="00321486">
        <w:rPr>
          <w:rFonts w:hint="eastAsia"/>
        </w:rPr>
        <w:t>20</w:t>
      </w:r>
      <w:r w:rsidRPr="00321486">
        <w:rPr>
          <w:rFonts w:hint="eastAsia"/>
        </w:rPr>
        <w:t>万辆左右新能源</w:t>
      </w:r>
      <w:r w:rsidRPr="00321486">
        <w:rPr>
          <w:rFonts w:hint="eastAsia"/>
        </w:rPr>
        <w:t>/</w:t>
      </w:r>
      <w:r w:rsidRPr="00321486">
        <w:rPr>
          <w:rFonts w:hint="eastAsia"/>
        </w:rPr>
        <w:t>清洁能源载货汽车，其中新能源载货汽车约</w:t>
      </w:r>
      <w:r w:rsidRPr="00321486">
        <w:rPr>
          <w:rFonts w:hint="eastAsia"/>
        </w:rPr>
        <w:t>10</w:t>
      </w:r>
      <w:r w:rsidRPr="00321486">
        <w:rPr>
          <w:rFonts w:hint="eastAsia"/>
        </w:rPr>
        <w:t>万辆，清洁能源载货汽车约</w:t>
      </w:r>
      <w:r w:rsidRPr="00321486">
        <w:rPr>
          <w:rFonts w:hint="eastAsia"/>
        </w:rPr>
        <w:t>10</w:t>
      </w:r>
      <w:r w:rsidRPr="00321486">
        <w:rPr>
          <w:rFonts w:hint="eastAsia"/>
        </w:rPr>
        <w:t>万辆。</w:t>
      </w:r>
      <w:r w:rsidRPr="00321486">
        <w:rPr>
          <w:rFonts w:hint="eastAsia"/>
        </w:rPr>
        <w:t>2030</w:t>
      </w:r>
      <w:r w:rsidRPr="00321486">
        <w:rPr>
          <w:rFonts w:hint="eastAsia"/>
        </w:rPr>
        <w:t>年营运车辆单位运输周转量</w:t>
      </w:r>
      <w:r w:rsidR="00C3292A" w:rsidRPr="00321486">
        <w:rPr>
          <w:rFonts w:hint="eastAsia"/>
        </w:rPr>
        <w:t>碳排放</w:t>
      </w:r>
      <w:r w:rsidR="00C3292A">
        <w:rPr>
          <w:rFonts w:hint="eastAsia"/>
        </w:rPr>
        <w:t>量</w:t>
      </w:r>
      <w:r w:rsidRPr="00321486">
        <w:rPr>
          <w:rFonts w:hint="eastAsia"/>
        </w:rPr>
        <w:t>较</w:t>
      </w:r>
      <w:r w:rsidRPr="00321486">
        <w:rPr>
          <w:rFonts w:hint="eastAsia"/>
        </w:rPr>
        <w:t>2020</w:t>
      </w:r>
      <w:r w:rsidRPr="00321486">
        <w:rPr>
          <w:rFonts w:hint="eastAsia"/>
        </w:rPr>
        <w:t>年下降预计达到</w:t>
      </w:r>
      <w:r w:rsidRPr="00321486">
        <w:rPr>
          <w:rFonts w:hint="eastAsia"/>
        </w:rPr>
        <w:t>10%</w:t>
      </w:r>
      <w:r w:rsidRPr="00321486">
        <w:rPr>
          <w:rFonts w:hint="eastAsia"/>
        </w:rPr>
        <w:t>左右</w:t>
      </w:r>
      <w:r w:rsidR="00051439">
        <w:rPr>
          <w:rStyle w:val="ab"/>
        </w:rPr>
        <w:lastRenderedPageBreak/>
        <w:footnoteReference w:id="3"/>
      </w:r>
      <w:r w:rsidRPr="00321486">
        <w:rPr>
          <w:rFonts w:hint="eastAsia"/>
        </w:rPr>
        <w:t>。</w:t>
      </w:r>
    </w:p>
    <w:p w14:paraId="14A9A7B8" w14:textId="63D8BC31" w:rsidR="00321486" w:rsidRDefault="00321486" w:rsidP="00851ED8">
      <w:pPr>
        <w:ind w:firstLine="560"/>
      </w:pPr>
      <w:r>
        <w:rPr>
          <w:rFonts w:hint="eastAsia"/>
        </w:rPr>
        <w:t>相比于</w:t>
      </w:r>
      <w:r>
        <w:rPr>
          <w:rFonts w:hint="eastAsia"/>
        </w:rPr>
        <w:t>2</w:t>
      </w:r>
      <w:r>
        <w:t>020</w:t>
      </w:r>
      <w:r>
        <w:rPr>
          <w:rFonts w:hint="eastAsia"/>
        </w:rPr>
        <w:t>年，</w:t>
      </w:r>
      <w:r w:rsidRPr="00321486">
        <w:rPr>
          <w:rFonts w:hint="eastAsia"/>
        </w:rPr>
        <w:t>2025</w:t>
      </w:r>
      <w:r w:rsidRPr="00321486">
        <w:rPr>
          <w:rFonts w:hint="eastAsia"/>
        </w:rPr>
        <w:t>年、</w:t>
      </w:r>
      <w:r w:rsidRPr="00321486">
        <w:rPr>
          <w:rFonts w:hint="eastAsia"/>
        </w:rPr>
        <w:t>2030</w:t>
      </w:r>
      <w:r w:rsidRPr="00321486">
        <w:rPr>
          <w:rFonts w:hint="eastAsia"/>
        </w:rPr>
        <w:t>年营运船舶换算周转量</w:t>
      </w:r>
      <w:r w:rsidR="00575327" w:rsidRPr="00321486">
        <w:rPr>
          <w:rFonts w:hint="eastAsia"/>
        </w:rPr>
        <w:t>碳排放</w:t>
      </w:r>
      <w:r w:rsidR="00575327">
        <w:rPr>
          <w:rFonts w:hint="eastAsia"/>
        </w:rPr>
        <w:t>量</w:t>
      </w:r>
      <w:r w:rsidRPr="00321486">
        <w:rPr>
          <w:rFonts w:hint="eastAsia"/>
        </w:rPr>
        <w:t>分别降低</w:t>
      </w:r>
      <w:r w:rsidRPr="00321486">
        <w:rPr>
          <w:rFonts w:hint="eastAsia"/>
        </w:rPr>
        <w:t>3.5%</w:t>
      </w:r>
      <w:r w:rsidRPr="00321486">
        <w:rPr>
          <w:rFonts w:hint="eastAsia"/>
        </w:rPr>
        <w:t>、</w:t>
      </w:r>
      <w:r w:rsidRPr="00321486">
        <w:rPr>
          <w:rFonts w:hint="eastAsia"/>
        </w:rPr>
        <w:t>5%</w:t>
      </w:r>
      <w:r w:rsidRPr="00321486">
        <w:rPr>
          <w:rFonts w:hint="eastAsia"/>
        </w:rPr>
        <w:t>左右</w:t>
      </w:r>
      <w:r w:rsidR="00756103">
        <w:rPr>
          <w:rStyle w:val="ab"/>
        </w:rPr>
        <w:footnoteReference w:id="4"/>
      </w:r>
      <w:r>
        <w:rPr>
          <w:rFonts w:hint="eastAsia"/>
        </w:rPr>
        <w:t>。</w:t>
      </w:r>
      <w:r w:rsidRPr="00321486">
        <w:rPr>
          <w:rFonts w:hint="eastAsia"/>
        </w:rPr>
        <w:t>据统计，</w:t>
      </w:r>
      <w:r w:rsidRPr="00321486">
        <w:rPr>
          <w:rFonts w:hint="eastAsia"/>
        </w:rPr>
        <w:t>2020</w:t>
      </w:r>
      <w:r w:rsidRPr="00321486">
        <w:rPr>
          <w:rFonts w:hint="eastAsia"/>
        </w:rPr>
        <w:t>年全国营运船舶约</w:t>
      </w:r>
      <w:r w:rsidRPr="00321486">
        <w:rPr>
          <w:rFonts w:hint="eastAsia"/>
        </w:rPr>
        <w:t>11.8</w:t>
      </w:r>
      <w:r w:rsidRPr="00321486">
        <w:rPr>
          <w:rFonts w:hint="eastAsia"/>
        </w:rPr>
        <w:t>万艘，综合考虑《老旧运输船舶管理规定》，船舶强制更新淘汰规定，以及目前平均船龄，平均每年淘汰更新营运船舶约</w:t>
      </w:r>
      <w:r w:rsidRPr="00321486">
        <w:rPr>
          <w:rFonts w:hint="eastAsia"/>
        </w:rPr>
        <w:t>8000</w:t>
      </w:r>
      <w:r w:rsidRPr="00321486">
        <w:rPr>
          <w:rFonts w:hint="eastAsia"/>
        </w:rPr>
        <w:t>艘，五年累计约</w:t>
      </w:r>
      <w:r w:rsidRPr="00321486">
        <w:rPr>
          <w:rFonts w:hint="eastAsia"/>
        </w:rPr>
        <w:t>4</w:t>
      </w:r>
      <w:r w:rsidRPr="00321486">
        <w:rPr>
          <w:rFonts w:hint="eastAsia"/>
        </w:rPr>
        <w:t>万艘。根据相关文件，到</w:t>
      </w:r>
      <w:r w:rsidRPr="00321486">
        <w:rPr>
          <w:rFonts w:hint="eastAsia"/>
        </w:rPr>
        <w:t>2025</w:t>
      </w:r>
      <w:r w:rsidRPr="00321486">
        <w:rPr>
          <w:rFonts w:hint="eastAsia"/>
        </w:rPr>
        <w:t>年，国内主力运输船型新船设计能效在</w:t>
      </w:r>
      <w:r w:rsidRPr="00321486">
        <w:rPr>
          <w:rFonts w:hint="eastAsia"/>
        </w:rPr>
        <w:t>2020</w:t>
      </w:r>
      <w:r w:rsidRPr="00321486">
        <w:rPr>
          <w:rFonts w:hint="eastAsia"/>
        </w:rPr>
        <w:t>年基线基础上降低</w:t>
      </w:r>
      <w:r w:rsidRPr="00321486">
        <w:rPr>
          <w:rFonts w:hint="eastAsia"/>
        </w:rPr>
        <w:t>10%</w:t>
      </w:r>
      <w:r w:rsidRPr="00321486">
        <w:rPr>
          <w:rFonts w:hint="eastAsia"/>
        </w:rPr>
        <w:t>。因此，初步测算，到</w:t>
      </w:r>
      <w:r w:rsidRPr="00321486">
        <w:rPr>
          <w:rFonts w:hint="eastAsia"/>
        </w:rPr>
        <w:t>2025</w:t>
      </w:r>
      <w:r w:rsidRPr="00321486">
        <w:rPr>
          <w:rFonts w:hint="eastAsia"/>
        </w:rPr>
        <w:t>年，依靠淘汰更新营运船舶可降低碳排放</w:t>
      </w:r>
      <w:r w:rsidRPr="00321486">
        <w:rPr>
          <w:rFonts w:hint="eastAsia"/>
        </w:rPr>
        <w:t>3.3%</w:t>
      </w:r>
      <w:r w:rsidRPr="00321486">
        <w:rPr>
          <w:rFonts w:hint="eastAsia"/>
        </w:rPr>
        <w:t>左右。按照每年淘汰更新营运船舶约</w:t>
      </w:r>
      <w:r w:rsidRPr="00321486">
        <w:rPr>
          <w:rFonts w:hint="eastAsia"/>
        </w:rPr>
        <w:t>7000</w:t>
      </w:r>
      <w:r w:rsidRPr="00321486">
        <w:rPr>
          <w:rFonts w:hint="eastAsia"/>
        </w:rPr>
        <w:t>艘，</w:t>
      </w:r>
      <w:r w:rsidRPr="00321486">
        <w:rPr>
          <w:rFonts w:hint="eastAsia"/>
        </w:rPr>
        <w:t>2026-2030</w:t>
      </w:r>
      <w:r w:rsidRPr="00321486">
        <w:rPr>
          <w:rFonts w:hint="eastAsia"/>
        </w:rPr>
        <w:t>年累计约</w:t>
      </w:r>
      <w:r w:rsidRPr="00321486">
        <w:rPr>
          <w:rFonts w:hint="eastAsia"/>
        </w:rPr>
        <w:t>3.5</w:t>
      </w:r>
      <w:r w:rsidRPr="00321486">
        <w:rPr>
          <w:rFonts w:hint="eastAsia"/>
        </w:rPr>
        <w:t>万艘。随着锂电池、氢燃料电池、氢燃料、氨燃料、甲醇燃料技术逐渐成熟，清洁能源的替代性将进一步增强，到</w:t>
      </w:r>
      <w:r w:rsidRPr="00321486">
        <w:rPr>
          <w:rFonts w:hint="eastAsia"/>
        </w:rPr>
        <w:t>2030</w:t>
      </w:r>
      <w:r w:rsidRPr="00321486">
        <w:rPr>
          <w:rFonts w:hint="eastAsia"/>
        </w:rPr>
        <w:t>年，国内主力运输船型新船设计能效在</w:t>
      </w:r>
      <w:r w:rsidRPr="00321486">
        <w:rPr>
          <w:rFonts w:hint="eastAsia"/>
        </w:rPr>
        <w:t>2020</w:t>
      </w:r>
      <w:r w:rsidRPr="00321486">
        <w:rPr>
          <w:rFonts w:hint="eastAsia"/>
        </w:rPr>
        <w:t>年基线基础上降低</w:t>
      </w:r>
      <w:r w:rsidRPr="00321486">
        <w:rPr>
          <w:rFonts w:hint="eastAsia"/>
        </w:rPr>
        <w:t>20%</w:t>
      </w:r>
      <w:r w:rsidRPr="00321486">
        <w:rPr>
          <w:rFonts w:hint="eastAsia"/>
        </w:rPr>
        <w:t>。因此，初步测算，到</w:t>
      </w:r>
      <w:r w:rsidRPr="00321486">
        <w:rPr>
          <w:rFonts w:hint="eastAsia"/>
        </w:rPr>
        <w:t>2030</w:t>
      </w:r>
      <w:r w:rsidRPr="00321486">
        <w:rPr>
          <w:rFonts w:hint="eastAsia"/>
        </w:rPr>
        <w:t>年，依靠淘汰</w:t>
      </w:r>
      <w:r w:rsidR="00360B58">
        <w:rPr>
          <w:rFonts w:hint="eastAsia"/>
        </w:rPr>
        <w:t>及</w:t>
      </w:r>
      <w:r w:rsidRPr="00321486">
        <w:rPr>
          <w:rFonts w:hint="eastAsia"/>
        </w:rPr>
        <w:t>更新营运船舶可降低碳排放</w:t>
      </w:r>
      <w:r w:rsidRPr="00321486">
        <w:rPr>
          <w:rFonts w:hint="eastAsia"/>
        </w:rPr>
        <w:t>5%</w:t>
      </w:r>
      <w:r w:rsidRPr="00321486">
        <w:rPr>
          <w:rFonts w:hint="eastAsia"/>
        </w:rPr>
        <w:t>左右。</w:t>
      </w:r>
    </w:p>
    <w:p w14:paraId="363CC66C" w14:textId="4478DFA1" w:rsidR="00321486" w:rsidRPr="00CD32C3" w:rsidRDefault="00321486" w:rsidP="00851ED8">
      <w:pPr>
        <w:ind w:firstLine="562"/>
        <w:rPr>
          <w:b/>
          <w:bCs/>
        </w:rPr>
      </w:pPr>
      <w:r w:rsidRPr="00CD32C3">
        <w:rPr>
          <w:rFonts w:hint="eastAsia"/>
          <w:b/>
          <w:bCs/>
        </w:rPr>
        <w:t>（</w:t>
      </w:r>
      <w:r w:rsidRPr="00CD32C3">
        <w:rPr>
          <w:rFonts w:hint="eastAsia"/>
          <w:b/>
          <w:bCs/>
        </w:rPr>
        <w:t>3</w:t>
      </w:r>
      <w:r w:rsidRPr="00CD32C3">
        <w:rPr>
          <w:rFonts w:hint="eastAsia"/>
          <w:b/>
          <w:bCs/>
        </w:rPr>
        <w:t>）轻量化材料利用情况</w:t>
      </w:r>
    </w:p>
    <w:p w14:paraId="619F8DD0" w14:textId="21A7F261" w:rsidR="003A4233" w:rsidRDefault="003A4233" w:rsidP="003A4233">
      <w:pPr>
        <w:ind w:firstLine="560"/>
      </w:pPr>
      <w:r w:rsidRPr="003A4233">
        <w:rPr>
          <w:rFonts w:hint="eastAsia"/>
        </w:rPr>
        <w:t>铁路列车轻量化方面，根据舒勒集团提供的轻量化技术解决方案，在保障日常高强度的应用，以及</w:t>
      </w:r>
      <w:r w:rsidRPr="003A4233">
        <w:rPr>
          <w:rFonts w:hint="eastAsia"/>
        </w:rPr>
        <w:t>30</w:t>
      </w:r>
      <w:r w:rsidRPr="003A4233">
        <w:rPr>
          <w:rFonts w:hint="eastAsia"/>
        </w:rPr>
        <w:t>年左右的使用年限的前提下，采用不同纤维材料混合铺层而成，其中裙板、底板、支架采用了碳纤维复合材料，理论的减重潜力在</w:t>
      </w:r>
      <w:r w:rsidRPr="003A4233">
        <w:rPr>
          <w:rFonts w:hint="eastAsia"/>
        </w:rPr>
        <w:t>30%-50%</w:t>
      </w:r>
      <w:r w:rsidRPr="003A4233">
        <w:rPr>
          <w:rFonts w:hint="eastAsia"/>
        </w:rPr>
        <w:t>左右。</w:t>
      </w:r>
      <w:r>
        <w:rPr>
          <w:rFonts w:hint="eastAsia"/>
        </w:rPr>
        <w:t>车辆轻量化方面，依照</w:t>
      </w:r>
      <w:r w:rsidRPr="003A4233">
        <w:rPr>
          <w:rFonts w:hint="eastAsia"/>
        </w:rPr>
        <w:t>《节能与新能源汽车技术路线图</w:t>
      </w:r>
      <w:r w:rsidRPr="003A4233">
        <w:rPr>
          <w:rFonts w:hint="eastAsia"/>
        </w:rPr>
        <w:t>2.0</w:t>
      </w:r>
      <w:r w:rsidRPr="003A4233">
        <w:rPr>
          <w:rFonts w:hint="eastAsia"/>
        </w:rPr>
        <w:t>》</w:t>
      </w:r>
      <w:r>
        <w:rPr>
          <w:rFonts w:hint="eastAsia"/>
        </w:rPr>
        <w:t>，汽车轻量化主要通过采用轻量化材料搭配特定的轻量化工艺来实现，主要包括三种途径：一是轻量</w:t>
      </w:r>
      <w:r>
        <w:rPr>
          <w:rFonts w:hint="eastAsia"/>
        </w:rPr>
        <w:lastRenderedPageBreak/>
        <w:t>化材料，如使用结构更轻的高强度钢、铝合金、镁合金、碳纤维复合材料对传统普通钢结构进行代替；二是轻量化设计，如通过开发全新的汽车架构实现轻量化</w:t>
      </w:r>
      <w:r>
        <w:rPr>
          <w:rFonts w:hint="eastAsia"/>
        </w:rPr>
        <w:t xml:space="preserve"> </w:t>
      </w:r>
      <w:r>
        <w:rPr>
          <w:rFonts w:hint="eastAsia"/>
        </w:rPr>
        <w:t>甚至优化车身零部件数量、减少零部件尺寸等；三是轻量化工艺，如热成型、激光拼焊板等工艺。据实际测算，</w:t>
      </w:r>
      <w:r w:rsidRPr="003A4233">
        <w:rPr>
          <w:rFonts w:hint="eastAsia"/>
        </w:rPr>
        <w:t>传统汽车整车重量每降低</w:t>
      </w:r>
      <w:r w:rsidRPr="003A4233">
        <w:rPr>
          <w:rFonts w:hint="eastAsia"/>
        </w:rPr>
        <w:t>10%</w:t>
      </w:r>
      <w:r w:rsidRPr="003A4233">
        <w:rPr>
          <w:rFonts w:hint="eastAsia"/>
        </w:rPr>
        <w:t>，油耗降低</w:t>
      </w:r>
      <w:r w:rsidRPr="003A4233">
        <w:rPr>
          <w:rFonts w:hint="eastAsia"/>
        </w:rPr>
        <w:t>6%-8%</w:t>
      </w:r>
      <w:r w:rsidRPr="003A4233">
        <w:rPr>
          <w:rFonts w:hint="eastAsia"/>
        </w:rPr>
        <w:t>。</w:t>
      </w:r>
    </w:p>
    <w:p w14:paraId="5171EE8E" w14:textId="417B5A8A" w:rsidR="000E68D4" w:rsidRPr="00AB1A75" w:rsidRDefault="00A97F61" w:rsidP="00A97F61">
      <w:pPr>
        <w:ind w:firstLineChars="0" w:firstLine="0"/>
        <w:jc w:val="center"/>
        <w:rPr>
          <w:rFonts w:eastAsia="黑体"/>
        </w:rPr>
      </w:pPr>
      <w:r w:rsidRPr="00AB1A75">
        <w:rPr>
          <w:rFonts w:eastAsia="黑体" w:hint="eastAsia"/>
        </w:rPr>
        <w:t>表</w:t>
      </w:r>
      <w:r w:rsidR="00CD32C3">
        <w:rPr>
          <w:rFonts w:eastAsia="黑体" w:hint="eastAsia"/>
        </w:rPr>
        <w:t>4</w:t>
      </w:r>
      <w:r w:rsidR="00CD32C3">
        <w:rPr>
          <w:rFonts w:eastAsia="黑体"/>
        </w:rPr>
        <w:t>-4</w:t>
      </w:r>
      <w:r w:rsidRPr="00AB1A75">
        <w:rPr>
          <w:rFonts w:eastAsia="黑体" w:hint="eastAsia"/>
        </w:rPr>
        <w:t xml:space="preserve"> </w:t>
      </w:r>
      <w:r w:rsidRPr="00AB1A75">
        <w:rPr>
          <w:rFonts w:eastAsia="黑体" w:hint="eastAsia"/>
        </w:rPr>
        <w:t>轻量化技术应用研判</w:t>
      </w:r>
      <w:r w:rsidR="000E68D4">
        <w:rPr>
          <w:rFonts w:eastAsia="黑体"/>
        </w:rPr>
        <w:fldChar w:fldCharType="begin"/>
      </w:r>
      <w:r w:rsidR="000E68D4" w:rsidRPr="00AB1A75">
        <w:rPr>
          <w:rFonts w:eastAsia="黑体"/>
        </w:rPr>
        <w:instrText xml:space="preserve"> </w:instrText>
      </w:r>
      <w:r w:rsidR="000E68D4" w:rsidRPr="00AB1A75">
        <w:rPr>
          <w:rFonts w:eastAsia="黑体" w:hint="eastAsia"/>
        </w:rPr>
        <w:instrText xml:space="preserve">LINK </w:instrText>
      </w:r>
      <w:r w:rsidR="008C4142">
        <w:rPr>
          <w:rFonts w:eastAsia="黑体"/>
        </w:rPr>
        <w:instrText>Excel.Sheet.12</w:instrText>
      </w:r>
      <w:r w:rsidR="008C4142">
        <w:rPr>
          <w:rFonts w:eastAsia="黑体" w:hint="eastAsia"/>
        </w:rPr>
        <w:instrText xml:space="preserve"> C:\\</w:instrText>
      </w:r>
      <w:r w:rsidR="008C4142">
        <w:rPr>
          <w:rFonts w:eastAsia="黑体" w:hint="eastAsia"/>
        </w:rPr>
        <w:instrText>我的资料</w:instrText>
      </w:r>
      <w:r w:rsidR="008C4142">
        <w:rPr>
          <w:rFonts w:eastAsia="黑体" w:hint="eastAsia"/>
        </w:rPr>
        <w:instrText>\\</w:instrText>
      </w:r>
      <w:r w:rsidR="008C4142">
        <w:rPr>
          <w:rFonts w:eastAsia="黑体" w:hint="eastAsia"/>
        </w:rPr>
        <w:instrText>交通运输部</w:instrText>
      </w:r>
      <w:r w:rsidR="008C4142">
        <w:rPr>
          <w:rFonts w:eastAsia="黑体" w:hint="eastAsia"/>
        </w:rPr>
        <w:instrText>\\Excel</w:instrText>
      </w:r>
      <w:r w:rsidR="008C4142">
        <w:rPr>
          <w:rFonts w:eastAsia="黑体" w:hint="eastAsia"/>
        </w:rPr>
        <w:instrText>构建</w:instrText>
      </w:r>
      <w:r w:rsidR="008C4142">
        <w:rPr>
          <w:rFonts w:eastAsia="黑体" w:hint="eastAsia"/>
        </w:rPr>
        <w:instrText>\\</w:instrText>
      </w:r>
      <w:r w:rsidR="008C4142">
        <w:rPr>
          <w:rFonts w:eastAsia="黑体" w:hint="eastAsia"/>
        </w:rPr>
        <w:instrText>模型构建详解</w:instrText>
      </w:r>
      <w:r w:rsidR="008C4142">
        <w:rPr>
          <w:rFonts w:eastAsia="黑体" w:hint="eastAsia"/>
        </w:rPr>
        <w:instrText>\\</w:instrText>
      </w:r>
      <w:r w:rsidR="008C4142">
        <w:rPr>
          <w:rFonts w:eastAsia="黑体" w:hint="eastAsia"/>
        </w:rPr>
        <w:instrText>统计公报汇总</w:instrText>
      </w:r>
      <w:r w:rsidR="008C4142">
        <w:rPr>
          <w:rFonts w:eastAsia="黑体" w:hint="eastAsia"/>
        </w:rPr>
        <w:instrText xml:space="preserve">-20220115.xlsx </w:instrText>
      </w:r>
      <w:r w:rsidR="008C4142">
        <w:rPr>
          <w:rFonts w:eastAsia="黑体" w:hint="eastAsia"/>
        </w:rPr>
        <w:instrText>画图</w:instrText>
      </w:r>
      <w:r w:rsidR="008C4142">
        <w:rPr>
          <w:rFonts w:eastAsia="黑体" w:hint="eastAsia"/>
        </w:rPr>
        <w:instrText xml:space="preserve">!R307C8:R312C12 </w:instrText>
      </w:r>
      <w:r w:rsidR="000E68D4" w:rsidRPr="00AB1A75">
        <w:rPr>
          <w:rFonts w:eastAsia="黑体" w:hint="eastAsia"/>
        </w:rPr>
        <w:instrText>\a \f 4 \h</w:instrText>
      </w:r>
      <w:r w:rsidR="000E68D4" w:rsidRPr="00AB1A75">
        <w:rPr>
          <w:rFonts w:eastAsia="黑体"/>
        </w:rPr>
        <w:instrText xml:space="preserve">  \* MERGEFORMAT </w:instrText>
      </w:r>
      <w:r w:rsidR="000E68D4">
        <w:rPr>
          <w:rFonts w:eastAsia="黑体"/>
        </w:rPr>
        <w:fldChar w:fldCharType="separate"/>
      </w:r>
    </w:p>
    <w:tbl>
      <w:tblPr>
        <w:tblW w:w="0" w:type="auto"/>
        <w:tblLook w:val="04A0" w:firstRow="1" w:lastRow="0" w:firstColumn="1" w:lastColumn="0" w:noHBand="0" w:noVBand="1"/>
      </w:tblPr>
      <w:tblGrid>
        <w:gridCol w:w="562"/>
        <w:gridCol w:w="1701"/>
        <w:gridCol w:w="1897"/>
        <w:gridCol w:w="2068"/>
        <w:gridCol w:w="2068"/>
      </w:tblGrid>
      <w:tr w:rsidR="000E68D4" w:rsidRPr="000E68D4" w14:paraId="7D40CE7C" w14:textId="77777777" w:rsidTr="00495975">
        <w:trPr>
          <w:trHeight w:val="360"/>
        </w:trPr>
        <w:tc>
          <w:tcPr>
            <w:tcW w:w="2263"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70F003B3" w14:textId="33DD722D" w:rsidR="000E68D4" w:rsidRPr="000E68D4" w:rsidRDefault="000E68D4" w:rsidP="000E68D4">
            <w:pPr>
              <w:widowControl/>
              <w:spacing w:line="240" w:lineRule="auto"/>
              <w:ind w:firstLineChars="0" w:firstLine="0"/>
              <w:jc w:val="center"/>
              <w:rPr>
                <w:rFonts w:eastAsia="DengXian"/>
                <w:color w:val="000000"/>
                <w:kern w:val="0"/>
                <w:sz w:val="24"/>
                <w:szCs w:val="24"/>
              </w:rPr>
            </w:pPr>
            <w:r w:rsidRPr="000E68D4">
              <w:rPr>
                <w:rFonts w:ascii="楷体" w:eastAsia="楷体" w:hAnsi="楷体" w:hint="eastAsia"/>
                <w:color w:val="000000"/>
                <w:kern w:val="0"/>
                <w:sz w:val="24"/>
                <w:szCs w:val="24"/>
              </w:rPr>
              <w:t>目标</w:t>
            </w:r>
          </w:p>
        </w:tc>
        <w:tc>
          <w:tcPr>
            <w:tcW w:w="6033" w:type="dxa"/>
            <w:gridSpan w:val="3"/>
            <w:tcBorders>
              <w:top w:val="single" w:sz="4" w:space="0" w:color="auto"/>
              <w:left w:val="nil"/>
              <w:bottom w:val="single" w:sz="4" w:space="0" w:color="auto"/>
              <w:right w:val="single" w:sz="4" w:space="0" w:color="000000"/>
            </w:tcBorders>
            <w:shd w:val="clear" w:color="auto" w:fill="auto"/>
            <w:vAlign w:val="center"/>
            <w:hideMark/>
          </w:tcPr>
          <w:p w14:paraId="42CAE85B" w14:textId="77777777" w:rsidR="000E68D4" w:rsidRPr="000E68D4" w:rsidRDefault="000E68D4" w:rsidP="000E68D4">
            <w:pPr>
              <w:widowControl/>
              <w:spacing w:line="240" w:lineRule="auto"/>
              <w:ind w:firstLineChars="0" w:firstLine="0"/>
              <w:jc w:val="center"/>
              <w:rPr>
                <w:rFonts w:eastAsia="DengXian"/>
                <w:color w:val="000000"/>
                <w:kern w:val="0"/>
                <w:sz w:val="24"/>
                <w:szCs w:val="24"/>
              </w:rPr>
            </w:pPr>
            <w:r w:rsidRPr="000E68D4">
              <w:rPr>
                <w:rFonts w:ascii="楷体" w:eastAsia="楷体" w:hAnsi="楷体" w:hint="eastAsia"/>
                <w:color w:val="000000"/>
                <w:kern w:val="0"/>
                <w:sz w:val="24"/>
                <w:szCs w:val="24"/>
              </w:rPr>
              <w:t>阶段</w:t>
            </w:r>
          </w:p>
        </w:tc>
      </w:tr>
      <w:tr w:rsidR="000E68D4" w:rsidRPr="000E68D4" w14:paraId="56F93A5D" w14:textId="77777777" w:rsidTr="00495975">
        <w:trPr>
          <w:trHeight w:val="275"/>
        </w:trPr>
        <w:tc>
          <w:tcPr>
            <w:tcW w:w="2263" w:type="dxa"/>
            <w:gridSpan w:val="2"/>
            <w:vMerge/>
            <w:tcBorders>
              <w:top w:val="single" w:sz="4" w:space="0" w:color="auto"/>
              <w:left w:val="single" w:sz="4" w:space="0" w:color="auto"/>
              <w:bottom w:val="single" w:sz="4" w:space="0" w:color="000000"/>
              <w:right w:val="single" w:sz="4" w:space="0" w:color="000000"/>
            </w:tcBorders>
            <w:vAlign w:val="center"/>
            <w:hideMark/>
          </w:tcPr>
          <w:p w14:paraId="3A3E6CAC"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p>
        </w:tc>
        <w:tc>
          <w:tcPr>
            <w:tcW w:w="1897" w:type="dxa"/>
            <w:tcBorders>
              <w:top w:val="nil"/>
              <w:left w:val="nil"/>
              <w:bottom w:val="single" w:sz="4" w:space="0" w:color="auto"/>
              <w:right w:val="single" w:sz="4" w:space="0" w:color="auto"/>
            </w:tcBorders>
            <w:shd w:val="clear" w:color="auto" w:fill="auto"/>
            <w:vAlign w:val="center"/>
            <w:hideMark/>
          </w:tcPr>
          <w:p w14:paraId="07DBE59E"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eastAsia="DengXian"/>
                <w:color w:val="000000"/>
                <w:kern w:val="0"/>
                <w:sz w:val="24"/>
                <w:szCs w:val="24"/>
              </w:rPr>
              <w:t>2020-2025</w:t>
            </w:r>
            <w:r w:rsidRPr="000E68D4">
              <w:rPr>
                <w:rFonts w:ascii="楷体" w:eastAsia="楷体" w:hAnsi="楷体" w:hint="eastAsia"/>
                <w:color w:val="000000"/>
                <w:kern w:val="0"/>
                <w:sz w:val="24"/>
                <w:szCs w:val="24"/>
              </w:rPr>
              <w:t>年</w:t>
            </w:r>
          </w:p>
        </w:tc>
        <w:tc>
          <w:tcPr>
            <w:tcW w:w="0" w:type="auto"/>
            <w:tcBorders>
              <w:top w:val="nil"/>
              <w:left w:val="nil"/>
              <w:bottom w:val="single" w:sz="4" w:space="0" w:color="auto"/>
              <w:right w:val="single" w:sz="4" w:space="0" w:color="auto"/>
            </w:tcBorders>
            <w:shd w:val="clear" w:color="auto" w:fill="auto"/>
            <w:vAlign w:val="center"/>
            <w:hideMark/>
          </w:tcPr>
          <w:p w14:paraId="1A049DCA"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eastAsia="DengXian"/>
                <w:color w:val="000000"/>
                <w:kern w:val="0"/>
                <w:sz w:val="24"/>
                <w:szCs w:val="24"/>
              </w:rPr>
              <w:t>2025-2030</w:t>
            </w:r>
            <w:r w:rsidRPr="000E68D4">
              <w:rPr>
                <w:rFonts w:ascii="楷体" w:eastAsia="楷体" w:hAnsi="楷体" w:hint="eastAsia"/>
                <w:color w:val="000000"/>
                <w:kern w:val="0"/>
                <w:sz w:val="24"/>
                <w:szCs w:val="24"/>
              </w:rPr>
              <w:t>年</w:t>
            </w:r>
          </w:p>
        </w:tc>
        <w:tc>
          <w:tcPr>
            <w:tcW w:w="0" w:type="auto"/>
            <w:tcBorders>
              <w:top w:val="nil"/>
              <w:left w:val="nil"/>
              <w:bottom w:val="single" w:sz="4" w:space="0" w:color="auto"/>
              <w:right w:val="single" w:sz="4" w:space="0" w:color="auto"/>
            </w:tcBorders>
            <w:shd w:val="clear" w:color="auto" w:fill="auto"/>
            <w:vAlign w:val="center"/>
            <w:hideMark/>
          </w:tcPr>
          <w:p w14:paraId="3E261B7C"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eastAsia="DengXian"/>
                <w:color w:val="000000"/>
                <w:kern w:val="0"/>
                <w:sz w:val="24"/>
                <w:szCs w:val="24"/>
              </w:rPr>
              <w:t>2030-2035</w:t>
            </w:r>
            <w:r w:rsidRPr="000E68D4">
              <w:rPr>
                <w:rFonts w:ascii="楷体" w:eastAsia="楷体" w:hAnsi="楷体" w:hint="eastAsia"/>
                <w:color w:val="000000"/>
                <w:kern w:val="0"/>
                <w:sz w:val="24"/>
                <w:szCs w:val="24"/>
              </w:rPr>
              <w:t>年</w:t>
            </w:r>
          </w:p>
        </w:tc>
      </w:tr>
      <w:tr w:rsidR="000E68D4" w:rsidRPr="000E68D4" w14:paraId="0CD8A60C" w14:textId="77777777" w:rsidTr="00495975">
        <w:trPr>
          <w:trHeight w:val="682"/>
        </w:trPr>
        <w:tc>
          <w:tcPr>
            <w:tcW w:w="562" w:type="dxa"/>
            <w:vMerge w:val="restart"/>
            <w:tcBorders>
              <w:top w:val="nil"/>
              <w:left w:val="single" w:sz="4" w:space="0" w:color="auto"/>
              <w:bottom w:val="single" w:sz="4" w:space="0" w:color="000000"/>
              <w:right w:val="single" w:sz="4" w:space="0" w:color="auto"/>
            </w:tcBorders>
            <w:shd w:val="clear" w:color="auto" w:fill="auto"/>
            <w:vAlign w:val="center"/>
            <w:hideMark/>
          </w:tcPr>
          <w:p w14:paraId="3240E537" w14:textId="77777777" w:rsidR="000E68D4" w:rsidRPr="000E68D4" w:rsidRDefault="000E68D4" w:rsidP="000E68D4">
            <w:pPr>
              <w:widowControl/>
              <w:spacing w:line="240" w:lineRule="auto"/>
              <w:ind w:firstLineChars="0" w:firstLine="0"/>
              <w:jc w:val="center"/>
              <w:rPr>
                <w:rFonts w:eastAsia="DengXian"/>
                <w:color w:val="000000"/>
                <w:kern w:val="0"/>
                <w:sz w:val="24"/>
                <w:szCs w:val="24"/>
              </w:rPr>
            </w:pPr>
            <w:r w:rsidRPr="000E68D4">
              <w:rPr>
                <w:rFonts w:ascii="楷体" w:eastAsia="楷体" w:hAnsi="楷体" w:hint="eastAsia"/>
                <w:color w:val="000000"/>
                <w:kern w:val="0"/>
                <w:sz w:val="24"/>
                <w:szCs w:val="24"/>
              </w:rPr>
              <w:t>整车类型</w:t>
            </w:r>
          </w:p>
        </w:tc>
        <w:tc>
          <w:tcPr>
            <w:tcW w:w="1701" w:type="dxa"/>
            <w:tcBorders>
              <w:top w:val="nil"/>
              <w:left w:val="nil"/>
              <w:bottom w:val="single" w:sz="4" w:space="0" w:color="auto"/>
              <w:right w:val="single" w:sz="4" w:space="0" w:color="auto"/>
            </w:tcBorders>
            <w:shd w:val="clear" w:color="auto" w:fill="auto"/>
            <w:vAlign w:val="center"/>
            <w:hideMark/>
          </w:tcPr>
          <w:p w14:paraId="7EA64A3D"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ascii="楷体" w:eastAsia="楷体" w:hAnsi="楷体" w:hint="eastAsia"/>
                <w:color w:val="000000"/>
                <w:kern w:val="0"/>
                <w:sz w:val="24"/>
                <w:szCs w:val="24"/>
              </w:rPr>
              <w:t>燃油乘用车</w:t>
            </w:r>
          </w:p>
        </w:tc>
        <w:tc>
          <w:tcPr>
            <w:tcW w:w="1897" w:type="dxa"/>
            <w:tcBorders>
              <w:top w:val="nil"/>
              <w:left w:val="nil"/>
              <w:bottom w:val="single" w:sz="4" w:space="0" w:color="auto"/>
              <w:right w:val="single" w:sz="4" w:space="0" w:color="auto"/>
            </w:tcBorders>
            <w:shd w:val="clear" w:color="auto" w:fill="auto"/>
            <w:vAlign w:val="center"/>
            <w:hideMark/>
          </w:tcPr>
          <w:p w14:paraId="4C7B0F81"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ascii="楷体" w:eastAsia="楷体" w:hAnsi="楷体" w:hint="eastAsia"/>
                <w:color w:val="000000"/>
                <w:kern w:val="0"/>
                <w:sz w:val="24"/>
                <w:szCs w:val="24"/>
              </w:rPr>
              <w:t>整车轻量化系数降低</w:t>
            </w:r>
            <w:r w:rsidRPr="000E68D4">
              <w:rPr>
                <w:rFonts w:eastAsia="DengXian"/>
                <w:color w:val="000000"/>
                <w:kern w:val="0"/>
                <w:sz w:val="24"/>
                <w:szCs w:val="24"/>
              </w:rPr>
              <w:t>10%</w:t>
            </w:r>
          </w:p>
        </w:tc>
        <w:tc>
          <w:tcPr>
            <w:tcW w:w="0" w:type="auto"/>
            <w:tcBorders>
              <w:top w:val="nil"/>
              <w:left w:val="nil"/>
              <w:bottom w:val="single" w:sz="4" w:space="0" w:color="auto"/>
              <w:right w:val="single" w:sz="4" w:space="0" w:color="auto"/>
            </w:tcBorders>
            <w:shd w:val="clear" w:color="auto" w:fill="auto"/>
            <w:vAlign w:val="center"/>
            <w:hideMark/>
          </w:tcPr>
          <w:p w14:paraId="280E9FC2"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ascii="楷体" w:eastAsia="楷体" w:hAnsi="楷体" w:hint="eastAsia"/>
                <w:color w:val="000000"/>
                <w:kern w:val="0"/>
                <w:sz w:val="24"/>
                <w:szCs w:val="24"/>
              </w:rPr>
              <w:t>整车轻量化系数降低</w:t>
            </w:r>
            <w:r w:rsidRPr="000E68D4">
              <w:rPr>
                <w:rFonts w:eastAsia="DengXian"/>
                <w:color w:val="000000"/>
                <w:kern w:val="0"/>
                <w:sz w:val="24"/>
                <w:szCs w:val="24"/>
              </w:rPr>
              <w:t>18%</w:t>
            </w:r>
          </w:p>
        </w:tc>
        <w:tc>
          <w:tcPr>
            <w:tcW w:w="0" w:type="auto"/>
            <w:tcBorders>
              <w:top w:val="nil"/>
              <w:left w:val="nil"/>
              <w:bottom w:val="single" w:sz="4" w:space="0" w:color="auto"/>
              <w:right w:val="single" w:sz="4" w:space="0" w:color="auto"/>
            </w:tcBorders>
            <w:shd w:val="clear" w:color="auto" w:fill="auto"/>
            <w:vAlign w:val="center"/>
            <w:hideMark/>
          </w:tcPr>
          <w:p w14:paraId="54138B6D"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ascii="楷体" w:eastAsia="楷体" w:hAnsi="楷体" w:hint="eastAsia"/>
                <w:color w:val="000000"/>
                <w:kern w:val="0"/>
                <w:sz w:val="24"/>
                <w:szCs w:val="24"/>
              </w:rPr>
              <w:t>整车轻量化系数降低</w:t>
            </w:r>
            <w:r w:rsidRPr="000E68D4">
              <w:rPr>
                <w:rFonts w:eastAsia="DengXian"/>
                <w:color w:val="000000"/>
                <w:kern w:val="0"/>
                <w:sz w:val="24"/>
                <w:szCs w:val="24"/>
              </w:rPr>
              <w:t>25%</w:t>
            </w:r>
          </w:p>
        </w:tc>
      </w:tr>
      <w:tr w:rsidR="000E68D4" w:rsidRPr="000E68D4" w14:paraId="736899EC" w14:textId="77777777" w:rsidTr="00495975">
        <w:trPr>
          <w:trHeight w:val="706"/>
        </w:trPr>
        <w:tc>
          <w:tcPr>
            <w:tcW w:w="562" w:type="dxa"/>
            <w:vMerge/>
            <w:tcBorders>
              <w:top w:val="nil"/>
              <w:left w:val="single" w:sz="4" w:space="0" w:color="auto"/>
              <w:bottom w:val="single" w:sz="4" w:space="0" w:color="000000"/>
              <w:right w:val="single" w:sz="4" w:space="0" w:color="auto"/>
            </w:tcBorders>
            <w:shd w:val="clear" w:color="auto" w:fill="auto"/>
            <w:vAlign w:val="center"/>
            <w:hideMark/>
          </w:tcPr>
          <w:p w14:paraId="6E66DED7"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p>
        </w:tc>
        <w:tc>
          <w:tcPr>
            <w:tcW w:w="1701" w:type="dxa"/>
            <w:tcBorders>
              <w:top w:val="nil"/>
              <w:left w:val="nil"/>
              <w:bottom w:val="single" w:sz="4" w:space="0" w:color="auto"/>
              <w:right w:val="single" w:sz="4" w:space="0" w:color="auto"/>
            </w:tcBorders>
            <w:shd w:val="clear" w:color="auto" w:fill="auto"/>
            <w:vAlign w:val="center"/>
            <w:hideMark/>
          </w:tcPr>
          <w:p w14:paraId="7B7FDF0E"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ascii="楷体" w:eastAsia="楷体" w:hAnsi="楷体" w:hint="eastAsia"/>
                <w:color w:val="000000"/>
                <w:kern w:val="0"/>
                <w:sz w:val="24"/>
                <w:szCs w:val="24"/>
              </w:rPr>
              <w:t>纯电动乘用车</w:t>
            </w:r>
          </w:p>
        </w:tc>
        <w:tc>
          <w:tcPr>
            <w:tcW w:w="1897" w:type="dxa"/>
            <w:tcBorders>
              <w:top w:val="nil"/>
              <w:left w:val="nil"/>
              <w:bottom w:val="single" w:sz="4" w:space="0" w:color="auto"/>
              <w:right w:val="single" w:sz="4" w:space="0" w:color="auto"/>
            </w:tcBorders>
            <w:shd w:val="clear" w:color="auto" w:fill="auto"/>
            <w:vAlign w:val="center"/>
            <w:hideMark/>
          </w:tcPr>
          <w:p w14:paraId="739D0D26"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ascii="楷体" w:eastAsia="楷体" w:hAnsi="楷体" w:hint="eastAsia"/>
                <w:color w:val="000000"/>
                <w:kern w:val="0"/>
                <w:sz w:val="24"/>
                <w:szCs w:val="24"/>
              </w:rPr>
              <w:t>整车轻量化系数降低</w:t>
            </w:r>
            <w:r w:rsidRPr="000E68D4">
              <w:rPr>
                <w:rFonts w:eastAsia="DengXian"/>
                <w:color w:val="000000"/>
                <w:kern w:val="0"/>
                <w:sz w:val="24"/>
                <w:szCs w:val="24"/>
              </w:rPr>
              <w:t>15%</w:t>
            </w:r>
          </w:p>
        </w:tc>
        <w:tc>
          <w:tcPr>
            <w:tcW w:w="0" w:type="auto"/>
            <w:tcBorders>
              <w:top w:val="nil"/>
              <w:left w:val="nil"/>
              <w:bottom w:val="single" w:sz="4" w:space="0" w:color="auto"/>
              <w:right w:val="single" w:sz="4" w:space="0" w:color="auto"/>
            </w:tcBorders>
            <w:shd w:val="clear" w:color="auto" w:fill="auto"/>
            <w:vAlign w:val="center"/>
            <w:hideMark/>
          </w:tcPr>
          <w:p w14:paraId="6B0E6EC0"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ascii="楷体" w:eastAsia="楷体" w:hAnsi="楷体" w:hint="eastAsia"/>
                <w:color w:val="000000"/>
                <w:kern w:val="0"/>
                <w:sz w:val="24"/>
                <w:szCs w:val="24"/>
              </w:rPr>
              <w:t>整车轻量化系数降低</w:t>
            </w:r>
            <w:r w:rsidRPr="000E68D4">
              <w:rPr>
                <w:rFonts w:eastAsia="DengXian"/>
                <w:color w:val="000000"/>
                <w:kern w:val="0"/>
                <w:sz w:val="24"/>
                <w:szCs w:val="24"/>
              </w:rPr>
              <w:t>25%</w:t>
            </w:r>
          </w:p>
        </w:tc>
        <w:tc>
          <w:tcPr>
            <w:tcW w:w="0" w:type="auto"/>
            <w:tcBorders>
              <w:top w:val="nil"/>
              <w:left w:val="nil"/>
              <w:bottom w:val="single" w:sz="4" w:space="0" w:color="auto"/>
              <w:right w:val="single" w:sz="4" w:space="0" w:color="auto"/>
            </w:tcBorders>
            <w:shd w:val="clear" w:color="auto" w:fill="auto"/>
            <w:vAlign w:val="center"/>
            <w:hideMark/>
          </w:tcPr>
          <w:p w14:paraId="23BBB702"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ascii="楷体" w:eastAsia="楷体" w:hAnsi="楷体" w:hint="eastAsia"/>
                <w:color w:val="000000"/>
                <w:kern w:val="0"/>
                <w:sz w:val="24"/>
                <w:szCs w:val="24"/>
              </w:rPr>
              <w:t>整车轻量化系数降低</w:t>
            </w:r>
            <w:r w:rsidRPr="000E68D4">
              <w:rPr>
                <w:rFonts w:eastAsia="DengXian"/>
                <w:color w:val="000000"/>
                <w:kern w:val="0"/>
                <w:sz w:val="24"/>
                <w:szCs w:val="24"/>
              </w:rPr>
              <w:t>35%</w:t>
            </w:r>
          </w:p>
        </w:tc>
      </w:tr>
      <w:tr w:rsidR="000E68D4" w:rsidRPr="000E68D4" w14:paraId="6663EF85" w14:textId="77777777" w:rsidTr="00495975">
        <w:trPr>
          <w:trHeight w:val="561"/>
        </w:trPr>
        <w:tc>
          <w:tcPr>
            <w:tcW w:w="562" w:type="dxa"/>
            <w:vMerge/>
            <w:tcBorders>
              <w:top w:val="nil"/>
              <w:left w:val="single" w:sz="4" w:space="0" w:color="auto"/>
              <w:bottom w:val="single" w:sz="4" w:space="0" w:color="000000"/>
              <w:right w:val="single" w:sz="4" w:space="0" w:color="auto"/>
            </w:tcBorders>
            <w:shd w:val="clear" w:color="auto" w:fill="auto"/>
            <w:vAlign w:val="center"/>
            <w:hideMark/>
          </w:tcPr>
          <w:p w14:paraId="0EE5D68B"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p>
        </w:tc>
        <w:tc>
          <w:tcPr>
            <w:tcW w:w="1701" w:type="dxa"/>
            <w:tcBorders>
              <w:top w:val="nil"/>
              <w:left w:val="nil"/>
              <w:bottom w:val="single" w:sz="4" w:space="0" w:color="auto"/>
              <w:right w:val="single" w:sz="4" w:space="0" w:color="auto"/>
            </w:tcBorders>
            <w:shd w:val="clear" w:color="auto" w:fill="auto"/>
            <w:vAlign w:val="center"/>
            <w:hideMark/>
          </w:tcPr>
          <w:p w14:paraId="226443E0"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ascii="楷体" w:eastAsia="楷体" w:hAnsi="楷体" w:hint="eastAsia"/>
                <w:color w:val="000000"/>
                <w:kern w:val="0"/>
                <w:sz w:val="24"/>
                <w:szCs w:val="24"/>
              </w:rPr>
              <w:t>载货汽车</w:t>
            </w:r>
          </w:p>
        </w:tc>
        <w:tc>
          <w:tcPr>
            <w:tcW w:w="1897" w:type="dxa"/>
            <w:tcBorders>
              <w:top w:val="nil"/>
              <w:left w:val="nil"/>
              <w:bottom w:val="single" w:sz="4" w:space="0" w:color="auto"/>
              <w:right w:val="single" w:sz="4" w:space="0" w:color="auto"/>
            </w:tcBorders>
            <w:shd w:val="clear" w:color="auto" w:fill="auto"/>
            <w:vAlign w:val="center"/>
            <w:hideMark/>
          </w:tcPr>
          <w:p w14:paraId="7B8CB6BF"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ascii="楷体" w:eastAsia="楷体" w:hAnsi="楷体" w:hint="eastAsia"/>
                <w:color w:val="000000"/>
                <w:kern w:val="0"/>
                <w:sz w:val="24"/>
                <w:szCs w:val="24"/>
              </w:rPr>
              <w:t>整车轻量化系数降低</w:t>
            </w:r>
            <w:r w:rsidRPr="000E68D4">
              <w:rPr>
                <w:rFonts w:eastAsia="DengXian"/>
                <w:color w:val="000000"/>
                <w:kern w:val="0"/>
                <w:sz w:val="24"/>
                <w:szCs w:val="24"/>
              </w:rPr>
              <w:t>5%</w:t>
            </w:r>
          </w:p>
        </w:tc>
        <w:tc>
          <w:tcPr>
            <w:tcW w:w="0" w:type="auto"/>
            <w:tcBorders>
              <w:top w:val="nil"/>
              <w:left w:val="nil"/>
              <w:bottom w:val="single" w:sz="4" w:space="0" w:color="auto"/>
              <w:right w:val="single" w:sz="4" w:space="0" w:color="auto"/>
            </w:tcBorders>
            <w:shd w:val="clear" w:color="auto" w:fill="auto"/>
            <w:vAlign w:val="center"/>
            <w:hideMark/>
          </w:tcPr>
          <w:p w14:paraId="604BBD70"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ascii="楷体" w:eastAsia="楷体" w:hAnsi="楷体" w:hint="eastAsia"/>
                <w:color w:val="000000"/>
                <w:kern w:val="0"/>
                <w:sz w:val="24"/>
                <w:szCs w:val="24"/>
              </w:rPr>
              <w:t>整车轻量化系数降低</w:t>
            </w:r>
            <w:r w:rsidRPr="000E68D4">
              <w:rPr>
                <w:rFonts w:eastAsia="DengXian"/>
                <w:color w:val="000000"/>
                <w:kern w:val="0"/>
                <w:sz w:val="24"/>
                <w:szCs w:val="24"/>
              </w:rPr>
              <w:t>10%</w:t>
            </w:r>
          </w:p>
        </w:tc>
        <w:tc>
          <w:tcPr>
            <w:tcW w:w="0" w:type="auto"/>
            <w:tcBorders>
              <w:top w:val="nil"/>
              <w:left w:val="nil"/>
              <w:bottom w:val="single" w:sz="4" w:space="0" w:color="auto"/>
              <w:right w:val="single" w:sz="4" w:space="0" w:color="auto"/>
            </w:tcBorders>
            <w:shd w:val="clear" w:color="auto" w:fill="auto"/>
            <w:vAlign w:val="center"/>
            <w:hideMark/>
          </w:tcPr>
          <w:p w14:paraId="54AF5BDC"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ascii="楷体" w:eastAsia="楷体" w:hAnsi="楷体" w:hint="eastAsia"/>
                <w:color w:val="000000"/>
                <w:kern w:val="0"/>
                <w:sz w:val="24"/>
                <w:szCs w:val="24"/>
              </w:rPr>
              <w:t>整车轻量化系数降低</w:t>
            </w:r>
            <w:r w:rsidRPr="000E68D4">
              <w:rPr>
                <w:rFonts w:eastAsia="DengXian"/>
                <w:color w:val="000000"/>
                <w:kern w:val="0"/>
                <w:sz w:val="24"/>
                <w:szCs w:val="24"/>
              </w:rPr>
              <w:t>15%</w:t>
            </w:r>
          </w:p>
        </w:tc>
      </w:tr>
      <w:tr w:rsidR="000E68D4" w:rsidRPr="000E68D4" w14:paraId="327949B8" w14:textId="77777777" w:rsidTr="00495975">
        <w:trPr>
          <w:trHeight w:val="450"/>
        </w:trPr>
        <w:tc>
          <w:tcPr>
            <w:tcW w:w="562" w:type="dxa"/>
            <w:vMerge/>
            <w:tcBorders>
              <w:top w:val="nil"/>
              <w:left w:val="single" w:sz="4" w:space="0" w:color="auto"/>
              <w:bottom w:val="single" w:sz="4" w:space="0" w:color="000000"/>
              <w:right w:val="single" w:sz="4" w:space="0" w:color="auto"/>
            </w:tcBorders>
            <w:shd w:val="clear" w:color="auto" w:fill="auto"/>
            <w:vAlign w:val="center"/>
            <w:hideMark/>
          </w:tcPr>
          <w:p w14:paraId="22E8B109"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p>
        </w:tc>
        <w:tc>
          <w:tcPr>
            <w:tcW w:w="1701" w:type="dxa"/>
            <w:tcBorders>
              <w:top w:val="nil"/>
              <w:left w:val="nil"/>
              <w:bottom w:val="single" w:sz="4" w:space="0" w:color="auto"/>
              <w:right w:val="single" w:sz="4" w:space="0" w:color="auto"/>
            </w:tcBorders>
            <w:shd w:val="clear" w:color="auto" w:fill="auto"/>
            <w:vAlign w:val="center"/>
            <w:hideMark/>
          </w:tcPr>
          <w:p w14:paraId="53DC7970"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ascii="楷体" w:eastAsia="楷体" w:hAnsi="楷体" w:hint="eastAsia"/>
                <w:color w:val="000000"/>
                <w:kern w:val="0"/>
                <w:sz w:val="24"/>
                <w:szCs w:val="24"/>
              </w:rPr>
              <w:t>客车</w:t>
            </w:r>
          </w:p>
        </w:tc>
        <w:tc>
          <w:tcPr>
            <w:tcW w:w="1897" w:type="dxa"/>
            <w:tcBorders>
              <w:top w:val="nil"/>
              <w:left w:val="nil"/>
              <w:bottom w:val="single" w:sz="4" w:space="0" w:color="auto"/>
              <w:right w:val="single" w:sz="4" w:space="0" w:color="auto"/>
            </w:tcBorders>
            <w:shd w:val="clear" w:color="auto" w:fill="auto"/>
            <w:vAlign w:val="center"/>
            <w:hideMark/>
          </w:tcPr>
          <w:p w14:paraId="4C2BAF5A"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ascii="楷体" w:eastAsia="楷体" w:hAnsi="楷体" w:hint="eastAsia"/>
                <w:color w:val="000000"/>
                <w:kern w:val="0"/>
                <w:sz w:val="24"/>
                <w:szCs w:val="24"/>
              </w:rPr>
              <w:t>整车轻量化系数降低</w:t>
            </w:r>
            <w:r w:rsidRPr="000E68D4">
              <w:rPr>
                <w:rFonts w:eastAsia="DengXian"/>
                <w:color w:val="000000"/>
                <w:kern w:val="0"/>
                <w:sz w:val="24"/>
                <w:szCs w:val="24"/>
              </w:rPr>
              <w:t>5%</w:t>
            </w:r>
          </w:p>
        </w:tc>
        <w:tc>
          <w:tcPr>
            <w:tcW w:w="0" w:type="auto"/>
            <w:tcBorders>
              <w:top w:val="nil"/>
              <w:left w:val="nil"/>
              <w:bottom w:val="single" w:sz="4" w:space="0" w:color="auto"/>
              <w:right w:val="single" w:sz="4" w:space="0" w:color="auto"/>
            </w:tcBorders>
            <w:shd w:val="clear" w:color="auto" w:fill="auto"/>
            <w:vAlign w:val="center"/>
            <w:hideMark/>
          </w:tcPr>
          <w:p w14:paraId="42F2FE97"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ascii="楷体" w:eastAsia="楷体" w:hAnsi="楷体" w:hint="eastAsia"/>
                <w:color w:val="000000"/>
                <w:kern w:val="0"/>
                <w:sz w:val="24"/>
                <w:szCs w:val="24"/>
              </w:rPr>
              <w:t>整车轻量化系数降低</w:t>
            </w:r>
            <w:r w:rsidRPr="000E68D4">
              <w:rPr>
                <w:rFonts w:eastAsia="DengXian"/>
                <w:color w:val="000000"/>
                <w:kern w:val="0"/>
                <w:sz w:val="24"/>
                <w:szCs w:val="24"/>
              </w:rPr>
              <w:t>10%</w:t>
            </w:r>
          </w:p>
        </w:tc>
        <w:tc>
          <w:tcPr>
            <w:tcW w:w="0" w:type="auto"/>
            <w:tcBorders>
              <w:top w:val="nil"/>
              <w:left w:val="nil"/>
              <w:bottom w:val="single" w:sz="4" w:space="0" w:color="auto"/>
              <w:right w:val="single" w:sz="4" w:space="0" w:color="auto"/>
            </w:tcBorders>
            <w:shd w:val="clear" w:color="auto" w:fill="auto"/>
            <w:vAlign w:val="center"/>
            <w:hideMark/>
          </w:tcPr>
          <w:p w14:paraId="7F1DBA19" w14:textId="77777777" w:rsidR="000E68D4" w:rsidRPr="000E68D4" w:rsidRDefault="000E68D4" w:rsidP="000E68D4">
            <w:pPr>
              <w:widowControl/>
              <w:spacing w:line="240" w:lineRule="auto"/>
              <w:ind w:firstLineChars="0" w:firstLine="0"/>
              <w:jc w:val="left"/>
              <w:rPr>
                <w:rFonts w:eastAsia="DengXian"/>
                <w:color w:val="000000"/>
                <w:kern w:val="0"/>
                <w:sz w:val="24"/>
                <w:szCs w:val="24"/>
              </w:rPr>
            </w:pPr>
            <w:r w:rsidRPr="000E68D4">
              <w:rPr>
                <w:rFonts w:ascii="楷体" w:eastAsia="楷体" w:hAnsi="楷体" w:hint="eastAsia"/>
                <w:color w:val="000000"/>
                <w:kern w:val="0"/>
                <w:sz w:val="24"/>
                <w:szCs w:val="24"/>
              </w:rPr>
              <w:t>整车轻量化系数降低</w:t>
            </w:r>
            <w:r w:rsidRPr="000E68D4">
              <w:rPr>
                <w:rFonts w:eastAsia="DengXian"/>
                <w:color w:val="000000"/>
                <w:kern w:val="0"/>
                <w:sz w:val="24"/>
                <w:szCs w:val="24"/>
              </w:rPr>
              <w:t>15%</w:t>
            </w:r>
          </w:p>
        </w:tc>
      </w:tr>
    </w:tbl>
    <w:p w14:paraId="2748997B" w14:textId="77777777" w:rsidR="00CD32C3" w:rsidRDefault="000E68D4" w:rsidP="00725C50">
      <w:pPr>
        <w:ind w:firstLine="560"/>
      </w:pPr>
      <w:r>
        <w:fldChar w:fldCharType="end"/>
      </w:r>
    </w:p>
    <w:p w14:paraId="39D3BABD" w14:textId="051F929F" w:rsidR="00321486" w:rsidRPr="00CD32C3" w:rsidRDefault="00321486" w:rsidP="00725C50">
      <w:pPr>
        <w:ind w:firstLine="562"/>
        <w:rPr>
          <w:b/>
          <w:bCs/>
        </w:rPr>
      </w:pPr>
      <w:r w:rsidRPr="00CD32C3">
        <w:rPr>
          <w:rFonts w:hint="eastAsia"/>
          <w:b/>
          <w:bCs/>
        </w:rPr>
        <w:t>（</w:t>
      </w:r>
      <w:r w:rsidRPr="00CD32C3">
        <w:rPr>
          <w:rFonts w:hint="eastAsia"/>
          <w:b/>
          <w:bCs/>
        </w:rPr>
        <w:t>4</w:t>
      </w:r>
      <w:r w:rsidRPr="00CD32C3">
        <w:rPr>
          <w:rFonts w:hint="eastAsia"/>
          <w:b/>
          <w:bCs/>
        </w:rPr>
        <w:t>）生态驾驶普及</w:t>
      </w:r>
    </w:p>
    <w:p w14:paraId="76B2D72A" w14:textId="308A044D" w:rsidR="00851ED8" w:rsidRDefault="00851ED8" w:rsidP="00851ED8">
      <w:pPr>
        <w:ind w:firstLine="560"/>
      </w:pPr>
      <w:r>
        <w:rPr>
          <w:rFonts w:hint="eastAsia"/>
        </w:rPr>
        <w:t>采用生态驾驶能够提高能源利用效率。在行驶过程中通过保持经济车速，缓加速，缓刹车，尽快提高档位等方法减少能源消耗。据相关调查和试验研究，不同采用生态驾驶可以让车辆节能</w:t>
      </w:r>
      <w:r>
        <w:rPr>
          <w:rFonts w:hint="eastAsia"/>
        </w:rPr>
        <w:t>3%-5%</w:t>
      </w:r>
      <w:r>
        <w:rPr>
          <w:rFonts w:hint="eastAsia"/>
        </w:rPr>
        <w:t>。</w:t>
      </w:r>
    </w:p>
    <w:p w14:paraId="6D026C56" w14:textId="09D54ED3" w:rsidR="00725C50" w:rsidRPr="00CD32C3" w:rsidRDefault="00725C50" w:rsidP="00851ED8">
      <w:pPr>
        <w:ind w:firstLine="562"/>
        <w:rPr>
          <w:b/>
          <w:bCs/>
        </w:rPr>
      </w:pPr>
      <w:r w:rsidRPr="00CD32C3">
        <w:rPr>
          <w:rFonts w:hint="eastAsia"/>
          <w:b/>
          <w:bCs/>
        </w:rPr>
        <w:t>（</w:t>
      </w:r>
      <w:r w:rsidRPr="00CD32C3">
        <w:rPr>
          <w:rFonts w:hint="eastAsia"/>
          <w:b/>
          <w:bCs/>
        </w:rPr>
        <w:t>5</w:t>
      </w:r>
      <w:r w:rsidRPr="00CD32C3">
        <w:rPr>
          <w:rFonts w:hint="eastAsia"/>
          <w:b/>
          <w:bCs/>
        </w:rPr>
        <w:t>）自动驾驶的普及</w:t>
      </w:r>
    </w:p>
    <w:p w14:paraId="152DFE29" w14:textId="1C13A357" w:rsidR="00725C50" w:rsidRDefault="00725C50" w:rsidP="00725C50">
      <w:pPr>
        <w:ind w:firstLine="560"/>
      </w:pPr>
      <w:r>
        <w:rPr>
          <w:rFonts w:hint="eastAsia"/>
        </w:rPr>
        <w:t>自动驾驶能够带来三个方面的影响：</w:t>
      </w:r>
    </w:p>
    <w:p w14:paraId="1C8CB107" w14:textId="7774DD68" w:rsidR="00725C50" w:rsidRDefault="00725C50" w:rsidP="00725C50">
      <w:pPr>
        <w:ind w:firstLine="560"/>
      </w:pPr>
      <w:r>
        <w:rPr>
          <w:rFonts w:hint="eastAsia"/>
        </w:rPr>
        <w:t>一是自动驾驶的效率提升。根据《交通强国公路发展战略研究》计算结果，自动驾驶状态下道路通行能力能够提高</w:t>
      </w:r>
      <w:r>
        <w:rPr>
          <w:rFonts w:hint="eastAsia"/>
        </w:rPr>
        <w:t>51.6%--64.9%</w:t>
      </w:r>
      <w:r>
        <w:rPr>
          <w:rFonts w:hint="eastAsia"/>
        </w:rPr>
        <w:t>。自动驾驶将会为通勤者和其他出行的人们节省大量的时间。对于一个家庭而言，只要拥有一辆自动驾驶汽车，就能方便地穿梭于各个地点之</w:t>
      </w:r>
      <w:r>
        <w:rPr>
          <w:rFonts w:hint="eastAsia"/>
        </w:rPr>
        <w:lastRenderedPageBreak/>
        <w:t>间，而无需像现在这样需要购买多辆汽车。</w:t>
      </w:r>
    </w:p>
    <w:p w14:paraId="54792A6A" w14:textId="3CF7B3C3" w:rsidR="00725C50" w:rsidRDefault="00725C50" w:rsidP="00725C50">
      <w:pPr>
        <w:ind w:firstLine="560"/>
      </w:pPr>
      <w:r>
        <w:rPr>
          <w:rFonts w:hint="eastAsia"/>
        </w:rPr>
        <w:t>二是自动驾驶促使安全性的提高。根据华盛顿非营利智库机构伊诺交通中心（</w:t>
      </w:r>
      <w:r>
        <w:rPr>
          <w:rFonts w:hint="eastAsia"/>
        </w:rPr>
        <w:t>Eno Center for Transportation</w:t>
      </w:r>
      <w:r>
        <w:rPr>
          <w:rFonts w:hint="eastAsia"/>
        </w:rPr>
        <w:t>）的研究，如果美国公路上</w:t>
      </w:r>
      <w:r>
        <w:rPr>
          <w:rFonts w:hint="eastAsia"/>
        </w:rPr>
        <w:t>90%</w:t>
      </w:r>
      <w:r>
        <w:rPr>
          <w:rFonts w:hint="eastAsia"/>
        </w:rPr>
        <w:t>的汽车变成自动驾驶汽车，交通事故数量将从每年</w:t>
      </w:r>
      <w:r>
        <w:rPr>
          <w:rFonts w:hint="eastAsia"/>
        </w:rPr>
        <w:t>600</w:t>
      </w:r>
      <w:r>
        <w:rPr>
          <w:rFonts w:hint="eastAsia"/>
        </w:rPr>
        <w:t>万起降至</w:t>
      </w:r>
      <w:r>
        <w:rPr>
          <w:rFonts w:hint="eastAsia"/>
        </w:rPr>
        <w:t>130</w:t>
      </w:r>
      <w:r>
        <w:rPr>
          <w:rFonts w:hint="eastAsia"/>
        </w:rPr>
        <w:t>万起，死亡人数从每年</w:t>
      </w:r>
      <w:r>
        <w:rPr>
          <w:rFonts w:hint="eastAsia"/>
        </w:rPr>
        <w:t>3.3</w:t>
      </w:r>
      <w:r>
        <w:rPr>
          <w:rFonts w:hint="eastAsia"/>
        </w:rPr>
        <w:t>万人降至</w:t>
      </w:r>
      <w:r>
        <w:rPr>
          <w:rFonts w:hint="eastAsia"/>
        </w:rPr>
        <w:t>1.13</w:t>
      </w:r>
      <w:r>
        <w:rPr>
          <w:rFonts w:hint="eastAsia"/>
        </w:rPr>
        <w:t>万人。</w:t>
      </w:r>
      <w:r w:rsidR="00756103">
        <w:rPr>
          <w:rFonts w:hint="eastAsia"/>
        </w:rPr>
        <w:t>车辆安全性能的提高</w:t>
      </w:r>
      <w:r>
        <w:rPr>
          <w:rFonts w:hint="eastAsia"/>
        </w:rPr>
        <w:t>能够引导居民更多的使用自动驾驶的车辆。</w:t>
      </w:r>
    </w:p>
    <w:p w14:paraId="7FC604A6" w14:textId="0BDFAFC6" w:rsidR="0043252B" w:rsidRPr="00331183" w:rsidRDefault="00725C50" w:rsidP="00AB2B66">
      <w:pPr>
        <w:ind w:firstLine="560"/>
      </w:pPr>
      <w:r>
        <w:rPr>
          <w:rFonts w:hint="eastAsia"/>
        </w:rPr>
        <w:t>三是自动驾驶</w:t>
      </w:r>
      <w:r w:rsidR="00197DA3">
        <w:rPr>
          <w:rFonts w:hint="eastAsia"/>
        </w:rPr>
        <w:t>带来</w:t>
      </w:r>
      <w:r>
        <w:rPr>
          <w:rFonts w:hint="eastAsia"/>
        </w:rPr>
        <w:t>消费者行驶里程的上升。一方面，使用电动汽车或自动驾驶汽车后，由于出行成本降低，又无需人工干预，人们对移动性的需求可能随之提高，这可能加剧道路拥挤，造成交通堵塞。由于大城市停车难的问题，自动驾驶的普及会增加车辆的里程数</w:t>
      </w:r>
      <w:r w:rsidR="00B62169">
        <w:rPr>
          <w:rFonts w:hint="eastAsia"/>
        </w:rPr>
        <w:t>，这是由于</w:t>
      </w:r>
      <w:r>
        <w:rPr>
          <w:rFonts w:hint="eastAsia"/>
        </w:rPr>
        <w:t>让汽车在路上运行或在更远的地方停车将比购买房产或者交高昂的停车费更经济。另一方面，平均而言，使用自动驾驶的共享电动出租车每英里成本要比私家车低</w:t>
      </w:r>
      <w:r>
        <w:rPr>
          <w:rFonts w:hint="eastAsia"/>
        </w:rPr>
        <w:t>30%</w:t>
      </w:r>
      <w:r>
        <w:rPr>
          <w:rFonts w:hint="eastAsia"/>
        </w:rPr>
        <w:t>至</w:t>
      </w:r>
      <w:r>
        <w:rPr>
          <w:rFonts w:hint="eastAsia"/>
        </w:rPr>
        <w:t>60%</w:t>
      </w:r>
      <w:r>
        <w:rPr>
          <w:rFonts w:hint="eastAsia"/>
        </w:rPr>
        <w:t>，主要取决于共享人数。</w:t>
      </w:r>
      <w:r w:rsidR="004E7327">
        <w:rPr>
          <w:rFonts w:hint="eastAsia"/>
        </w:rPr>
        <w:t>根据</w:t>
      </w:r>
      <w:r w:rsidR="009E407E">
        <w:rPr>
          <w:rFonts w:hint="eastAsia"/>
        </w:rPr>
        <w:t>研究机构的</w:t>
      </w:r>
      <w:r w:rsidR="004E7327">
        <w:rPr>
          <w:rFonts w:hint="eastAsia"/>
        </w:rPr>
        <w:t>预测，</w:t>
      </w:r>
      <w:r>
        <w:rPr>
          <w:rFonts w:hint="eastAsia"/>
        </w:rPr>
        <w:t>到</w:t>
      </w:r>
      <w:r>
        <w:rPr>
          <w:rFonts w:hint="eastAsia"/>
        </w:rPr>
        <w:t>2025</w:t>
      </w:r>
      <w:r>
        <w:rPr>
          <w:rFonts w:hint="eastAsia"/>
        </w:rPr>
        <w:t>年，一辆私家车每英里成本约为</w:t>
      </w:r>
      <w:r>
        <w:rPr>
          <w:rFonts w:hint="eastAsia"/>
        </w:rPr>
        <w:t>0.43</w:t>
      </w:r>
      <w:r>
        <w:rPr>
          <w:rFonts w:hint="eastAsia"/>
        </w:rPr>
        <w:t>美元。如果使用自动驾驶的共享出租车，最低可降至每英里</w:t>
      </w:r>
      <w:r>
        <w:rPr>
          <w:rFonts w:hint="eastAsia"/>
        </w:rPr>
        <w:t>0.17</w:t>
      </w:r>
      <w:r>
        <w:rPr>
          <w:rFonts w:hint="eastAsia"/>
        </w:rPr>
        <w:t>美元至</w:t>
      </w:r>
      <w:r>
        <w:rPr>
          <w:rFonts w:hint="eastAsia"/>
        </w:rPr>
        <w:t>0.29</w:t>
      </w:r>
      <w:r>
        <w:rPr>
          <w:rFonts w:hint="eastAsia"/>
        </w:rPr>
        <w:t>美元。较低的成本和使用量的提升，使得自动驾驶汽车不仅将取代其他交通方式的部分任务，还可能创造出全新的移动性需求。这与价格弹性效应类似：价格下滑就会刺激需求增长。基于历史价格弹性走势，预计每英里成本下滑</w:t>
      </w:r>
      <w:r>
        <w:rPr>
          <w:rFonts w:hint="eastAsia"/>
        </w:rPr>
        <w:t>30%</w:t>
      </w:r>
      <w:r>
        <w:rPr>
          <w:rFonts w:hint="eastAsia"/>
        </w:rPr>
        <w:t>至</w:t>
      </w:r>
      <w:r>
        <w:rPr>
          <w:rFonts w:hint="eastAsia"/>
        </w:rPr>
        <w:t>60%</w:t>
      </w:r>
      <w:r>
        <w:rPr>
          <w:rFonts w:hint="eastAsia"/>
        </w:rPr>
        <w:t>，需求就会增长</w:t>
      </w:r>
      <w:r>
        <w:rPr>
          <w:rFonts w:hint="eastAsia"/>
        </w:rPr>
        <w:t>12%</w:t>
      </w:r>
      <w:r>
        <w:rPr>
          <w:rFonts w:hint="eastAsia"/>
        </w:rPr>
        <w:t>至</w:t>
      </w:r>
      <w:r>
        <w:rPr>
          <w:rFonts w:hint="eastAsia"/>
        </w:rPr>
        <w:t>24%</w:t>
      </w:r>
      <w:r>
        <w:rPr>
          <w:rFonts w:hint="eastAsia"/>
        </w:rPr>
        <w:t>。行使里程数越高，电动汽车从成本方面讲就更具吸引力。据预计，</w:t>
      </w:r>
      <w:r w:rsidR="00DE4766">
        <w:rPr>
          <w:rFonts w:hint="eastAsia"/>
        </w:rPr>
        <w:t>由于私人拥有的自动驾驶汽车</w:t>
      </w:r>
      <w:r w:rsidR="001E4E5E">
        <w:rPr>
          <w:rFonts w:hint="eastAsia"/>
        </w:rPr>
        <w:t>增加</w:t>
      </w:r>
      <w:r w:rsidR="00DE4766">
        <w:rPr>
          <w:rFonts w:hint="eastAsia"/>
        </w:rPr>
        <w:t>，</w:t>
      </w:r>
      <w:r>
        <w:rPr>
          <w:rFonts w:hint="eastAsia"/>
        </w:rPr>
        <w:t>2030</w:t>
      </w:r>
      <w:r>
        <w:rPr>
          <w:rFonts w:hint="eastAsia"/>
        </w:rPr>
        <w:t>年消费者行驶里程将增长</w:t>
      </w:r>
      <w:r>
        <w:rPr>
          <w:rFonts w:hint="eastAsia"/>
        </w:rPr>
        <w:t>25%</w:t>
      </w:r>
      <w:r>
        <w:rPr>
          <w:rFonts w:hint="eastAsia"/>
        </w:rPr>
        <w:t>。</w:t>
      </w:r>
    </w:p>
    <w:p w14:paraId="2FAECC8D" w14:textId="6F0A6CD4" w:rsidR="00725C50" w:rsidRDefault="00725C50" w:rsidP="00725C50">
      <w:pPr>
        <w:ind w:firstLineChars="0" w:firstLine="0"/>
      </w:pPr>
      <w:r>
        <w:rPr>
          <w:noProof/>
        </w:rPr>
        <w:lastRenderedPageBreak/>
        <w:drawing>
          <wp:inline distT="0" distB="0" distL="0" distR="0" wp14:anchorId="7DFDFEBE" wp14:editId="56773ECC">
            <wp:extent cx="5274310" cy="292100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2921000"/>
                    </a:xfrm>
                    <a:prstGeom prst="rect">
                      <a:avLst/>
                    </a:prstGeom>
                  </pic:spPr>
                </pic:pic>
              </a:graphicData>
            </a:graphic>
          </wp:inline>
        </w:drawing>
      </w:r>
    </w:p>
    <w:p w14:paraId="615143FF" w14:textId="3C3EF717" w:rsidR="00725C50" w:rsidRPr="00A8551D" w:rsidRDefault="00725C50" w:rsidP="00AB1A75">
      <w:pPr>
        <w:ind w:firstLineChars="0" w:firstLine="0"/>
        <w:jc w:val="center"/>
        <w:rPr>
          <w:rFonts w:eastAsia="黑体"/>
          <w:sz w:val="24"/>
          <w:szCs w:val="21"/>
        </w:rPr>
      </w:pPr>
      <w:r w:rsidRPr="00A8551D">
        <w:rPr>
          <w:rFonts w:eastAsia="黑体" w:hint="eastAsia"/>
          <w:sz w:val="24"/>
          <w:szCs w:val="21"/>
        </w:rPr>
        <w:t>图</w:t>
      </w:r>
      <w:r w:rsidR="00CD32C3" w:rsidRPr="00A8551D">
        <w:rPr>
          <w:rFonts w:eastAsia="黑体" w:hint="eastAsia"/>
          <w:sz w:val="24"/>
          <w:szCs w:val="21"/>
        </w:rPr>
        <w:t>4</w:t>
      </w:r>
      <w:r w:rsidR="00CD32C3" w:rsidRPr="00A8551D">
        <w:rPr>
          <w:rFonts w:eastAsia="黑体"/>
          <w:sz w:val="24"/>
          <w:szCs w:val="21"/>
        </w:rPr>
        <w:t>-12</w:t>
      </w:r>
      <w:r w:rsidRPr="00A8551D">
        <w:rPr>
          <w:rFonts w:eastAsia="黑体" w:hint="eastAsia"/>
          <w:sz w:val="24"/>
          <w:szCs w:val="21"/>
        </w:rPr>
        <w:t xml:space="preserve"> </w:t>
      </w:r>
      <w:r w:rsidRPr="00A8551D">
        <w:rPr>
          <w:rFonts w:eastAsia="黑体" w:hint="eastAsia"/>
          <w:sz w:val="24"/>
          <w:szCs w:val="21"/>
        </w:rPr>
        <w:t>自动驾驶发展趋势判断</w:t>
      </w:r>
    </w:p>
    <w:p w14:paraId="153CA03D" w14:textId="3FC0C4F8" w:rsidR="0043252B" w:rsidRPr="00B61B8A" w:rsidRDefault="00725C50" w:rsidP="00725C50">
      <w:pPr>
        <w:ind w:firstLineChars="71" w:firstLine="170"/>
        <w:rPr>
          <w:rFonts w:ascii="楷体" w:eastAsia="楷体" w:hAnsi="楷体"/>
          <w:sz w:val="24"/>
          <w:szCs w:val="21"/>
        </w:rPr>
      </w:pPr>
      <w:r w:rsidRPr="00B61B8A">
        <w:rPr>
          <w:rFonts w:ascii="楷体" w:eastAsia="楷体" w:hAnsi="楷体" w:hint="eastAsia"/>
          <w:sz w:val="24"/>
          <w:szCs w:val="21"/>
        </w:rPr>
        <w:t>资料来源：罗兰贝格研究报告，安信研究报告，课题组研究材料</w:t>
      </w:r>
    </w:p>
    <w:p w14:paraId="7DD4E41A" w14:textId="09E55CEC" w:rsidR="0043252B" w:rsidRPr="00EC1F4E" w:rsidRDefault="00725C50" w:rsidP="0043252B">
      <w:pPr>
        <w:ind w:firstLine="562"/>
        <w:rPr>
          <w:b/>
          <w:bCs/>
        </w:rPr>
      </w:pPr>
      <w:r w:rsidRPr="00EC1F4E">
        <w:rPr>
          <w:rFonts w:hint="eastAsia"/>
          <w:b/>
          <w:bCs/>
        </w:rPr>
        <w:t>（</w:t>
      </w:r>
      <w:r w:rsidRPr="00EC1F4E">
        <w:rPr>
          <w:rFonts w:hint="eastAsia"/>
          <w:b/>
          <w:bCs/>
        </w:rPr>
        <w:t>6</w:t>
      </w:r>
      <w:r w:rsidRPr="00EC1F4E">
        <w:rPr>
          <w:rFonts w:hint="eastAsia"/>
          <w:b/>
          <w:bCs/>
        </w:rPr>
        <w:t>）网络货运的普及</w:t>
      </w:r>
    </w:p>
    <w:p w14:paraId="0129FA28" w14:textId="085C79E7" w:rsidR="00725C50" w:rsidRDefault="000F04F3" w:rsidP="0043252B">
      <w:pPr>
        <w:ind w:firstLine="560"/>
      </w:pPr>
      <w:r w:rsidRPr="000F04F3">
        <w:rPr>
          <w:rFonts w:hint="eastAsia"/>
        </w:rPr>
        <w:t>互联网时代下，</w:t>
      </w:r>
      <w:r>
        <w:rPr>
          <w:rFonts w:hint="eastAsia"/>
        </w:rPr>
        <w:t>货物运输</w:t>
      </w:r>
      <w:r w:rsidRPr="000F04F3">
        <w:rPr>
          <w:rFonts w:hint="eastAsia"/>
        </w:rPr>
        <w:t>与互联网结合，改变了</w:t>
      </w:r>
      <w:r>
        <w:rPr>
          <w:rFonts w:hint="eastAsia"/>
        </w:rPr>
        <w:t>货物运输</w:t>
      </w:r>
      <w:r w:rsidRPr="000F04F3">
        <w:rPr>
          <w:rFonts w:hint="eastAsia"/>
        </w:rPr>
        <w:t>原有的市场环境与业务流程，推动出现了一批新模式和业态如车货匹配、众包运力等。基础运输条件的完善以及信息化的进一步提升激发了多式联运模式的快速发展。</w:t>
      </w:r>
      <w:r>
        <w:rPr>
          <w:rFonts w:hint="eastAsia"/>
        </w:rPr>
        <w:t>通过持续鼓励</w:t>
      </w:r>
      <w:r w:rsidRPr="000F04F3">
        <w:rPr>
          <w:rFonts w:hint="eastAsia"/>
        </w:rPr>
        <w:t>网络货运平合持续健康发展</w:t>
      </w:r>
      <w:r>
        <w:rPr>
          <w:rFonts w:hint="eastAsia"/>
        </w:rPr>
        <w:t>，</w:t>
      </w:r>
      <w:r w:rsidRPr="000F04F3">
        <w:rPr>
          <w:rFonts w:hint="eastAsia"/>
        </w:rPr>
        <w:t>推进互联网在货运物流领域的应用</w:t>
      </w:r>
      <w:r>
        <w:rPr>
          <w:rFonts w:hint="eastAsia"/>
        </w:rPr>
        <w:t>，</w:t>
      </w:r>
      <w:r w:rsidRPr="000F04F3">
        <w:rPr>
          <w:rFonts w:hint="eastAsia"/>
        </w:rPr>
        <w:t>健全完善网络平台道路货物运输管理制度与运营规范</w:t>
      </w:r>
      <w:r w:rsidRPr="000F04F3">
        <w:rPr>
          <w:rFonts w:hint="eastAsia"/>
        </w:rPr>
        <w:t>,</w:t>
      </w:r>
      <w:r w:rsidRPr="000F04F3">
        <w:rPr>
          <w:rFonts w:hint="eastAsia"/>
        </w:rPr>
        <w:t>提升供需精准匹配度</w:t>
      </w:r>
      <w:r>
        <w:rPr>
          <w:rFonts w:hint="eastAsia"/>
        </w:rPr>
        <w:t>，能够有效</w:t>
      </w:r>
      <w:r w:rsidRPr="000F04F3">
        <w:rPr>
          <w:rFonts w:hint="eastAsia"/>
        </w:rPr>
        <w:t>减少运输空驶率、空载率</w:t>
      </w:r>
      <w:r>
        <w:rPr>
          <w:rFonts w:hint="eastAsia"/>
        </w:rPr>
        <w:t>，</w:t>
      </w:r>
      <w:r w:rsidRPr="000F04F3">
        <w:rPr>
          <w:rFonts w:hint="eastAsia"/>
        </w:rPr>
        <w:t>提高贸运企业运输组织效率。</w:t>
      </w:r>
    </w:p>
    <w:p w14:paraId="5EBD3CF4" w14:textId="2FC364A6" w:rsidR="00EC1F4E" w:rsidRPr="00EC1F4E" w:rsidRDefault="00EC1F4E" w:rsidP="0043252B">
      <w:pPr>
        <w:ind w:firstLine="562"/>
        <w:rPr>
          <w:b/>
          <w:bCs/>
        </w:rPr>
      </w:pPr>
      <w:r w:rsidRPr="00EC1F4E">
        <w:rPr>
          <w:rFonts w:hint="eastAsia"/>
          <w:b/>
          <w:bCs/>
        </w:rPr>
        <w:t>（</w:t>
      </w:r>
      <w:r w:rsidRPr="00EC1F4E">
        <w:rPr>
          <w:rFonts w:hint="eastAsia"/>
          <w:b/>
          <w:bCs/>
        </w:rPr>
        <w:t>7</w:t>
      </w:r>
      <w:r w:rsidRPr="00EC1F4E">
        <w:rPr>
          <w:rFonts w:hint="eastAsia"/>
          <w:b/>
          <w:bCs/>
        </w:rPr>
        <w:t>）小结</w:t>
      </w:r>
    </w:p>
    <w:p w14:paraId="54057E26" w14:textId="3C799BEC" w:rsidR="00EC1F4E" w:rsidRDefault="00055AAF" w:rsidP="0043252B">
      <w:pPr>
        <w:ind w:firstLine="560"/>
      </w:pPr>
      <w:r>
        <w:rPr>
          <w:rFonts w:hint="eastAsia"/>
        </w:rPr>
        <w:t>依照“双碳”相关的政策规划，未来不同交通运输模式</w:t>
      </w:r>
      <w:r w:rsidR="00A568C4">
        <w:rPr>
          <w:rFonts w:hint="eastAsia"/>
        </w:rPr>
        <w:t>通过应用</w:t>
      </w:r>
      <w:r>
        <w:rPr>
          <w:rFonts w:hint="eastAsia"/>
        </w:rPr>
        <w:t>轻量化材料、提高燃油发动机效率、普及生态驾驶、大规模应用自动驾驶，鼓励网络货物等方面的技术，</w:t>
      </w:r>
      <w:r w:rsidR="00D56C6B">
        <w:rPr>
          <w:rFonts w:hint="eastAsia"/>
        </w:rPr>
        <w:t>能够在一定程度内提升能源利用效率，具体参数设置如表</w:t>
      </w:r>
      <w:r w:rsidR="00D56C6B">
        <w:rPr>
          <w:rFonts w:hint="eastAsia"/>
        </w:rPr>
        <w:t>4-</w:t>
      </w:r>
      <w:r w:rsidR="00D56C6B">
        <w:t>1</w:t>
      </w:r>
      <w:r w:rsidR="00D56C6B">
        <w:rPr>
          <w:rFonts w:hint="eastAsia"/>
        </w:rPr>
        <w:t>所示。</w:t>
      </w:r>
    </w:p>
    <w:p w14:paraId="6C89E856" w14:textId="23DC732C" w:rsidR="00E95BCF" w:rsidRDefault="00E95BCF" w:rsidP="00E95BCF">
      <w:pPr>
        <w:pStyle w:val="4"/>
      </w:pPr>
      <w:r>
        <w:rPr>
          <w:rFonts w:hint="eastAsia"/>
        </w:rPr>
        <w:lastRenderedPageBreak/>
        <w:t>4</w:t>
      </w:r>
      <w:r>
        <w:t xml:space="preserve">.2.4 </w:t>
      </w:r>
      <w:r>
        <w:rPr>
          <w:rFonts w:hint="eastAsia"/>
        </w:rPr>
        <w:t>新能源应用</w:t>
      </w:r>
    </w:p>
    <w:p w14:paraId="2EED1B1B" w14:textId="46CDDA11" w:rsidR="00B177EA" w:rsidRDefault="00B177EA" w:rsidP="0043252B">
      <w:pPr>
        <w:ind w:firstLine="560"/>
      </w:pPr>
      <w:r w:rsidRPr="00B177EA">
        <w:rPr>
          <w:rFonts w:hint="eastAsia"/>
        </w:rPr>
        <w:t>新能源运载工具的推广应用是减排最重要的手段，是实现双碳目标最重要的抓手。鉴于不同运载工具新能源化的技术成熟度不同，不同运输方式大规模普及应用时间点不同，在短期内，在城市公交、出租汽车、城市物流配送、汽车租赁、邮政快递、机场服务等领域优先使用新能源汽车，探索应用特色旅游线路的全电池动力游轮。</w:t>
      </w:r>
      <w:r>
        <w:rPr>
          <w:rFonts w:hint="eastAsia"/>
        </w:rPr>
        <w:t>在中长期，随着新能源（氢能</w:t>
      </w:r>
      <w:r>
        <w:rPr>
          <w:rFonts w:hint="eastAsia"/>
        </w:rPr>
        <w:t>/</w:t>
      </w:r>
      <w:r>
        <w:rPr>
          <w:rFonts w:hint="eastAsia"/>
        </w:rPr>
        <w:t>纯电动）重卡技术的成熟，</w:t>
      </w:r>
      <w:r w:rsidRPr="00B177EA">
        <w:rPr>
          <w:rFonts w:hint="eastAsia"/>
        </w:rPr>
        <w:t>氢能</w:t>
      </w:r>
      <w:r>
        <w:rPr>
          <w:rFonts w:hint="eastAsia"/>
        </w:rPr>
        <w:t>、</w:t>
      </w:r>
      <w:r w:rsidRPr="00B177EA">
        <w:rPr>
          <w:rFonts w:hint="eastAsia"/>
        </w:rPr>
        <w:t>氨</w:t>
      </w:r>
      <w:r>
        <w:rPr>
          <w:rFonts w:hint="eastAsia"/>
        </w:rPr>
        <w:t>、甲醇等燃料电池驱动船舶技术的应用，生物质燃料在民航飞机的普及，交通</w:t>
      </w:r>
      <w:r w:rsidR="00575327">
        <w:rPr>
          <w:rFonts w:hint="eastAsia"/>
        </w:rPr>
        <w:t>部门</w:t>
      </w:r>
      <w:r>
        <w:rPr>
          <w:rFonts w:hint="eastAsia"/>
        </w:rPr>
        <w:t>将大幅度减排碳排放。</w:t>
      </w:r>
    </w:p>
    <w:p w14:paraId="69E12C66" w14:textId="650D1CB0" w:rsidR="00B177EA" w:rsidRPr="00CD32C3" w:rsidRDefault="00B177EA" w:rsidP="0043252B">
      <w:pPr>
        <w:ind w:firstLine="562"/>
        <w:rPr>
          <w:b/>
          <w:bCs/>
        </w:rPr>
      </w:pPr>
      <w:r w:rsidRPr="00CD32C3">
        <w:rPr>
          <w:rFonts w:hint="eastAsia"/>
          <w:b/>
          <w:bCs/>
        </w:rPr>
        <w:t>（</w:t>
      </w:r>
      <w:r w:rsidRPr="00CD32C3">
        <w:rPr>
          <w:rFonts w:hint="eastAsia"/>
          <w:b/>
          <w:bCs/>
        </w:rPr>
        <w:t>1</w:t>
      </w:r>
      <w:r w:rsidRPr="00CD32C3">
        <w:rPr>
          <w:rFonts w:hint="eastAsia"/>
          <w:b/>
          <w:bCs/>
        </w:rPr>
        <w:t>）以新能源汽车应用为主线推动交通能源清洁化</w:t>
      </w:r>
    </w:p>
    <w:p w14:paraId="0C36E76A" w14:textId="1F47A847" w:rsidR="003439F3" w:rsidRDefault="003439F3" w:rsidP="0043252B">
      <w:pPr>
        <w:ind w:firstLine="560"/>
      </w:pPr>
      <w:r>
        <w:rPr>
          <w:rFonts w:hint="eastAsia"/>
        </w:rPr>
        <w:t>自</w:t>
      </w:r>
      <w:r w:rsidRPr="003439F3">
        <w:rPr>
          <w:rFonts w:hint="eastAsia"/>
        </w:rPr>
        <w:t>2012</w:t>
      </w:r>
      <w:r w:rsidRPr="003439F3">
        <w:rPr>
          <w:rFonts w:hint="eastAsia"/>
        </w:rPr>
        <w:t>年国务院发布《节能与新能源汽车产业发展规划（</w:t>
      </w:r>
      <w:r w:rsidRPr="003439F3">
        <w:rPr>
          <w:rFonts w:hint="eastAsia"/>
        </w:rPr>
        <w:t>2012</w:t>
      </w:r>
      <w:r w:rsidRPr="003439F3">
        <w:rPr>
          <w:rFonts w:hint="eastAsia"/>
        </w:rPr>
        <w:t>—</w:t>
      </w:r>
      <w:r w:rsidRPr="003439F3">
        <w:rPr>
          <w:rFonts w:hint="eastAsia"/>
        </w:rPr>
        <w:t>2020</w:t>
      </w:r>
      <w:r w:rsidRPr="003439F3">
        <w:rPr>
          <w:rFonts w:hint="eastAsia"/>
        </w:rPr>
        <w:t>年）》以来，</w:t>
      </w:r>
      <w:r w:rsidR="00ED2758">
        <w:rPr>
          <w:rFonts w:hint="eastAsia"/>
        </w:rPr>
        <w:t>中国</w:t>
      </w:r>
      <w:r w:rsidRPr="003439F3">
        <w:rPr>
          <w:rFonts w:hint="eastAsia"/>
        </w:rPr>
        <w:t>坚持纯电驱动战略取向，新能源汽车产业发展取得了巨大成就，产销量、保有量连续</w:t>
      </w:r>
      <w:r>
        <w:rPr>
          <w:rFonts w:hint="eastAsia"/>
        </w:rPr>
        <w:t>多年</w:t>
      </w:r>
      <w:r w:rsidRPr="003439F3">
        <w:rPr>
          <w:rFonts w:hint="eastAsia"/>
        </w:rPr>
        <w:t>居世界首位</w:t>
      </w:r>
      <w:r>
        <w:rPr>
          <w:rFonts w:hint="eastAsia"/>
        </w:rPr>
        <w:t>。截至</w:t>
      </w:r>
      <w:r>
        <w:rPr>
          <w:rFonts w:hint="eastAsia"/>
        </w:rPr>
        <w:t>2</w:t>
      </w:r>
      <w:r>
        <w:t>021</w:t>
      </w:r>
      <w:r>
        <w:rPr>
          <w:rFonts w:hint="eastAsia"/>
        </w:rPr>
        <w:t>年</w:t>
      </w:r>
      <w:r>
        <w:rPr>
          <w:rFonts w:hint="eastAsia"/>
        </w:rPr>
        <w:t>1</w:t>
      </w:r>
      <w:r>
        <w:t>2</w:t>
      </w:r>
      <w:r>
        <w:rPr>
          <w:rFonts w:hint="eastAsia"/>
        </w:rPr>
        <w:t>月，</w:t>
      </w:r>
      <w:r w:rsidRPr="003439F3">
        <w:rPr>
          <w:rFonts w:hint="eastAsia"/>
        </w:rPr>
        <w:t>新能源汽车保有量达</w:t>
      </w:r>
      <w:r w:rsidRPr="003439F3">
        <w:rPr>
          <w:rFonts w:hint="eastAsia"/>
        </w:rPr>
        <w:t>784</w:t>
      </w:r>
      <w:r w:rsidRPr="003439F3">
        <w:rPr>
          <w:rFonts w:hint="eastAsia"/>
        </w:rPr>
        <w:t>万辆</w:t>
      </w:r>
      <w:r>
        <w:rPr>
          <w:rFonts w:hint="eastAsia"/>
        </w:rPr>
        <w:t>，</w:t>
      </w:r>
      <w:r w:rsidRPr="003439F3">
        <w:rPr>
          <w:rFonts w:hint="eastAsia"/>
        </w:rPr>
        <w:t>占汽车总量的</w:t>
      </w:r>
      <w:r w:rsidRPr="003439F3">
        <w:rPr>
          <w:rFonts w:hint="eastAsia"/>
        </w:rPr>
        <w:t>2.6%</w:t>
      </w:r>
      <w:r>
        <w:rPr>
          <w:rFonts w:hint="eastAsia"/>
        </w:rPr>
        <w:t>，</w:t>
      </w:r>
      <w:r>
        <w:rPr>
          <w:rFonts w:hint="eastAsia"/>
        </w:rPr>
        <w:t>2</w:t>
      </w:r>
      <w:r>
        <w:t>021</w:t>
      </w:r>
      <w:r>
        <w:rPr>
          <w:rFonts w:hint="eastAsia"/>
        </w:rPr>
        <w:t>年</w:t>
      </w:r>
      <w:r w:rsidRPr="003439F3">
        <w:rPr>
          <w:rFonts w:hint="eastAsia"/>
        </w:rPr>
        <w:t>新能源汽车</w:t>
      </w:r>
      <w:r>
        <w:rPr>
          <w:rFonts w:hint="eastAsia"/>
        </w:rPr>
        <w:t>全年销售达</w:t>
      </w:r>
      <w:r>
        <w:rPr>
          <w:rFonts w:hint="eastAsia"/>
        </w:rPr>
        <w:t>3</w:t>
      </w:r>
      <w:r>
        <w:t>40</w:t>
      </w:r>
      <w:r>
        <w:rPr>
          <w:rFonts w:hint="eastAsia"/>
        </w:rPr>
        <w:t>万辆，渗透率达到</w:t>
      </w:r>
      <w:r>
        <w:rPr>
          <w:rFonts w:hint="eastAsia"/>
        </w:rPr>
        <w:t>1</w:t>
      </w:r>
      <w:r>
        <w:t>2.7</w:t>
      </w:r>
      <w:r>
        <w:rPr>
          <w:rFonts w:hint="eastAsia"/>
        </w:rPr>
        <w:t>%</w:t>
      </w:r>
      <w:r>
        <w:rPr>
          <w:rFonts w:hint="eastAsia"/>
        </w:rPr>
        <w:t>。未来</w:t>
      </w:r>
      <w:r w:rsidRPr="003439F3">
        <w:rPr>
          <w:rFonts w:hint="eastAsia"/>
        </w:rPr>
        <w:t>发展新能源汽车</w:t>
      </w:r>
      <w:r>
        <w:rPr>
          <w:rFonts w:hint="eastAsia"/>
        </w:rPr>
        <w:t>仍旧是</w:t>
      </w:r>
      <w:r w:rsidRPr="003439F3">
        <w:rPr>
          <w:rFonts w:hint="eastAsia"/>
        </w:rPr>
        <w:t>国家</w:t>
      </w:r>
      <w:r>
        <w:rPr>
          <w:rFonts w:hint="eastAsia"/>
        </w:rPr>
        <w:t>的重点</w:t>
      </w:r>
      <w:r w:rsidRPr="003439F3">
        <w:rPr>
          <w:rFonts w:hint="eastAsia"/>
        </w:rPr>
        <w:t>战略</w:t>
      </w:r>
      <w:r>
        <w:rPr>
          <w:rFonts w:hint="eastAsia"/>
        </w:rPr>
        <w:t>，未来将</w:t>
      </w:r>
      <w:r w:rsidRPr="003439F3">
        <w:rPr>
          <w:rFonts w:hint="eastAsia"/>
        </w:rPr>
        <w:t>以融合创新为重点，突破关键核心技术，提升产业基础能力，推动</w:t>
      </w:r>
      <w:r w:rsidR="00ED2758">
        <w:rPr>
          <w:rFonts w:hint="eastAsia"/>
        </w:rPr>
        <w:t>中国</w:t>
      </w:r>
      <w:r w:rsidRPr="003439F3">
        <w:rPr>
          <w:rFonts w:hint="eastAsia"/>
        </w:rPr>
        <w:t>新能源汽车产业高质量可持续发展</w:t>
      </w:r>
      <w:r>
        <w:rPr>
          <w:rFonts w:hint="eastAsia"/>
        </w:rPr>
        <w:t>。</w:t>
      </w:r>
      <w:r w:rsidRPr="003439F3">
        <w:rPr>
          <w:rFonts w:hint="eastAsia"/>
        </w:rPr>
        <w:t>随着新能源汽车产业步入高速成长期，终端销量和渗透率将不断攀升</w:t>
      </w:r>
      <w:r w:rsidR="001B238A">
        <w:rPr>
          <w:rFonts w:hint="eastAsia"/>
        </w:rPr>
        <w:t>。依照</w:t>
      </w:r>
      <w:r w:rsidR="001B238A" w:rsidRPr="001B238A">
        <w:rPr>
          <w:rFonts w:hint="eastAsia"/>
        </w:rPr>
        <w:t>《新能源汽车产业发展规划（</w:t>
      </w:r>
      <w:r w:rsidR="001B238A" w:rsidRPr="001B238A">
        <w:rPr>
          <w:rFonts w:hint="eastAsia"/>
        </w:rPr>
        <w:t>2021</w:t>
      </w:r>
      <w:r w:rsidR="001B238A" w:rsidRPr="001B238A">
        <w:rPr>
          <w:rFonts w:hint="eastAsia"/>
        </w:rPr>
        <w:t>—</w:t>
      </w:r>
      <w:r w:rsidR="001B238A" w:rsidRPr="001B238A">
        <w:rPr>
          <w:rFonts w:hint="eastAsia"/>
        </w:rPr>
        <w:t>2035</w:t>
      </w:r>
      <w:r w:rsidR="001B238A" w:rsidRPr="001B238A">
        <w:rPr>
          <w:rFonts w:hint="eastAsia"/>
        </w:rPr>
        <w:t>年）》</w:t>
      </w:r>
      <w:r w:rsidR="001B238A">
        <w:rPr>
          <w:rFonts w:hint="eastAsia"/>
        </w:rPr>
        <w:t>、《</w:t>
      </w:r>
      <w:r w:rsidR="001B238A" w:rsidRPr="001B238A">
        <w:rPr>
          <w:rFonts w:hint="eastAsia"/>
        </w:rPr>
        <w:t>2030</w:t>
      </w:r>
      <w:r w:rsidR="001B238A" w:rsidRPr="001B238A">
        <w:rPr>
          <w:rFonts w:hint="eastAsia"/>
        </w:rPr>
        <w:t>年前碳达峰行动方案</w:t>
      </w:r>
      <w:r w:rsidR="001B238A">
        <w:rPr>
          <w:rFonts w:hint="eastAsia"/>
        </w:rPr>
        <w:t>》</w:t>
      </w:r>
      <w:r w:rsidR="001B238A" w:rsidRPr="001B238A">
        <w:rPr>
          <w:rFonts w:hint="eastAsia"/>
        </w:rPr>
        <w:t>《节能与新能源汽车技术路线图</w:t>
      </w:r>
      <w:r w:rsidR="001B238A" w:rsidRPr="001B238A">
        <w:rPr>
          <w:rFonts w:hint="eastAsia"/>
        </w:rPr>
        <w:t>2.0</w:t>
      </w:r>
      <w:r w:rsidR="001B238A" w:rsidRPr="001B238A">
        <w:rPr>
          <w:rFonts w:hint="eastAsia"/>
        </w:rPr>
        <w:t>》</w:t>
      </w:r>
      <w:r w:rsidR="001B238A">
        <w:rPr>
          <w:rFonts w:hint="eastAsia"/>
        </w:rPr>
        <w:t>等政策文件及研究报告，到</w:t>
      </w:r>
      <w:r w:rsidR="001B238A">
        <w:rPr>
          <w:rFonts w:hint="eastAsia"/>
        </w:rPr>
        <w:t>2</w:t>
      </w:r>
      <w:r w:rsidR="001B238A">
        <w:t>025</w:t>
      </w:r>
      <w:r w:rsidR="001B238A">
        <w:rPr>
          <w:rFonts w:hint="eastAsia"/>
        </w:rPr>
        <w:t>年，</w:t>
      </w:r>
      <w:r w:rsidR="001B238A" w:rsidRPr="001B238A">
        <w:rPr>
          <w:rFonts w:hint="eastAsia"/>
        </w:rPr>
        <w:t>新能源汽车新车销售量达到汽车新车销售总量的</w:t>
      </w:r>
      <w:r w:rsidR="001B238A" w:rsidRPr="001B238A">
        <w:rPr>
          <w:rFonts w:hint="eastAsia"/>
        </w:rPr>
        <w:t>20%</w:t>
      </w:r>
      <w:r w:rsidR="001B238A" w:rsidRPr="001B238A">
        <w:rPr>
          <w:rFonts w:hint="eastAsia"/>
        </w:rPr>
        <w:t>左右，</w:t>
      </w:r>
      <w:r w:rsidR="001B238A">
        <w:rPr>
          <w:rFonts w:hint="eastAsia"/>
        </w:rPr>
        <w:t>到</w:t>
      </w:r>
      <w:r w:rsidR="001B238A">
        <w:rPr>
          <w:rFonts w:hint="eastAsia"/>
        </w:rPr>
        <w:t>2</w:t>
      </w:r>
      <w:r w:rsidR="001B238A">
        <w:t>030</w:t>
      </w:r>
      <w:r w:rsidR="001B238A">
        <w:rPr>
          <w:rFonts w:hint="eastAsia"/>
        </w:rPr>
        <w:t>年，该比例达到</w:t>
      </w:r>
      <w:r w:rsidR="001B238A">
        <w:rPr>
          <w:rFonts w:hint="eastAsia"/>
        </w:rPr>
        <w:t>4</w:t>
      </w:r>
      <w:r w:rsidR="001B238A">
        <w:t>0</w:t>
      </w:r>
      <w:r w:rsidR="001B238A">
        <w:rPr>
          <w:rFonts w:hint="eastAsia"/>
        </w:rPr>
        <w:t>%</w:t>
      </w:r>
      <w:r w:rsidR="001B238A">
        <w:rPr>
          <w:rFonts w:hint="eastAsia"/>
        </w:rPr>
        <w:t>。</w:t>
      </w:r>
      <w:r>
        <w:rPr>
          <w:rFonts w:hint="eastAsia"/>
        </w:rPr>
        <w:t>通过</w:t>
      </w:r>
      <w:r w:rsidR="001B238A">
        <w:rPr>
          <w:rFonts w:hint="eastAsia"/>
        </w:rPr>
        <w:t>课题组</w:t>
      </w:r>
      <w:r>
        <w:rPr>
          <w:rFonts w:hint="eastAsia"/>
        </w:rPr>
        <w:t>构建</w:t>
      </w:r>
      <w:r>
        <w:rPr>
          <w:rFonts w:hint="eastAsia"/>
        </w:rPr>
        <w:lastRenderedPageBreak/>
        <w:t>的</w:t>
      </w:r>
      <w:r w:rsidR="001B238A">
        <w:rPr>
          <w:rFonts w:hint="eastAsia"/>
        </w:rPr>
        <w:t>车辆预测模型得到未来</w:t>
      </w:r>
      <w:r w:rsidR="00ED2758">
        <w:rPr>
          <w:rFonts w:hint="eastAsia"/>
        </w:rPr>
        <w:t>中国</w:t>
      </w:r>
      <w:r w:rsidR="001B238A">
        <w:rPr>
          <w:rFonts w:hint="eastAsia"/>
        </w:rPr>
        <w:t>新能源车辆数及其占比如图所示。</w:t>
      </w:r>
    </w:p>
    <w:p w14:paraId="6E86EAFF" w14:textId="63EA6424" w:rsidR="003439F3" w:rsidRDefault="003439F3" w:rsidP="003439F3">
      <w:pPr>
        <w:ind w:firstLineChars="0" w:firstLine="0"/>
      </w:pPr>
      <w:r>
        <w:rPr>
          <w:noProof/>
        </w:rPr>
        <w:drawing>
          <wp:inline distT="0" distB="0" distL="0" distR="0" wp14:anchorId="3210A49A" wp14:editId="160875A6">
            <wp:extent cx="5274310" cy="2690495"/>
            <wp:effectExtent l="0" t="0" r="2540" b="14605"/>
            <wp:docPr id="7" name="图表 7">
              <a:extLst xmlns:a="http://schemas.openxmlformats.org/drawingml/2006/main">
                <a:ext uri="{FF2B5EF4-FFF2-40B4-BE49-F238E27FC236}">
                  <a16:creationId xmlns:a16="http://schemas.microsoft.com/office/drawing/2014/main" id="{C71A7713-D4DA-458D-B622-3527BD086D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3694B569" w14:textId="1B0F8004" w:rsidR="00B177EA" w:rsidRPr="00A8551D" w:rsidRDefault="001B238A" w:rsidP="00AB1A75">
      <w:pPr>
        <w:ind w:firstLineChars="0" w:firstLine="0"/>
        <w:jc w:val="center"/>
        <w:rPr>
          <w:rFonts w:eastAsia="黑体"/>
          <w:sz w:val="24"/>
          <w:szCs w:val="21"/>
        </w:rPr>
      </w:pPr>
      <w:r w:rsidRPr="00A8551D">
        <w:rPr>
          <w:rFonts w:eastAsia="黑体" w:hint="eastAsia"/>
          <w:sz w:val="24"/>
          <w:szCs w:val="21"/>
        </w:rPr>
        <w:t>图</w:t>
      </w:r>
      <w:r w:rsidR="00CD32C3" w:rsidRPr="00A8551D">
        <w:rPr>
          <w:rFonts w:eastAsia="黑体" w:hint="eastAsia"/>
          <w:sz w:val="24"/>
          <w:szCs w:val="21"/>
        </w:rPr>
        <w:t>4</w:t>
      </w:r>
      <w:r w:rsidR="00CD32C3" w:rsidRPr="00A8551D">
        <w:rPr>
          <w:rFonts w:eastAsia="黑体"/>
          <w:sz w:val="24"/>
          <w:szCs w:val="21"/>
        </w:rPr>
        <w:t>-13</w:t>
      </w:r>
      <w:r w:rsidRPr="00A8551D">
        <w:rPr>
          <w:rFonts w:eastAsia="黑体" w:hint="eastAsia"/>
          <w:sz w:val="24"/>
          <w:szCs w:val="21"/>
        </w:rPr>
        <w:t xml:space="preserve"> </w:t>
      </w:r>
      <w:r w:rsidR="00CA54C2" w:rsidRPr="00A8551D">
        <w:rPr>
          <w:rFonts w:eastAsia="黑体" w:hint="eastAsia"/>
          <w:sz w:val="24"/>
          <w:szCs w:val="21"/>
        </w:rPr>
        <w:t>未来</w:t>
      </w:r>
      <w:r w:rsidRPr="00A8551D">
        <w:rPr>
          <w:rFonts w:eastAsia="黑体" w:hint="eastAsia"/>
          <w:sz w:val="24"/>
          <w:szCs w:val="21"/>
        </w:rPr>
        <w:t>新能源车保有量及占比趋势</w:t>
      </w:r>
    </w:p>
    <w:p w14:paraId="4F81E5B7" w14:textId="200B17EB" w:rsidR="001B238A" w:rsidRDefault="001B238A" w:rsidP="0043252B">
      <w:pPr>
        <w:ind w:firstLine="560"/>
      </w:pPr>
      <w:r w:rsidRPr="001B238A">
        <w:rPr>
          <w:rFonts w:hint="eastAsia"/>
        </w:rPr>
        <w:t>氢燃料电池新能源汽车的重要组成部分，但现阶段由于氢燃料电池技术尚未获得实质突破，成本、耐久性、基础设施以及氢能产业链仍是氢燃料电池汽车推广应用所面临的全球共性瓶颈。工信部《“十四五”工业绿色发展规划》明确</w:t>
      </w:r>
      <w:r w:rsidR="00D6698A">
        <w:rPr>
          <w:rFonts w:hint="eastAsia"/>
        </w:rPr>
        <w:t>提出</w:t>
      </w:r>
      <w:r w:rsidRPr="001B238A">
        <w:rPr>
          <w:rFonts w:hint="eastAsia"/>
        </w:rPr>
        <w:t>，加快氢能技术创新和基础设施建设，推动氢能多元利用</w:t>
      </w:r>
      <w:r w:rsidR="009E13FB">
        <w:rPr>
          <w:rFonts w:hint="eastAsia"/>
        </w:rPr>
        <w:t>。在张家口市</w:t>
      </w:r>
      <w:r w:rsidR="009E13FB" w:rsidRPr="009E13FB">
        <w:rPr>
          <w:rFonts w:hint="eastAsia"/>
        </w:rPr>
        <w:t>400</w:t>
      </w:r>
      <w:r w:rsidR="009E13FB" w:rsidRPr="009E13FB">
        <w:rPr>
          <w:rFonts w:hint="eastAsia"/>
        </w:rPr>
        <w:t>多辆氢燃料电池公交车</w:t>
      </w:r>
      <w:r w:rsidR="009E13FB">
        <w:rPr>
          <w:rFonts w:hint="eastAsia"/>
        </w:rPr>
        <w:t>已投入运营</w:t>
      </w:r>
      <w:r w:rsidRPr="001B238A">
        <w:rPr>
          <w:rFonts w:hint="eastAsia"/>
        </w:rPr>
        <w:t>。随着技术的发展，氢燃料电池的电池效率和使用寿命进一步提高，成本进一步降低；关键材料及核心零部件供应随着产业发展而实现突破；氢能基础设施逐渐完善，氢燃料电池汽车</w:t>
      </w:r>
      <w:r>
        <w:rPr>
          <w:rFonts w:hint="eastAsia"/>
        </w:rPr>
        <w:t>可</w:t>
      </w:r>
      <w:r w:rsidRPr="001B238A">
        <w:rPr>
          <w:rFonts w:hint="eastAsia"/>
        </w:rPr>
        <w:t>大规模推广利用。考虑到氢能在长距离货运和城际公交领域是替代传统柴油车和未来纯电动车的较优解决方案，未来氢能汽车将会有较大的发展潜力。</w:t>
      </w:r>
    </w:p>
    <w:p w14:paraId="0D7570AE" w14:textId="73B27385" w:rsidR="009E13FB" w:rsidRDefault="009E13FB" w:rsidP="0043252B">
      <w:pPr>
        <w:ind w:firstLine="560"/>
      </w:pPr>
      <w:r>
        <w:rPr>
          <w:rFonts w:hint="eastAsia"/>
        </w:rPr>
        <w:t>同时，随着纯电电池技术的进步，</w:t>
      </w:r>
      <w:r w:rsidR="00526514">
        <w:rPr>
          <w:rFonts w:hint="eastAsia"/>
        </w:rPr>
        <w:t>纯电动重卡也将逐步普及，成为主要的</w:t>
      </w:r>
      <w:r w:rsidR="005E55A5">
        <w:rPr>
          <w:rFonts w:hint="eastAsia"/>
        </w:rPr>
        <w:t>车型。</w:t>
      </w:r>
    </w:p>
    <w:p w14:paraId="2057A009" w14:textId="1EECAECE" w:rsidR="001B238A" w:rsidRDefault="0019726A" w:rsidP="005E55A5">
      <w:pPr>
        <w:ind w:firstLineChars="0" w:firstLine="0"/>
      </w:pPr>
      <w:r>
        <w:rPr>
          <w:noProof/>
        </w:rPr>
        <w:lastRenderedPageBreak/>
        <w:drawing>
          <wp:inline distT="0" distB="0" distL="0" distR="0" wp14:anchorId="78FAE036" wp14:editId="6C82B87A">
            <wp:extent cx="5220000" cy="2743200"/>
            <wp:effectExtent l="0" t="0" r="0" b="0"/>
            <wp:docPr id="16" name="图表 16">
              <a:extLst xmlns:a="http://schemas.openxmlformats.org/drawingml/2006/main">
                <a:ext uri="{FF2B5EF4-FFF2-40B4-BE49-F238E27FC236}">
                  <a16:creationId xmlns:a16="http://schemas.microsoft.com/office/drawing/2014/main" id="{8D793243-9D23-46D2-9E3F-94425D64FD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761DE0B2" w14:textId="16268BB4" w:rsidR="0019726A" w:rsidRPr="00A8551D" w:rsidRDefault="0019726A" w:rsidP="00AB1A75">
      <w:pPr>
        <w:ind w:firstLineChars="0" w:firstLine="0"/>
        <w:jc w:val="center"/>
        <w:rPr>
          <w:rFonts w:eastAsia="黑体"/>
          <w:sz w:val="24"/>
          <w:szCs w:val="21"/>
        </w:rPr>
      </w:pPr>
      <w:r w:rsidRPr="00A8551D">
        <w:rPr>
          <w:rFonts w:eastAsia="黑体" w:hint="eastAsia"/>
          <w:sz w:val="24"/>
          <w:szCs w:val="21"/>
        </w:rPr>
        <w:t>图</w:t>
      </w:r>
      <w:r w:rsidR="00CD32C3" w:rsidRPr="00A8551D">
        <w:rPr>
          <w:rFonts w:eastAsia="黑体" w:hint="eastAsia"/>
          <w:sz w:val="24"/>
          <w:szCs w:val="21"/>
        </w:rPr>
        <w:t>4</w:t>
      </w:r>
      <w:r w:rsidR="00CD32C3" w:rsidRPr="00A8551D">
        <w:rPr>
          <w:rFonts w:eastAsia="黑体"/>
          <w:sz w:val="24"/>
          <w:szCs w:val="21"/>
        </w:rPr>
        <w:t>-14</w:t>
      </w:r>
      <w:r w:rsidRPr="00A8551D">
        <w:rPr>
          <w:rFonts w:eastAsia="黑体" w:hint="eastAsia"/>
          <w:sz w:val="24"/>
          <w:szCs w:val="21"/>
        </w:rPr>
        <w:t xml:space="preserve"> </w:t>
      </w:r>
      <w:r w:rsidRPr="00A8551D">
        <w:rPr>
          <w:rFonts w:eastAsia="黑体" w:hint="eastAsia"/>
          <w:sz w:val="24"/>
          <w:szCs w:val="21"/>
        </w:rPr>
        <w:t>不同类型卡车保有量趋势判断</w:t>
      </w:r>
    </w:p>
    <w:p w14:paraId="1947BDB0" w14:textId="77777777" w:rsidR="0019726A" w:rsidRPr="0019726A" w:rsidRDefault="0019726A" w:rsidP="005E55A5">
      <w:pPr>
        <w:ind w:firstLineChars="0" w:firstLine="0"/>
      </w:pPr>
    </w:p>
    <w:p w14:paraId="4151D1F5" w14:textId="31AF7C07" w:rsidR="0019726A" w:rsidRDefault="0019726A" w:rsidP="005E55A5">
      <w:pPr>
        <w:ind w:firstLineChars="0" w:firstLine="0"/>
      </w:pPr>
      <w:r>
        <w:rPr>
          <w:noProof/>
        </w:rPr>
        <w:drawing>
          <wp:inline distT="0" distB="0" distL="0" distR="0" wp14:anchorId="4AC2307E" wp14:editId="7C033AAB">
            <wp:extent cx="5220000" cy="2743200"/>
            <wp:effectExtent l="0" t="0" r="0" b="0"/>
            <wp:docPr id="15" name="图表 15">
              <a:extLst xmlns:a="http://schemas.openxmlformats.org/drawingml/2006/main">
                <a:ext uri="{FF2B5EF4-FFF2-40B4-BE49-F238E27FC236}">
                  <a16:creationId xmlns:a16="http://schemas.microsoft.com/office/drawing/2014/main" id="{08002663-46AB-4461-B59C-AAE91F8FB3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3435E3C6" w14:textId="43B8C189" w:rsidR="0019726A" w:rsidRPr="00A8551D" w:rsidRDefault="0019726A" w:rsidP="00AB1A75">
      <w:pPr>
        <w:ind w:firstLineChars="0" w:firstLine="0"/>
        <w:jc w:val="center"/>
        <w:rPr>
          <w:rFonts w:eastAsia="黑体"/>
          <w:sz w:val="24"/>
          <w:szCs w:val="21"/>
        </w:rPr>
      </w:pPr>
      <w:r w:rsidRPr="00A8551D">
        <w:rPr>
          <w:rFonts w:eastAsia="黑体" w:hint="eastAsia"/>
          <w:sz w:val="24"/>
          <w:szCs w:val="21"/>
        </w:rPr>
        <w:t>图</w:t>
      </w:r>
      <w:r w:rsidR="00CD32C3" w:rsidRPr="00A8551D">
        <w:rPr>
          <w:rFonts w:eastAsia="黑体" w:hint="eastAsia"/>
          <w:sz w:val="24"/>
          <w:szCs w:val="21"/>
        </w:rPr>
        <w:t>4</w:t>
      </w:r>
      <w:r w:rsidR="00CD32C3" w:rsidRPr="00A8551D">
        <w:rPr>
          <w:rFonts w:eastAsia="黑体"/>
          <w:sz w:val="24"/>
          <w:szCs w:val="21"/>
        </w:rPr>
        <w:t>-16</w:t>
      </w:r>
      <w:r w:rsidRPr="00A8551D">
        <w:rPr>
          <w:rFonts w:eastAsia="黑体" w:hint="eastAsia"/>
          <w:sz w:val="24"/>
          <w:szCs w:val="21"/>
        </w:rPr>
        <w:t xml:space="preserve"> </w:t>
      </w:r>
      <w:r w:rsidRPr="00A8551D">
        <w:rPr>
          <w:rFonts w:eastAsia="黑体" w:hint="eastAsia"/>
          <w:sz w:val="24"/>
          <w:szCs w:val="21"/>
        </w:rPr>
        <w:t>重型卡车不同燃料类型车占比趋势判断</w:t>
      </w:r>
    </w:p>
    <w:p w14:paraId="7A9C7132" w14:textId="77777777" w:rsidR="001B238A" w:rsidRDefault="001B238A" w:rsidP="0043252B">
      <w:pPr>
        <w:ind w:firstLine="560"/>
      </w:pPr>
    </w:p>
    <w:p w14:paraId="60CE21F6" w14:textId="6A186C7F" w:rsidR="00B177EA" w:rsidRPr="00CD32C3" w:rsidRDefault="001B238A" w:rsidP="0043252B">
      <w:pPr>
        <w:ind w:firstLine="562"/>
        <w:rPr>
          <w:b/>
          <w:bCs/>
        </w:rPr>
      </w:pPr>
      <w:r w:rsidRPr="00CD32C3">
        <w:rPr>
          <w:rFonts w:hint="eastAsia"/>
          <w:b/>
          <w:bCs/>
        </w:rPr>
        <w:t>（</w:t>
      </w:r>
      <w:r w:rsidRPr="00CD32C3">
        <w:rPr>
          <w:rFonts w:hint="eastAsia"/>
          <w:b/>
          <w:bCs/>
        </w:rPr>
        <w:t>2</w:t>
      </w:r>
      <w:r w:rsidRPr="00CD32C3">
        <w:rPr>
          <w:rFonts w:hint="eastAsia"/>
          <w:b/>
          <w:bCs/>
        </w:rPr>
        <w:t>）</w:t>
      </w:r>
      <w:r w:rsidR="001815B2" w:rsidRPr="00CD32C3">
        <w:rPr>
          <w:rFonts w:hint="eastAsia"/>
          <w:b/>
          <w:bCs/>
        </w:rPr>
        <w:t>其他交通运输工具新能源化进程</w:t>
      </w:r>
    </w:p>
    <w:p w14:paraId="5C9478D3" w14:textId="6BC4ECFA" w:rsidR="001B238A" w:rsidRDefault="001815B2" w:rsidP="0043252B">
      <w:pPr>
        <w:ind w:firstLine="560"/>
      </w:pPr>
      <w:r>
        <w:rPr>
          <w:rFonts w:hint="eastAsia"/>
        </w:rPr>
        <w:t>铁路运输方面，</w:t>
      </w:r>
      <w:r w:rsidRPr="001815B2">
        <w:rPr>
          <w:rFonts w:hint="eastAsia"/>
        </w:rPr>
        <w:t>铁路电气化率</w:t>
      </w:r>
      <w:r>
        <w:rPr>
          <w:rFonts w:hint="eastAsia"/>
        </w:rPr>
        <w:t>将稳步提升，</w:t>
      </w:r>
      <w:r w:rsidRPr="001815B2">
        <w:rPr>
          <w:rFonts w:hint="eastAsia"/>
        </w:rPr>
        <w:t>2030</w:t>
      </w:r>
      <w:r w:rsidRPr="001815B2">
        <w:rPr>
          <w:rFonts w:hint="eastAsia"/>
        </w:rPr>
        <w:t>年应达到</w:t>
      </w:r>
      <w:r w:rsidRPr="001815B2">
        <w:rPr>
          <w:rFonts w:hint="eastAsia"/>
        </w:rPr>
        <w:t>85%</w:t>
      </w:r>
      <w:r w:rsidRPr="001815B2">
        <w:rPr>
          <w:rFonts w:hint="eastAsia"/>
        </w:rPr>
        <w:t>左右，</w:t>
      </w:r>
      <w:r w:rsidRPr="001815B2">
        <w:rPr>
          <w:rFonts w:hint="eastAsia"/>
        </w:rPr>
        <w:t>2040</w:t>
      </w:r>
      <w:r w:rsidRPr="001815B2">
        <w:rPr>
          <w:rFonts w:hint="eastAsia"/>
        </w:rPr>
        <w:t>年达到</w:t>
      </w:r>
      <w:r w:rsidRPr="001815B2">
        <w:rPr>
          <w:rFonts w:hint="eastAsia"/>
        </w:rPr>
        <w:t>90%</w:t>
      </w:r>
      <w:r w:rsidRPr="001815B2">
        <w:rPr>
          <w:rFonts w:hint="eastAsia"/>
        </w:rPr>
        <w:t>以上，</w:t>
      </w:r>
      <w:r w:rsidRPr="001815B2">
        <w:rPr>
          <w:rFonts w:hint="eastAsia"/>
        </w:rPr>
        <w:t>2050</w:t>
      </w:r>
      <w:r w:rsidRPr="001815B2">
        <w:rPr>
          <w:rFonts w:hint="eastAsia"/>
        </w:rPr>
        <w:t>年电气化率达到</w:t>
      </w:r>
      <w:r w:rsidRPr="001815B2">
        <w:rPr>
          <w:rFonts w:hint="eastAsia"/>
        </w:rPr>
        <w:t>99%</w:t>
      </w:r>
      <w:r w:rsidRPr="001815B2">
        <w:rPr>
          <w:rFonts w:hint="eastAsia"/>
        </w:rPr>
        <w:t>以上。</w:t>
      </w:r>
    </w:p>
    <w:p w14:paraId="7CC41858" w14:textId="36D33CD9" w:rsidR="001815B2" w:rsidRDefault="001815B2" w:rsidP="0043252B">
      <w:pPr>
        <w:ind w:firstLine="560"/>
      </w:pPr>
      <w:r>
        <w:rPr>
          <w:rFonts w:hint="eastAsia"/>
        </w:rPr>
        <w:t>水路方面，</w:t>
      </w:r>
      <w:r w:rsidRPr="001815B2">
        <w:rPr>
          <w:rFonts w:hint="eastAsia"/>
        </w:rPr>
        <w:t>氢能</w:t>
      </w:r>
      <w:r w:rsidRPr="001815B2">
        <w:rPr>
          <w:rFonts w:hint="eastAsia"/>
        </w:rPr>
        <w:t>/</w:t>
      </w:r>
      <w:r w:rsidRPr="001815B2">
        <w:rPr>
          <w:rFonts w:hint="eastAsia"/>
        </w:rPr>
        <w:t>氨技术路线不明确，到</w:t>
      </w:r>
      <w:r w:rsidRPr="001815B2">
        <w:rPr>
          <w:rFonts w:hint="eastAsia"/>
        </w:rPr>
        <w:t>2060</w:t>
      </w:r>
      <w:r w:rsidRPr="001815B2">
        <w:rPr>
          <w:rFonts w:hint="eastAsia"/>
        </w:rPr>
        <w:t>年，内河新能源船舶保有量</w:t>
      </w:r>
      <w:r w:rsidRPr="001815B2">
        <w:rPr>
          <w:rFonts w:hint="eastAsia"/>
        </w:rPr>
        <w:t>60%</w:t>
      </w:r>
      <w:r w:rsidRPr="001815B2">
        <w:rPr>
          <w:rFonts w:hint="eastAsia"/>
        </w:rPr>
        <w:t>，沿海船舶新能源动力保有量</w:t>
      </w:r>
      <w:r w:rsidRPr="001815B2">
        <w:rPr>
          <w:rFonts w:hint="eastAsia"/>
        </w:rPr>
        <w:t>30%</w:t>
      </w:r>
      <w:r w:rsidRPr="001815B2">
        <w:rPr>
          <w:rFonts w:hint="eastAsia"/>
        </w:rPr>
        <w:t>。</w:t>
      </w:r>
    </w:p>
    <w:p w14:paraId="5ED7C153" w14:textId="3CAED339" w:rsidR="001B238A" w:rsidRPr="0043252B" w:rsidRDefault="001815B2">
      <w:pPr>
        <w:ind w:firstLine="560"/>
      </w:pPr>
      <w:r>
        <w:rPr>
          <w:rFonts w:hint="eastAsia"/>
        </w:rPr>
        <w:lastRenderedPageBreak/>
        <w:t>民航运输方面，</w:t>
      </w:r>
      <w:r w:rsidRPr="001815B2">
        <w:rPr>
          <w:rFonts w:hint="eastAsia"/>
        </w:rPr>
        <w:t>航空生物燃料的应用</w:t>
      </w:r>
      <w:r>
        <w:rPr>
          <w:rFonts w:hint="eastAsia"/>
        </w:rPr>
        <w:t>和新能源</w:t>
      </w:r>
      <w:r w:rsidRPr="001815B2">
        <w:rPr>
          <w:rFonts w:hint="eastAsia"/>
        </w:rPr>
        <w:t>发动机</w:t>
      </w:r>
      <w:r w:rsidRPr="001815B2">
        <w:rPr>
          <w:rFonts w:hint="eastAsia"/>
        </w:rPr>
        <w:t>/</w:t>
      </w:r>
      <w:r w:rsidRPr="001815B2">
        <w:rPr>
          <w:rFonts w:hint="eastAsia"/>
        </w:rPr>
        <w:t>飞机的研发</w:t>
      </w:r>
      <w:r>
        <w:rPr>
          <w:rFonts w:hint="eastAsia"/>
        </w:rPr>
        <w:t>是未来主要方向，到</w:t>
      </w:r>
      <w:r>
        <w:rPr>
          <w:rFonts w:hint="eastAsia"/>
        </w:rPr>
        <w:t>2</w:t>
      </w:r>
      <w:r>
        <w:t>060</w:t>
      </w:r>
      <w:r>
        <w:rPr>
          <w:rFonts w:hint="eastAsia"/>
        </w:rPr>
        <w:t>年</w:t>
      </w:r>
      <w:r w:rsidRPr="001815B2">
        <w:rPr>
          <w:rFonts w:hint="eastAsia"/>
        </w:rPr>
        <w:t>干线长距离</w:t>
      </w:r>
      <w:r>
        <w:rPr>
          <w:rFonts w:hint="eastAsia"/>
        </w:rPr>
        <w:t>主要</w:t>
      </w:r>
      <w:r w:rsidRPr="001815B2">
        <w:rPr>
          <w:rFonts w:hint="eastAsia"/>
        </w:rPr>
        <w:t>采用生物质能，新能源利用比例超过</w:t>
      </w:r>
      <w:r w:rsidRPr="001815B2">
        <w:rPr>
          <w:rFonts w:hint="eastAsia"/>
        </w:rPr>
        <w:t>50%</w:t>
      </w:r>
      <w:r>
        <w:rPr>
          <w:rFonts w:hint="eastAsia"/>
        </w:rPr>
        <w:t>，</w:t>
      </w:r>
      <w:r w:rsidRPr="001815B2">
        <w:rPr>
          <w:rFonts w:hint="eastAsia"/>
        </w:rPr>
        <w:t>短途飞机电能、氢能飞机渗透率达</w:t>
      </w:r>
      <w:r w:rsidRPr="001815B2">
        <w:rPr>
          <w:rFonts w:hint="eastAsia"/>
        </w:rPr>
        <w:t>10%</w:t>
      </w:r>
      <w:r w:rsidRPr="001815B2">
        <w:rPr>
          <w:rFonts w:hint="eastAsia"/>
        </w:rPr>
        <w:t>。</w:t>
      </w:r>
    </w:p>
    <w:p w14:paraId="1D0452F9" w14:textId="7AEED6FA" w:rsidR="004E3C75" w:rsidRDefault="004E3C75" w:rsidP="008E25D8">
      <w:pPr>
        <w:pStyle w:val="2"/>
      </w:pPr>
      <w:bookmarkStart w:id="43" w:name="_Toc93782318"/>
      <w:r>
        <w:t xml:space="preserve">4.3 </w:t>
      </w:r>
      <w:r w:rsidR="00AC57BF" w:rsidRPr="00AC57BF">
        <w:rPr>
          <w:rFonts w:hint="eastAsia"/>
        </w:rPr>
        <w:t>情景分析</w:t>
      </w:r>
      <w:bookmarkEnd w:id="43"/>
    </w:p>
    <w:p w14:paraId="7E1DD283" w14:textId="55A37EEF" w:rsidR="00D03755" w:rsidRDefault="00D03755" w:rsidP="00DB5A8A">
      <w:pPr>
        <w:pStyle w:val="4"/>
      </w:pPr>
      <w:r>
        <w:rPr>
          <w:rFonts w:hint="eastAsia"/>
        </w:rPr>
        <w:t>4</w:t>
      </w:r>
      <w:r>
        <w:t xml:space="preserve">.3.1 </w:t>
      </w:r>
      <w:r w:rsidRPr="00D03755">
        <w:rPr>
          <w:rFonts w:hint="eastAsia"/>
        </w:rPr>
        <w:t>交通运输需求分析</w:t>
      </w:r>
    </w:p>
    <w:p w14:paraId="65A8EDFA" w14:textId="77777777" w:rsidR="00CD32C3" w:rsidRPr="00CD32C3" w:rsidRDefault="00CD32C3" w:rsidP="00CD32C3">
      <w:pPr>
        <w:ind w:firstLine="562"/>
        <w:rPr>
          <w:b/>
          <w:bCs/>
        </w:rPr>
      </w:pPr>
      <w:r w:rsidRPr="00CD32C3">
        <w:rPr>
          <w:rFonts w:hint="eastAsia"/>
          <w:b/>
          <w:bCs/>
        </w:rPr>
        <w:t>（</w:t>
      </w:r>
      <w:r>
        <w:rPr>
          <w:b/>
          <w:bCs/>
        </w:rPr>
        <w:t>1</w:t>
      </w:r>
      <w:r w:rsidRPr="00CD32C3">
        <w:rPr>
          <w:rFonts w:hint="eastAsia"/>
          <w:b/>
          <w:bCs/>
        </w:rPr>
        <w:t>）</w:t>
      </w:r>
      <w:bookmarkStart w:id="44" w:name="_Hlk93508672"/>
      <w:r>
        <w:rPr>
          <w:rFonts w:hint="eastAsia"/>
          <w:b/>
          <w:bCs/>
        </w:rPr>
        <w:t>货运</w:t>
      </w:r>
      <w:r w:rsidRPr="00CD32C3">
        <w:rPr>
          <w:rFonts w:hint="eastAsia"/>
          <w:b/>
          <w:bCs/>
        </w:rPr>
        <w:t>需求将</w:t>
      </w:r>
      <w:r>
        <w:rPr>
          <w:rFonts w:hint="eastAsia"/>
          <w:b/>
          <w:bCs/>
        </w:rPr>
        <w:t>持续增加</w:t>
      </w:r>
    </w:p>
    <w:p w14:paraId="055A530A" w14:textId="1BECDAAD" w:rsidR="00E86CDC" w:rsidRDefault="00E86CDC" w:rsidP="00E86CDC">
      <w:pPr>
        <w:ind w:firstLine="560"/>
      </w:pPr>
      <w:bookmarkStart w:id="45" w:name="_Hlk93508606"/>
      <w:bookmarkEnd w:id="44"/>
      <w:r>
        <w:rPr>
          <w:rFonts w:hint="eastAsia"/>
        </w:rPr>
        <w:t>依照对交通货运需求核心因素的分析，通过构建货运需求模型</w:t>
      </w:r>
      <w:r>
        <w:rPr>
          <w:rFonts w:hint="eastAsia"/>
        </w:rPr>
        <w:t xml:space="preserve"> </w:t>
      </w:r>
      <w:r>
        <w:rPr>
          <w:rFonts w:hint="eastAsia"/>
        </w:rPr>
        <w:t>，得到不同货运方式下，货物周转量的预测结果如所示。</w:t>
      </w:r>
    </w:p>
    <w:p w14:paraId="090433C4" w14:textId="430BE88F" w:rsidR="00105924" w:rsidRDefault="00E86CDC" w:rsidP="00E86CDC">
      <w:pPr>
        <w:ind w:firstLine="560"/>
      </w:pPr>
      <w:bookmarkStart w:id="46" w:name="_Hlk93508860"/>
      <w:bookmarkEnd w:id="45"/>
      <w:r>
        <w:rPr>
          <w:rFonts w:hint="eastAsia"/>
        </w:rPr>
        <w:t>一是未来货运需求将由高速增长转向平稳增长。</w:t>
      </w:r>
      <w:r w:rsidR="00ED2758">
        <w:rPr>
          <w:rFonts w:hint="eastAsia"/>
        </w:rPr>
        <w:t>中国</w:t>
      </w:r>
      <w:r>
        <w:rPr>
          <w:rFonts w:hint="eastAsia"/>
        </w:rPr>
        <w:t>经济已由高速增长阶段转向高质量发展阶段，供给侧结构性改革将进一步深化，货运需求增速将有所下降，但由于工业化和城镇化进程还在持续，</w:t>
      </w:r>
      <w:r>
        <w:rPr>
          <w:rFonts w:hint="eastAsia"/>
        </w:rPr>
        <w:t>2030</w:t>
      </w:r>
      <w:r>
        <w:rPr>
          <w:rFonts w:hint="eastAsia"/>
        </w:rPr>
        <w:t>年前货运需求仍将保持中速增长，以</w:t>
      </w:r>
      <w:r>
        <w:t>2</w:t>
      </w:r>
      <w:r>
        <w:rPr>
          <w:rFonts w:hint="eastAsia"/>
        </w:rPr>
        <w:t>%-</w:t>
      </w:r>
      <w:r>
        <w:t>3</w:t>
      </w:r>
      <w:r>
        <w:rPr>
          <w:rFonts w:hint="eastAsia"/>
        </w:rPr>
        <w:t>%</w:t>
      </w:r>
      <w:r>
        <w:rPr>
          <w:rFonts w:hint="eastAsia"/>
        </w:rPr>
        <w:t>增速增长；</w:t>
      </w:r>
      <w:r>
        <w:rPr>
          <w:rFonts w:hint="eastAsia"/>
        </w:rPr>
        <w:t>2030-2040</w:t>
      </w:r>
      <w:r>
        <w:rPr>
          <w:rFonts w:hint="eastAsia"/>
        </w:rPr>
        <w:t>年</w:t>
      </w:r>
      <w:r w:rsidR="00ED2758">
        <w:rPr>
          <w:rFonts w:hint="eastAsia"/>
        </w:rPr>
        <w:t>中国</w:t>
      </w:r>
      <w:r>
        <w:rPr>
          <w:rFonts w:hint="eastAsia"/>
        </w:rPr>
        <w:t>进入以科技进步和创新为重要支撑的新兴工业化发展阶段，工业品产量及货物运输量需求增速会放缓，货运需求增速降低，以</w:t>
      </w:r>
      <w:r>
        <w:rPr>
          <w:rFonts w:hint="eastAsia"/>
        </w:rPr>
        <w:t>1%-2%</w:t>
      </w:r>
      <w:r>
        <w:rPr>
          <w:rFonts w:hint="eastAsia"/>
        </w:rPr>
        <w:t>增速增长；</w:t>
      </w:r>
      <w:r>
        <w:rPr>
          <w:rFonts w:hint="eastAsia"/>
        </w:rPr>
        <w:t>2040</w:t>
      </w:r>
      <w:r>
        <w:rPr>
          <w:rFonts w:hint="eastAsia"/>
        </w:rPr>
        <w:t>后货物运输周转量将逐步进入平台期。</w:t>
      </w:r>
    </w:p>
    <w:p w14:paraId="72C648EE" w14:textId="11040A00" w:rsidR="00E86CDC" w:rsidRDefault="00E86CDC" w:rsidP="00E86CDC">
      <w:pPr>
        <w:ind w:firstLine="560"/>
      </w:pPr>
      <w:r w:rsidRPr="00E86CDC">
        <w:rPr>
          <w:rFonts w:hint="eastAsia"/>
        </w:rPr>
        <w:t>二是货运结构受政策影响较大。随着路网等级的不断提高、加上具有“门到门”优势，公路运输仍将是货运最主要的运输方式。铁路、水路运输的占比受政策力度影响较大。当低碳交通政策</w:t>
      </w:r>
      <w:r w:rsidR="001A45C9" w:rsidRPr="00E86CDC">
        <w:rPr>
          <w:rFonts w:hint="eastAsia"/>
        </w:rPr>
        <w:t>实施力度较大</w:t>
      </w:r>
      <w:r w:rsidR="001A45C9">
        <w:rPr>
          <w:rFonts w:hint="eastAsia"/>
        </w:rPr>
        <w:t>时</w:t>
      </w:r>
      <w:r w:rsidRPr="00E86CDC">
        <w:rPr>
          <w:rFonts w:hint="eastAsia"/>
        </w:rPr>
        <w:t>，会引起部分公路货运转移到铁路和水路，铁路货运量及货物周转量占比增长；同时，如果鼓励大规模推广铁水集装箱联运，那么铁路和水路货物运输将拥有新的增长点；航空、管道所承担的货运量会有所上升，但占比较低。</w:t>
      </w:r>
    </w:p>
    <w:p w14:paraId="19C522BE" w14:textId="21DB7877" w:rsidR="00E05307" w:rsidRDefault="00E05307" w:rsidP="00105924">
      <w:pPr>
        <w:ind w:firstLine="560"/>
      </w:pPr>
      <w:r w:rsidRPr="00E05307">
        <w:rPr>
          <w:rFonts w:hint="eastAsia"/>
        </w:rPr>
        <w:lastRenderedPageBreak/>
        <w:t>三是大宗货物运输量在</w:t>
      </w:r>
      <w:r w:rsidRPr="00E05307">
        <w:rPr>
          <w:rFonts w:hint="eastAsia"/>
        </w:rPr>
        <w:t>2030</w:t>
      </w:r>
      <w:r w:rsidRPr="00E05307">
        <w:rPr>
          <w:rFonts w:hint="eastAsia"/>
        </w:rPr>
        <w:t>年之前达到峰值。</w:t>
      </w:r>
      <w:r w:rsidRPr="00E05307">
        <w:rPr>
          <w:rFonts w:hint="eastAsia"/>
        </w:rPr>
        <w:t>20</w:t>
      </w:r>
      <w:r>
        <w:t>20</w:t>
      </w:r>
      <w:r w:rsidRPr="00E05307">
        <w:rPr>
          <w:rFonts w:hint="eastAsia"/>
        </w:rPr>
        <w:t>年，</w:t>
      </w:r>
      <w:r w:rsidR="00ED2758">
        <w:rPr>
          <w:rFonts w:hint="eastAsia"/>
        </w:rPr>
        <w:t>中国</w:t>
      </w:r>
      <w:r w:rsidRPr="00E05307">
        <w:rPr>
          <w:rFonts w:hint="eastAsia"/>
        </w:rPr>
        <w:t>大宗货物的产量和运输量均居世界第一。随着供给侧结构性改革的不断深化，持续推动发展方式转变、经济结构优化、增长动力转换等，重化工业增速降低，减少对煤炭、铁矿石和钢铁等大宗货物的需求</w:t>
      </w:r>
      <w:r w:rsidRPr="00E05307">
        <w:rPr>
          <w:rFonts w:hint="eastAsia"/>
        </w:rPr>
        <w:t>,</w:t>
      </w:r>
      <w:r w:rsidRPr="00E05307">
        <w:rPr>
          <w:rFonts w:hint="eastAsia"/>
        </w:rPr>
        <w:t>煤炭、冶炼物资、建材、粮食等大宗物资运输需求量总体快速增长的势头将放缓</w:t>
      </w:r>
      <w:r>
        <w:rPr>
          <w:rFonts w:hint="eastAsia"/>
        </w:rPr>
        <w:t>，并在</w:t>
      </w:r>
      <w:r w:rsidRPr="00E05307">
        <w:rPr>
          <w:rFonts w:hint="eastAsia"/>
        </w:rPr>
        <w:t>2030</w:t>
      </w:r>
      <w:r w:rsidRPr="00E05307">
        <w:rPr>
          <w:rFonts w:hint="eastAsia"/>
        </w:rPr>
        <w:t>年</w:t>
      </w:r>
      <w:r>
        <w:rPr>
          <w:rFonts w:hint="eastAsia"/>
        </w:rPr>
        <w:t>前后达到峰值。</w:t>
      </w:r>
      <w:r w:rsidRPr="00E05307">
        <w:rPr>
          <w:rFonts w:hint="eastAsia"/>
        </w:rPr>
        <w:t>另一方面，</w:t>
      </w:r>
      <w:r w:rsidR="00ED2758">
        <w:rPr>
          <w:rFonts w:hint="eastAsia"/>
        </w:rPr>
        <w:t>中国</w:t>
      </w:r>
      <w:r w:rsidRPr="00E05307">
        <w:rPr>
          <w:rFonts w:hint="eastAsia"/>
        </w:rPr>
        <w:t>国土面积大、人口多、资源禀赋不均衡，大宗货物运输量达峰后，短期内不会出现明显的大幅下降，将维持在一个相对稳定的规模。</w:t>
      </w:r>
    </w:p>
    <w:p w14:paraId="1F3EAAEA" w14:textId="110775E9" w:rsidR="00D67C85" w:rsidRDefault="00E05307" w:rsidP="00105924">
      <w:pPr>
        <w:ind w:firstLine="560"/>
      </w:pPr>
      <w:r w:rsidRPr="00E05307">
        <w:rPr>
          <w:rFonts w:hint="eastAsia"/>
        </w:rPr>
        <w:t>四是高价值、分散性、小批量、时效性货运需求快速攀升。基于互联网的个性化定制、工业生产由集中式控制向分散式增强型控制转变等新的趋势，物流也将随之呈现“个性化”特点，成为分散性、小批量货运需求快速增长的推手。由于人民群众消费水平的提高将诱发更多的消费品需求，促进小批量、多批次、高价值货物运输需求量的增长，以及对更快速、更便捷、更准时物流配送的需求，并推动航空、公路等货运需求增长；高附加值和轻型化产品比例明显增大，单位运输量的货物价值远超过大宗货类，货类变化将促使集装箱及快递运输量持续增长。</w:t>
      </w:r>
      <w:bookmarkEnd w:id="46"/>
    </w:p>
    <w:p w14:paraId="66432F74" w14:textId="77777777" w:rsidR="00D67C85" w:rsidRDefault="00D67C85">
      <w:pPr>
        <w:widowControl/>
        <w:spacing w:line="240" w:lineRule="auto"/>
        <w:ind w:firstLineChars="0" w:firstLine="0"/>
        <w:jc w:val="left"/>
      </w:pPr>
      <w:r>
        <w:br w:type="page"/>
      </w:r>
    </w:p>
    <w:p w14:paraId="394EDAC8" w14:textId="6CD52B49" w:rsidR="00E86CDC" w:rsidRPr="00D67C85" w:rsidRDefault="00AC68B8" w:rsidP="00AC68B8">
      <w:pPr>
        <w:ind w:firstLineChars="0" w:firstLine="0"/>
        <w:jc w:val="center"/>
        <w:rPr>
          <w:rFonts w:eastAsia="黑体"/>
          <w:sz w:val="24"/>
          <w:szCs w:val="21"/>
        </w:rPr>
      </w:pPr>
      <w:r w:rsidRPr="00D67C85">
        <w:rPr>
          <w:rFonts w:eastAsia="黑体" w:hint="eastAsia"/>
          <w:sz w:val="24"/>
          <w:szCs w:val="21"/>
        </w:rPr>
        <w:lastRenderedPageBreak/>
        <w:t>表</w:t>
      </w:r>
      <w:r w:rsidR="00CD32C3" w:rsidRPr="00D67C85">
        <w:rPr>
          <w:rFonts w:eastAsia="黑体" w:hint="eastAsia"/>
          <w:sz w:val="24"/>
          <w:szCs w:val="21"/>
        </w:rPr>
        <w:t>4</w:t>
      </w:r>
      <w:r w:rsidR="00CD32C3" w:rsidRPr="00D67C85">
        <w:rPr>
          <w:rFonts w:eastAsia="黑体"/>
          <w:sz w:val="24"/>
          <w:szCs w:val="21"/>
        </w:rPr>
        <w:t>-4</w:t>
      </w:r>
      <w:r w:rsidRPr="00D67C85">
        <w:rPr>
          <w:rFonts w:eastAsia="黑体" w:hint="eastAsia"/>
          <w:sz w:val="24"/>
          <w:szCs w:val="21"/>
        </w:rPr>
        <w:t xml:space="preserve"> </w:t>
      </w:r>
      <w:bookmarkStart w:id="47" w:name="_Hlk93508695"/>
      <w:r w:rsidRPr="00D67C85">
        <w:rPr>
          <w:rFonts w:eastAsia="黑体" w:hint="eastAsia"/>
          <w:sz w:val="24"/>
          <w:szCs w:val="21"/>
        </w:rPr>
        <w:t>货物运输周转量趋势预测</w:t>
      </w:r>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3"/>
        <w:gridCol w:w="1384"/>
        <w:gridCol w:w="1384"/>
        <w:gridCol w:w="1384"/>
        <w:gridCol w:w="1382"/>
        <w:gridCol w:w="1379"/>
      </w:tblGrid>
      <w:tr w:rsidR="00AC68B8" w:rsidRPr="00AC68B8" w14:paraId="4047C901" w14:textId="77777777" w:rsidTr="00AC68B8">
        <w:trPr>
          <w:trHeight w:val="576"/>
        </w:trPr>
        <w:tc>
          <w:tcPr>
            <w:tcW w:w="834" w:type="pct"/>
            <w:vMerge w:val="restart"/>
            <w:shd w:val="clear" w:color="auto" w:fill="auto"/>
            <w:noWrap/>
            <w:vAlign w:val="center"/>
            <w:hideMark/>
          </w:tcPr>
          <w:p w14:paraId="4475F780" w14:textId="77777777" w:rsidR="00AC68B8" w:rsidRPr="00AC68B8" w:rsidRDefault="00AC68B8" w:rsidP="00AC68B8">
            <w:pPr>
              <w:widowControl/>
              <w:spacing w:line="240" w:lineRule="auto"/>
              <w:ind w:firstLineChars="0" w:firstLine="0"/>
              <w:jc w:val="left"/>
              <w:rPr>
                <w:rFonts w:eastAsia="楷体"/>
                <w:kern w:val="0"/>
                <w:sz w:val="20"/>
                <w:szCs w:val="24"/>
              </w:rPr>
            </w:pPr>
          </w:p>
        </w:tc>
        <w:tc>
          <w:tcPr>
            <w:tcW w:w="834" w:type="pct"/>
            <w:shd w:val="clear" w:color="auto" w:fill="auto"/>
            <w:vAlign w:val="center"/>
            <w:hideMark/>
          </w:tcPr>
          <w:p w14:paraId="7CA4D0BF" w14:textId="77777777" w:rsidR="00AC68B8" w:rsidRPr="00AC68B8" w:rsidRDefault="00AC68B8" w:rsidP="00AC68B8">
            <w:pPr>
              <w:widowControl/>
              <w:spacing w:line="240" w:lineRule="auto"/>
              <w:ind w:firstLineChars="0" w:firstLine="0"/>
              <w:jc w:val="center"/>
              <w:rPr>
                <w:rFonts w:eastAsia="楷体"/>
                <w:color w:val="000000"/>
                <w:kern w:val="0"/>
                <w:sz w:val="22"/>
              </w:rPr>
            </w:pPr>
            <w:r w:rsidRPr="00AC68B8">
              <w:rPr>
                <w:rFonts w:eastAsia="楷体"/>
                <w:color w:val="000000"/>
                <w:kern w:val="0"/>
                <w:sz w:val="22"/>
              </w:rPr>
              <w:t>铁路货运周转量</w:t>
            </w:r>
          </w:p>
        </w:tc>
        <w:tc>
          <w:tcPr>
            <w:tcW w:w="834" w:type="pct"/>
            <w:shd w:val="clear" w:color="auto" w:fill="auto"/>
            <w:vAlign w:val="center"/>
            <w:hideMark/>
          </w:tcPr>
          <w:p w14:paraId="59E93B20" w14:textId="77777777" w:rsidR="00AC68B8" w:rsidRPr="00AC68B8" w:rsidRDefault="00AC68B8" w:rsidP="00AC68B8">
            <w:pPr>
              <w:widowControl/>
              <w:spacing w:line="240" w:lineRule="auto"/>
              <w:ind w:firstLineChars="0" w:firstLine="0"/>
              <w:jc w:val="center"/>
              <w:rPr>
                <w:rFonts w:eastAsia="楷体"/>
                <w:color w:val="000000"/>
                <w:kern w:val="0"/>
                <w:sz w:val="22"/>
              </w:rPr>
            </w:pPr>
            <w:r w:rsidRPr="00AC68B8">
              <w:rPr>
                <w:rFonts w:eastAsia="楷体"/>
                <w:color w:val="000000"/>
                <w:kern w:val="0"/>
                <w:sz w:val="22"/>
              </w:rPr>
              <w:t>公路货运周转量</w:t>
            </w:r>
          </w:p>
        </w:tc>
        <w:tc>
          <w:tcPr>
            <w:tcW w:w="834" w:type="pct"/>
            <w:shd w:val="clear" w:color="auto" w:fill="auto"/>
            <w:vAlign w:val="center"/>
            <w:hideMark/>
          </w:tcPr>
          <w:p w14:paraId="638E31AF" w14:textId="77777777" w:rsidR="00AC68B8" w:rsidRPr="00AC68B8" w:rsidRDefault="00AC68B8" w:rsidP="00AC68B8">
            <w:pPr>
              <w:widowControl/>
              <w:spacing w:line="240" w:lineRule="auto"/>
              <w:ind w:firstLineChars="0" w:firstLine="0"/>
              <w:jc w:val="left"/>
              <w:rPr>
                <w:rFonts w:eastAsia="楷体"/>
                <w:color w:val="000000"/>
                <w:kern w:val="0"/>
                <w:sz w:val="22"/>
              </w:rPr>
            </w:pPr>
            <w:r w:rsidRPr="00AC68B8">
              <w:rPr>
                <w:rFonts w:eastAsia="楷体"/>
                <w:color w:val="000000"/>
                <w:kern w:val="0"/>
                <w:sz w:val="22"/>
              </w:rPr>
              <w:t>内河货运周转量</w:t>
            </w:r>
          </w:p>
        </w:tc>
        <w:tc>
          <w:tcPr>
            <w:tcW w:w="833" w:type="pct"/>
            <w:shd w:val="clear" w:color="auto" w:fill="auto"/>
            <w:vAlign w:val="center"/>
            <w:hideMark/>
          </w:tcPr>
          <w:p w14:paraId="6114F877" w14:textId="77777777" w:rsidR="00AC68B8" w:rsidRPr="00AC68B8" w:rsidRDefault="00AC68B8" w:rsidP="00AC68B8">
            <w:pPr>
              <w:widowControl/>
              <w:spacing w:line="240" w:lineRule="auto"/>
              <w:ind w:firstLineChars="0" w:firstLine="0"/>
              <w:jc w:val="left"/>
              <w:rPr>
                <w:rFonts w:eastAsia="楷体"/>
                <w:color w:val="000000"/>
                <w:kern w:val="0"/>
                <w:sz w:val="22"/>
              </w:rPr>
            </w:pPr>
            <w:r w:rsidRPr="00AC68B8">
              <w:rPr>
                <w:rFonts w:eastAsia="楷体"/>
                <w:color w:val="000000"/>
                <w:kern w:val="0"/>
                <w:sz w:val="22"/>
              </w:rPr>
              <w:t>沿海货运周转量</w:t>
            </w:r>
          </w:p>
        </w:tc>
        <w:tc>
          <w:tcPr>
            <w:tcW w:w="833" w:type="pct"/>
            <w:shd w:val="clear" w:color="auto" w:fill="auto"/>
            <w:vAlign w:val="center"/>
            <w:hideMark/>
          </w:tcPr>
          <w:p w14:paraId="7C8CCAAA" w14:textId="77777777" w:rsidR="00AC68B8" w:rsidRPr="00AC68B8" w:rsidRDefault="00AC68B8" w:rsidP="00AC68B8">
            <w:pPr>
              <w:widowControl/>
              <w:spacing w:line="240" w:lineRule="auto"/>
              <w:ind w:firstLineChars="0" w:firstLine="0"/>
              <w:jc w:val="center"/>
              <w:rPr>
                <w:rFonts w:eastAsia="楷体"/>
                <w:color w:val="000000"/>
                <w:kern w:val="0"/>
                <w:sz w:val="22"/>
              </w:rPr>
            </w:pPr>
            <w:r w:rsidRPr="00AC68B8">
              <w:rPr>
                <w:rFonts w:eastAsia="楷体"/>
                <w:color w:val="000000"/>
                <w:kern w:val="0"/>
                <w:sz w:val="22"/>
              </w:rPr>
              <w:t>民航货运周转量</w:t>
            </w:r>
          </w:p>
        </w:tc>
      </w:tr>
      <w:tr w:rsidR="00AC68B8" w:rsidRPr="00AC68B8" w14:paraId="7561BD59" w14:textId="77777777" w:rsidTr="00AC68B8">
        <w:trPr>
          <w:trHeight w:val="276"/>
        </w:trPr>
        <w:tc>
          <w:tcPr>
            <w:tcW w:w="834" w:type="pct"/>
            <w:vMerge/>
            <w:shd w:val="clear" w:color="auto" w:fill="auto"/>
            <w:noWrap/>
            <w:vAlign w:val="center"/>
            <w:hideMark/>
          </w:tcPr>
          <w:p w14:paraId="1CF6FEE9" w14:textId="0CC0EC85" w:rsidR="00AC68B8" w:rsidRPr="00AC68B8" w:rsidRDefault="00AC68B8" w:rsidP="00AC68B8">
            <w:pPr>
              <w:widowControl/>
              <w:spacing w:line="240" w:lineRule="auto"/>
              <w:ind w:firstLineChars="0" w:firstLine="0"/>
              <w:jc w:val="left"/>
              <w:rPr>
                <w:rFonts w:eastAsia="楷体"/>
                <w:color w:val="000000"/>
                <w:kern w:val="0"/>
                <w:sz w:val="22"/>
              </w:rPr>
            </w:pPr>
          </w:p>
        </w:tc>
        <w:tc>
          <w:tcPr>
            <w:tcW w:w="834" w:type="pct"/>
            <w:shd w:val="clear" w:color="auto" w:fill="auto"/>
            <w:noWrap/>
            <w:vAlign w:val="center"/>
            <w:hideMark/>
          </w:tcPr>
          <w:p w14:paraId="4A9DF86D" w14:textId="0ABFEF68" w:rsidR="00AC68B8" w:rsidRPr="00AC68B8" w:rsidRDefault="008102C6" w:rsidP="00AC68B8">
            <w:pPr>
              <w:widowControl/>
              <w:spacing w:line="240" w:lineRule="auto"/>
              <w:ind w:firstLineChars="0" w:firstLine="0"/>
              <w:jc w:val="left"/>
              <w:rPr>
                <w:rFonts w:eastAsia="楷体"/>
                <w:color w:val="000000"/>
                <w:kern w:val="0"/>
                <w:sz w:val="22"/>
              </w:rPr>
            </w:pPr>
            <w:r>
              <w:rPr>
                <w:rFonts w:eastAsia="楷体"/>
                <w:color w:val="000000"/>
                <w:kern w:val="0"/>
                <w:sz w:val="22"/>
              </w:rPr>
              <w:t>亿</w:t>
            </w:r>
            <w:r>
              <w:rPr>
                <w:rFonts w:eastAsia="楷体"/>
                <w:color w:val="000000"/>
                <w:kern w:val="0"/>
                <w:sz w:val="22"/>
              </w:rPr>
              <w:t>t</w:t>
            </w:r>
            <w:r w:rsidR="00AC68B8" w:rsidRPr="00AC68B8">
              <w:rPr>
                <w:rFonts w:eastAsia="楷体"/>
                <w:color w:val="000000"/>
                <w:kern w:val="0"/>
                <w:sz w:val="22"/>
              </w:rPr>
              <w:t>公里</w:t>
            </w:r>
          </w:p>
        </w:tc>
        <w:tc>
          <w:tcPr>
            <w:tcW w:w="834" w:type="pct"/>
            <w:shd w:val="clear" w:color="auto" w:fill="auto"/>
            <w:noWrap/>
            <w:vAlign w:val="center"/>
            <w:hideMark/>
          </w:tcPr>
          <w:p w14:paraId="295047E3" w14:textId="1AE61256" w:rsidR="00AC68B8" w:rsidRPr="00AC68B8" w:rsidRDefault="008102C6" w:rsidP="00AC68B8">
            <w:pPr>
              <w:widowControl/>
              <w:spacing w:line="240" w:lineRule="auto"/>
              <w:ind w:firstLineChars="0" w:firstLine="0"/>
              <w:jc w:val="left"/>
              <w:rPr>
                <w:rFonts w:eastAsia="楷体"/>
                <w:color w:val="000000"/>
                <w:kern w:val="0"/>
                <w:sz w:val="22"/>
              </w:rPr>
            </w:pPr>
            <w:r>
              <w:rPr>
                <w:rFonts w:eastAsia="楷体"/>
                <w:color w:val="000000"/>
                <w:kern w:val="0"/>
                <w:sz w:val="22"/>
              </w:rPr>
              <w:t>亿</w:t>
            </w:r>
            <w:r>
              <w:rPr>
                <w:rFonts w:eastAsia="楷体"/>
                <w:color w:val="000000"/>
                <w:kern w:val="0"/>
                <w:sz w:val="22"/>
              </w:rPr>
              <w:t>t</w:t>
            </w:r>
            <w:r w:rsidR="00AC68B8" w:rsidRPr="00AC68B8">
              <w:rPr>
                <w:rFonts w:eastAsia="楷体"/>
                <w:color w:val="000000"/>
                <w:kern w:val="0"/>
                <w:sz w:val="22"/>
              </w:rPr>
              <w:t>公里</w:t>
            </w:r>
          </w:p>
        </w:tc>
        <w:tc>
          <w:tcPr>
            <w:tcW w:w="834" w:type="pct"/>
            <w:shd w:val="clear" w:color="auto" w:fill="auto"/>
            <w:noWrap/>
            <w:vAlign w:val="center"/>
            <w:hideMark/>
          </w:tcPr>
          <w:p w14:paraId="07E2A496" w14:textId="26C2FD1F" w:rsidR="00AC68B8" w:rsidRPr="00AC68B8" w:rsidRDefault="008102C6" w:rsidP="00AC68B8">
            <w:pPr>
              <w:widowControl/>
              <w:spacing w:line="240" w:lineRule="auto"/>
              <w:ind w:firstLineChars="0" w:firstLine="0"/>
              <w:jc w:val="left"/>
              <w:rPr>
                <w:rFonts w:eastAsia="楷体"/>
                <w:color w:val="000000"/>
                <w:kern w:val="0"/>
                <w:sz w:val="22"/>
              </w:rPr>
            </w:pPr>
            <w:r>
              <w:rPr>
                <w:rFonts w:eastAsia="楷体"/>
                <w:color w:val="000000"/>
                <w:kern w:val="0"/>
                <w:sz w:val="22"/>
              </w:rPr>
              <w:t>亿</w:t>
            </w:r>
            <w:r>
              <w:rPr>
                <w:rFonts w:eastAsia="楷体"/>
                <w:color w:val="000000"/>
                <w:kern w:val="0"/>
                <w:sz w:val="22"/>
              </w:rPr>
              <w:t>t</w:t>
            </w:r>
            <w:r w:rsidR="00AC68B8" w:rsidRPr="00AC68B8">
              <w:rPr>
                <w:rFonts w:eastAsia="楷体"/>
                <w:color w:val="000000"/>
                <w:kern w:val="0"/>
                <w:sz w:val="22"/>
              </w:rPr>
              <w:t>公里</w:t>
            </w:r>
          </w:p>
        </w:tc>
        <w:tc>
          <w:tcPr>
            <w:tcW w:w="833" w:type="pct"/>
            <w:shd w:val="clear" w:color="auto" w:fill="auto"/>
            <w:noWrap/>
            <w:vAlign w:val="center"/>
            <w:hideMark/>
          </w:tcPr>
          <w:p w14:paraId="1CD0CF28" w14:textId="2C6A4A2F" w:rsidR="00AC68B8" w:rsidRPr="00AC68B8" w:rsidRDefault="008102C6" w:rsidP="00AC68B8">
            <w:pPr>
              <w:widowControl/>
              <w:spacing w:line="240" w:lineRule="auto"/>
              <w:ind w:firstLineChars="0" w:firstLine="0"/>
              <w:jc w:val="left"/>
              <w:rPr>
                <w:rFonts w:eastAsia="楷体"/>
                <w:color w:val="000000"/>
                <w:kern w:val="0"/>
                <w:sz w:val="22"/>
              </w:rPr>
            </w:pPr>
            <w:r>
              <w:rPr>
                <w:rFonts w:eastAsia="楷体"/>
                <w:color w:val="000000"/>
                <w:kern w:val="0"/>
                <w:sz w:val="22"/>
              </w:rPr>
              <w:t>亿</w:t>
            </w:r>
            <w:r>
              <w:rPr>
                <w:rFonts w:eastAsia="楷体"/>
                <w:color w:val="000000"/>
                <w:kern w:val="0"/>
                <w:sz w:val="22"/>
              </w:rPr>
              <w:t>t</w:t>
            </w:r>
            <w:r w:rsidR="00AC68B8" w:rsidRPr="00AC68B8">
              <w:rPr>
                <w:rFonts w:eastAsia="楷体"/>
                <w:color w:val="000000"/>
                <w:kern w:val="0"/>
                <w:sz w:val="22"/>
              </w:rPr>
              <w:t>公里</w:t>
            </w:r>
          </w:p>
        </w:tc>
        <w:tc>
          <w:tcPr>
            <w:tcW w:w="833" w:type="pct"/>
            <w:shd w:val="clear" w:color="auto" w:fill="auto"/>
            <w:noWrap/>
            <w:vAlign w:val="center"/>
            <w:hideMark/>
          </w:tcPr>
          <w:p w14:paraId="11A80202" w14:textId="71F64096" w:rsidR="00AC68B8" w:rsidRPr="00AC68B8" w:rsidRDefault="008102C6" w:rsidP="00AC68B8">
            <w:pPr>
              <w:widowControl/>
              <w:spacing w:line="240" w:lineRule="auto"/>
              <w:ind w:firstLineChars="0" w:firstLine="0"/>
              <w:jc w:val="left"/>
              <w:rPr>
                <w:rFonts w:eastAsia="楷体"/>
                <w:color w:val="000000"/>
                <w:kern w:val="0"/>
                <w:sz w:val="22"/>
              </w:rPr>
            </w:pPr>
            <w:r>
              <w:rPr>
                <w:rFonts w:eastAsia="楷体"/>
                <w:color w:val="000000"/>
                <w:kern w:val="0"/>
                <w:sz w:val="22"/>
              </w:rPr>
              <w:t>亿</w:t>
            </w:r>
            <w:r>
              <w:rPr>
                <w:rFonts w:eastAsia="楷体"/>
                <w:color w:val="000000"/>
                <w:kern w:val="0"/>
                <w:sz w:val="22"/>
              </w:rPr>
              <w:t>t</w:t>
            </w:r>
            <w:r w:rsidR="00AC68B8" w:rsidRPr="00AC68B8">
              <w:rPr>
                <w:rFonts w:eastAsia="楷体"/>
                <w:color w:val="000000"/>
                <w:kern w:val="0"/>
                <w:sz w:val="22"/>
              </w:rPr>
              <w:t>公里</w:t>
            </w:r>
          </w:p>
        </w:tc>
      </w:tr>
      <w:tr w:rsidR="00AC68B8" w:rsidRPr="00AC68B8" w14:paraId="50434855" w14:textId="77777777" w:rsidTr="00AC68B8">
        <w:trPr>
          <w:trHeight w:val="276"/>
        </w:trPr>
        <w:tc>
          <w:tcPr>
            <w:tcW w:w="834" w:type="pct"/>
            <w:shd w:val="clear" w:color="auto" w:fill="auto"/>
            <w:noWrap/>
            <w:vAlign w:val="center"/>
            <w:hideMark/>
          </w:tcPr>
          <w:p w14:paraId="41A9E922" w14:textId="77777777" w:rsidR="00AC68B8" w:rsidRPr="00AC68B8" w:rsidRDefault="00AC68B8" w:rsidP="00AC68B8">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2020</w:t>
            </w:r>
          </w:p>
        </w:tc>
        <w:tc>
          <w:tcPr>
            <w:tcW w:w="834" w:type="pct"/>
            <w:shd w:val="clear" w:color="auto" w:fill="auto"/>
            <w:vAlign w:val="center"/>
            <w:hideMark/>
          </w:tcPr>
          <w:p w14:paraId="2E61831C"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30515</w:t>
            </w:r>
          </w:p>
        </w:tc>
        <w:tc>
          <w:tcPr>
            <w:tcW w:w="834" w:type="pct"/>
            <w:shd w:val="clear" w:color="auto" w:fill="auto"/>
            <w:vAlign w:val="center"/>
            <w:hideMark/>
          </w:tcPr>
          <w:p w14:paraId="6DEFA721"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83282</w:t>
            </w:r>
          </w:p>
        </w:tc>
        <w:tc>
          <w:tcPr>
            <w:tcW w:w="834" w:type="pct"/>
            <w:shd w:val="clear" w:color="auto" w:fill="auto"/>
            <w:noWrap/>
            <w:vAlign w:val="center"/>
            <w:hideMark/>
          </w:tcPr>
          <w:p w14:paraId="1DEB94A7"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16764</w:t>
            </w:r>
          </w:p>
        </w:tc>
        <w:tc>
          <w:tcPr>
            <w:tcW w:w="833" w:type="pct"/>
            <w:shd w:val="clear" w:color="auto" w:fill="auto"/>
            <w:noWrap/>
            <w:vAlign w:val="center"/>
            <w:hideMark/>
          </w:tcPr>
          <w:p w14:paraId="71B2814A"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34036</w:t>
            </w:r>
          </w:p>
        </w:tc>
        <w:tc>
          <w:tcPr>
            <w:tcW w:w="833" w:type="pct"/>
            <w:shd w:val="clear" w:color="auto" w:fill="auto"/>
            <w:noWrap/>
            <w:vAlign w:val="center"/>
            <w:hideMark/>
          </w:tcPr>
          <w:p w14:paraId="6816DDAE"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67</w:t>
            </w:r>
          </w:p>
        </w:tc>
      </w:tr>
      <w:tr w:rsidR="00AC68B8" w:rsidRPr="00AC68B8" w14:paraId="539270B5" w14:textId="77777777" w:rsidTr="00AC68B8">
        <w:trPr>
          <w:trHeight w:val="276"/>
        </w:trPr>
        <w:tc>
          <w:tcPr>
            <w:tcW w:w="834" w:type="pct"/>
            <w:shd w:val="clear" w:color="auto" w:fill="auto"/>
            <w:noWrap/>
            <w:vAlign w:val="center"/>
            <w:hideMark/>
          </w:tcPr>
          <w:p w14:paraId="403AC2D7" w14:textId="77777777" w:rsidR="00AC68B8" w:rsidRPr="00AC68B8" w:rsidRDefault="00AC68B8" w:rsidP="00AC68B8">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2025</w:t>
            </w:r>
          </w:p>
        </w:tc>
        <w:tc>
          <w:tcPr>
            <w:tcW w:w="834" w:type="pct"/>
            <w:shd w:val="clear" w:color="auto" w:fill="auto"/>
            <w:noWrap/>
            <w:vAlign w:val="center"/>
            <w:hideMark/>
          </w:tcPr>
          <w:p w14:paraId="29518368"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38622</w:t>
            </w:r>
          </w:p>
        </w:tc>
        <w:tc>
          <w:tcPr>
            <w:tcW w:w="834" w:type="pct"/>
            <w:shd w:val="clear" w:color="auto" w:fill="auto"/>
            <w:noWrap/>
            <w:vAlign w:val="center"/>
            <w:hideMark/>
          </w:tcPr>
          <w:p w14:paraId="372AE354"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93599</w:t>
            </w:r>
          </w:p>
        </w:tc>
        <w:tc>
          <w:tcPr>
            <w:tcW w:w="834" w:type="pct"/>
            <w:shd w:val="clear" w:color="auto" w:fill="auto"/>
            <w:noWrap/>
            <w:vAlign w:val="center"/>
            <w:hideMark/>
          </w:tcPr>
          <w:p w14:paraId="035FF05A"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19278</w:t>
            </w:r>
          </w:p>
        </w:tc>
        <w:tc>
          <w:tcPr>
            <w:tcW w:w="833" w:type="pct"/>
            <w:shd w:val="clear" w:color="auto" w:fill="auto"/>
            <w:noWrap/>
            <w:vAlign w:val="center"/>
            <w:hideMark/>
          </w:tcPr>
          <w:p w14:paraId="12945037"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37672</w:t>
            </w:r>
          </w:p>
        </w:tc>
        <w:tc>
          <w:tcPr>
            <w:tcW w:w="833" w:type="pct"/>
            <w:shd w:val="clear" w:color="auto" w:fill="auto"/>
            <w:noWrap/>
            <w:vAlign w:val="center"/>
            <w:hideMark/>
          </w:tcPr>
          <w:p w14:paraId="5ED60533"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95</w:t>
            </w:r>
          </w:p>
        </w:tc>
      </w:tr>
      <w:tr w:rsidR="00AC68B8" w:rsidRPr="00AC68B8" w14:paraId="12AE48E7" w14:textId="77777777" w:rsidTr="00AC68B8">
        <w:trPr>
          <w:trHeight w:val="276"/>
        </w:trPr>
        <w:tc>
          <w:tcPr>
            <w:tcW w:w="834" w:type="pct"/>
            <w:shd w:val="clear" w:color="auto" w:fill="auto"/>
            <w:noWrap/>
            <w:vAlign w:val="center"/>
            <w:hideMark/>
          </w:tcPr>
          <w:p w14:paraId="33FAC145" w14:textId="77777777" w:rsidR="00AC68B8" w:rsidRPr="00AC68B8" w:rsidRDefault="00AC68B8" w:rsidP="00AC68B8">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2030</w:t>
            </w:r>
          </w:p>
        </w:tc>
        <w:tc>
          <w:tcPr>
            <w:tcW w:w="834" w:type="pct"/>
            <w:shd w:val="clear" w:color="auto" w:fill="auto"/>
            <w:noWrap/>
            <w:vAlign w:val="center"/>
            <w:hideMark/>
          </w:tcPr>
          <w:p w14:paraId="35D55506"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41810</w:t>
            </w:r>
          </w:p>
        </w:tc>
        <w:tc>
          <w:tcPr>
            <w:tcW w:w="834" w:type="pct"/>
            <w:shd w:val="clear" w:color="auto" w:fill="auto"/>
            <w:noWrap/>
            <w:vAlign w:val="center"/>
            <w:hideMark/>
          </w:tcPr>
          <w:p w14:paraId="542BA2AB"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109910</w:t>
            </w:r>
          </w:p>
        </w:tc>
        <w:tc>
          <w:tcPr>
            <w:tcW w:w="834" w:type="pct"/>
            <w:shd w:val="clear" w:color="auto" w:fill="auto"/>
            <w:noWrap/>
            <w:vAlign w:val="center"/>
            <w:hideMark/>
          </w:tcPr>
          <w:p w14:paraId="290C4BA5"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21364</w:t>
            </w:r>
          </w:p>
        </w:tc>
        <w:tc>
          <w:tcPr>
            <w:tcW w:w="833" w:type="pct"/>
            <w:shd w:val="clear" w:color="auto" w:fill="auto"/>
            <w:noWrap/>
            <w:vAlign w:val="center"/>
            <w:hideMark/>
          </w:tcPr>
          <w:p w14:paraId="57BEC465"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41580</w:t>
            </w:r>
          </w:p>
        </w:tc>
        <w:tc>
          <w:tcPr>
            <w:tcW w:w="833" w:type="pct"/>
            <w:shd w:val="clear" w:color="auto" w:fill="auto"/>
            <w:noWrap/>
            <w:vAlign w:val="center"/>
            <w:hideMark/>
          </w:tcPr>
          <w:p w14:paraId="4C812D29"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112</w:t>
            </w:r>
          </w:p>
        </w:tc>
      </w:tr>
      <w:tr w:rsidR="00AC68B8" w:rsidRPr="00AC68B8" w14:paraId="09770EF3" w14:textId="77777777" w:rsidTr="00AC68B8">
        <w:trPr>
          <w:trHeight w:val="276"/>
        </w:trPr>
        <w:tc>
          <w:tcPr>
            <w:tcW w:w="834" w:type="pct"/>
            <w:shd w:val="clear" w:color="auto" w:fill="auto"/>
            <w:noWrap/>
            <w:vAlign w:val="center"/>
            <w:hideMark/>
          </w:tcPr>
          <w:p w14:paraId="432F7293" w14:textId="77777777" w:rsidR="00AC68B8" w:rsidRPr="00AC68B8" w:rsidRDefault="00AC68B8" w:rsidP="00AC68B8">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2035</w:t>
            </w:r>
          </w:p>
        </w:tc>
        <w:tc>
          <w:tcPr>
            <w:tcW w:w="834" w:type="pct"/>
            <w:shd w:val="clear" w:color="auto" w:fill="auto"/>
            <w:noWrap/>
            <w:vAlign w:val="center"/>
            <w:hideMark/>
          </w:tcPr>
          <w:p w14:paraId="0E4B5523"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44461</w:t>
            </w:r>
          </w:p>
        </w:tc>
        <w:tc>
          <w:tcPr>
            <w:tcW w:w="834" w:type="pct"/>
            <w:shd w:val="clear" w:color="auto" w:fill="auto"/>
            <w:noWrap/>
            <w:vAlign w:val="center"/>
            <w:hideMark/>
          </w:tcPr>
          <w:p w14:paraId="7B0DCA1F"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127932</w:t>
            </w:r>
          </w:p>
        </w:tc>
        <w:tc>
          <w:tcPr>
            <w:tcW w:w="834" w:type="pct"/>
            <w:shd w:val="clear" w:color="auto" w:fill="auto"/>
            <w:noWrap/>
            <w:vAlign w:val="center"/>
            <w:hideMark/>
          </w:tcPr>
          <w:p w14:paraId="5B10001F"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23726</w:t>
            </w:r>
          </w:p>
        </w:tc>
        <w:tc>
          <w:tcPr>
            <w:tcW w:w="833" w:type="pct"/>
            <w:shd w:val="clear" w:color="auto" w:fill="auto"/>
            <w:noWrap/>
            <w:vAlign w:val="center"/>
            <w:hideMark/>
          </w:tcPr>
          <w:p w14:paraId="0FE17EA8"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45505</w:t>
            </w:r>
          </w:p>
        </w:tc>
        <w:tc>
          <w:tcPr>
            <w:tcW w:w="833" w:type="pct"/>
            <w:shd w:val="clear" w:color="auto" w:fill="auto"/>
            <w:noWrap/>
            <w:vAlign w:val="center"/>
            <w:hideMark/>
          </w:tcPr>
          <w:p w14:paraId="58C49AE4"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127</w:t>
            </w:r>
          </w:p>
        </w:tc>
      </w:tr>
      <w:tr w:rsidR="00AC68B8" w:rsidRPr="00AC68B8" w14:paraId="7D6E7368" w14:textId="77777777" w:rsidTr="00AC68B8">
        <w:trPr>
          <w:trHeight w:val="276"/>
        </w:trPr>
        <w:tc>
          <w:tcPr>
            <w:tcW w:w="834" w:type="pct"/>
            <w:shd w:val="clear" w:color="auto" w:fill="auto"/>
            <w:noWrap/>
            <w:vAlign w:val="center"/>
            <w:hideMark/>
          </w:tcPr>
          <w:p w14:paraId="378525E4" w14:textId="77777777" w:rsidR="00AC68B8" w:rsidRPr="00AC68B8" w:rsidRDefault="00AC68B8" w:rsidP="00AC68B8">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2040</w:t>
            </w:r>
          </w:p>
        </w:tc>
        <w:tc>
          <w:tcPr>
            <w:tcW w:w="834" w:type="pct"/>
            <w:shd w:val="clear" w:color="auto" w:fill="auto"/>
            <w:noWrap/>
            <w:vAlign w:val="center"/>
            <w:hideMark/>
          </w:tcPr>
          <w:p w14:paraId="0A0B7CB7"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48066</w:t>
            </w:r>
          </w:p>
        </w:tc>
        <w:tc>
          <w:tcPr>
            <w:tcW w:w="834" w:type="pct"/>
            <w:shd w:val="clear" w:color="auto" w:fill="auto"/>
            <w:noWrap/>
            <w:vAlign w:val="center"/>
            <w:hideMark/>
          </w:tcPr>
          <w:p w14:paraId="75BC26A2"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143831</w:t>
            </w:r>
          </w:p>
        </w:tc>
        <w:tc>
          <w:tcPr>
            <w:tcW w:w="834" w:type="pct"/>
            <w:shd w:val="clear" w:color="auto" w:fill="auto"/>
            <w:noWrap/>
            <w:vAlign w:val="center"/>
            <w:hideMark/>
          </w:tcPr>
          <w:p w14:paraId="4E2310DB"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26279</w:t>
            </w:r>
          </w:p>
        </w:tc>
        <w:tc>
          <w:tcPr>
            <w:tcW w:w="833" w:type="pct"/>
            <w:shd w:val="clear" w:color="auto" w:fill="auto"/>
            <w:noWrap/>
            <w:vAlign w:val="center"/>
            <w:hideMark/>
          </w:tcPr>
          <w:p w14:paraId="324A9313"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49367</w:t>
            </w:r>
          </w:p>
        </w:tc>
        <w:tc>
          <w:tcPr>
            <w:tcW w:w="833" w:type="pct"/>
            <w:shd w:val="clear" w:color="auto" w:fill="auto"/>
            <w:noWrap/>
            <w:vAlign w:val="center"/>
            <w:hideMark/>
          </w:tcPr>
          <w:p w14:paraId="71F920DB"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139</w:t>
            </w:r>
          </w:p>
        </w:tc>
      </w:tr>
      <w:tr w:rsidR="00AC68B8" w:rsidRPr="00AC68B8" w14:paraId="0C6E8EC6" w14:textId="77777777" w:rsidTr="00AC68B8">
        <w:trPr>
          <w:trHeight w:val="276"/>
        </w:trPr>
        <w:tc>
          <w:tcPr>
            <w:tcW w:w="834" w:type="pct"/>
            <w:shd w:val="clear" w:color="auto" w:fill="auto"/>
            <w:noWrap/>
            <w:vAlign w:val="center"/>
            <w:hideMark/>
          </w:tcPr>
          <w:p w14:paraId="114E54BF" w14:textId="77777777" w:rsidR="00AC68B8" w:rsidRPr="00AC68B8" w:rsidRDefault="00AC68B8" w:rsidP="00AC68B8">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2045</w:t>
            </w:r>
          </w:p>
        </w:tc>
        <w:tc>
          <w:tcPr>
            <w:tcW w:w="834" w:type="pct"/>
            <w:shd w:val="clear" w:color="auto" w:fill="auto"/>
            <w:noWrap/>
            <w:vAlign w:val="center"/>
            <w:hideMark/>
          </w:tcPr>
          <w:p w14:paraId="0515CF86"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49671</w:t>
            </w:r>
          </w:p>
        </w:tc>
        <w:tc>
          <w:tcPr>
            <w:tcW w:w="834" w:type="pct"/>
            <w:shd w:val="clear" w:color="auto" w:fill="auto"/>
            <w:noWrap/>
            <w:vAlign w:val="center"/>
            <w:hideMark/>
          </w:tcPr>
          <w:p w14:paraId="30C6FAA2"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162610</w:t>
            </w:r>
          </w:p>
        </w:tc>
        <w:tc>
          <w:tcPr>
            <w:tcW w:w="834" w:type="pct"/>
            <w:shd w:val="clear" w:color="auto" w:fill="auto"/>
            <w:noWrap/>
            <w:vAlign w:val="center"/>
            <w:hideMark/>
          </w:tcPr>
          <w:p w14:paraId="5C89E01B"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26388</w:t>
            </w:r>
          </w:p>
        </w:tc>
        <w:tc>
          <w:tcPr>
            <w:tcW w:w="833" w:type="pct"/>
            <w:shd w:val="clear" w:color="auto" w:fill="auto"/>
            <w:noWrap/>
            <w:vAlign w:val="center"/>
            <w:hideMark/>
          </w:tcPr>
          <w:p w14:paraId="3067620C"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50374</w:t>
            </w:r>
          </w:p>
        </w:tc>
        <w:tc>
          <w:tcPr>
            <w:tcW w:w="833" w:type="pct"/>
            <w:shd w:val="clear" w:color="auto" w:fill="auto"/>
            <w:noWrap/>
            <w:vAlign w:val="center"/>
            <w:hideMark/>
          </w:tcPr>
          <w:p w14:paraId="092931F7"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143</w:t>
            </w:r>
          </w:p>
        </w:tc>
      </w:tr>
      <w:tr w:rsidR="00AC68B8" w:rsidRPr="00AC68B8" w14:paraId="68F27EC8" w14:textId="77777777" w:rsidTr="00AC68B8">
        <w:trPr>
          <w:trHeight w:val="276"/>
        </w:trPr>
        <w:tc>
          <w:tcPr>
            <w:tcW w:w="834" w:type="pct"/>
            <w:shd w:val="clear" w:color="auto" w:fill="auto"/>
            <w:noWrap/>
            <w:vAlign w:val="center"/>
            <w:hideMark/>
          </w:tcPr>
          <w:p w14:paraId="086804B2" w14:textId="77777777" w:rsidR="00AC68B8" w:rsidRPr="00AC68B8" w:rsidRDefault="00AC68B8" w:rsidP="00AC68B8">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2050</w:t>
            </w:r>
          </w:p>
        </w:tc>
        <w:tc>
          <w:tcPr>
            <w:tcW w:w="834" w:type="pct"/>
            <w:shd w:val="clear" w:color="auto" w:fill="auto"/>
            <w:noWrap/>
            <w:vAlign w:val="center"/>
            <w:hideMark/>
          </w:tcPr>
          <w:p w14:paraId="1988CE13"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51277</w:t>
            </w:r>
          </w:p>
        </w:tc>
        <w:tc>
          <w:tcPr>
            <w:tcW w:w="834" w:type="pct"/>
            <w:shd w:val="clear" w:color="auto" w:fill="auto"/>
            <w:noWrap/>
            <w:vAlign w:val="center"/>
            <w:hideMark/>
          </w:tcPr>
          <w:p w14:paraId="3056653A"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181928</w:t>
            </w:r>
          </w:p>
        </w:tc>
        <w:tc>
          <w:tcPr>
            <w:tcW w:w="834" w:type="pct"/>
            <w:shd w:val="clear" w:color="auto" w:fill="auto"/>
            <w:noWrap/>
            <w:vAlign w:val="center"/>
            <w:hideMark/>
          </w:tcPr>
          <w:p w14:paraId="7D762FFE"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26498</w:t>
            </w:r>
          </w:p>
        </w:tc>
        <w:tc>
          <w:tcPr>
            <w:tcW w:w="833" w:type="pct"/>
            <w:shd w:val="clear" w:color="auto" w:fill="auto"/>
            <w:noWrap/>
            <w:vAlign w:val="center"/>
            <w:hideMark/>
          </w:tcPr>
          <w:p w14:paraId="3A1C1FE1"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51381</w:t>
            </w:r>
          </w:p>
        </w:tc>
        <w:tc>
          <w:tcPr>
            <w:tcW w:w="833" w:type="pct"/>
            <w:shd w:val="clear" w:color="auto" w:fill="auto"/>
            <w:noWrap/>
            <w:vAlign w:val="center"/>
            <w:hideMark/>
          </w:tcPr>
          <w:p w14:paraId="63FFD746"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146</w:t>
            </w:r>
          </w:p>
        </w:tc>
      </w:tr>
      <w:tr w:rsidR="00AC68B8" w:rsidRPr="00AC68B8" w14:paraId="6DD0A639" w14:textId="77777777" w:rsidTr="00AC68B8">
        <w:trPr>
          <w:trHeight w:val="276"/>
        </w:trPr>
        <w:tc>
          <w:tcPr>
            <w:tcW w:w="834" w:type="pct"/>
            <w:shd w:val="clear" w:color="auto" w:fill="auto"/>
            <w:noWrap/>
            <w:vAlign w:val="center"/>
            <w:hideMark/>
          </w:tcPr>
          <w:p w14:paraId="39F69D24" w14:textId="77777777" w:rsidR="00AC68B8" w:rsidRPr="00AC68B8" w:rsidRDefault="00AC68B8" w:rsidP="00AC68B8">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2055</w:t>
            </w:r>
          </w:p>
        </w:tc>
        <w:tc>
          <w:tcPr>
            <w:tcW w:w="834" w:type="pct"/>
            <w:shd w:val="clear" w:color="auto" w:fill="auto"/>
            <w:noWrap/>
            <w:vAlign w:val="center"/>
            <w:hideMark/>
          </w:tcPr>
          <w:p w14:paraId="44F749CA"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53097</w:t>
            </w:r>
          </w:p>
        </w:tc>
        <w:tc>
          <w:tcPr>
            <w:tcW w:w="834" w:type="pct"/>
            <w:shd w:val="clear" w:color="auto" w:fill="auto"/>
            <w:noWrap/>
            <w:vAlign w:val="center"/>
            <w:hideMark/>
          </w:tcPr>
          <w:p w14:paraId="5DD6B0CF"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197391</w:t>
            </w:r>
          </w:p>
        </w:tc>
        <w:tc>
          <w:tcPr>
            <w:tcW w:w="834" w:type="pct"/>
            <w:shd w:val="clear" w:color="auto" w:fill="auto"/>
            <w:noWrap/>
            <w:vAlign w:val="center"/>
            <w:hideMark/>
          </w:tcPr>
          <w:p w14:paraId="1049DAA8"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26625</w:t>
            </w:r>
          </w:p>
        </w:tc>
        <w:tc>
          <w:tcPr>
            <w:tcW w:w="833" w:type="pct"/>
            <w:shd w:val="clear" w:color="auto" w:fill="auto"/>
            <w:noWrap/>
            <w:vAlign w:val="center"/>
            <w:hideMark/>
          </w:tcPr>
          <w:p w14:paraId="7C561041"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51704</w:t>
            </w:r>
          </w:p>
        </w:tc>
        <w:tc>
          <w:tcPr>
            <w:tcW w:w="833" w:type="pct"/>
            <w:shd w:val="clear" w:color="auto" w:fill="auto"/>
            <w:noWrap/>
            <w:vAlign w:val="center"/>
            <w:hideMark/>
          </w:tcPr>
          <w:p w14:paraId="0CBA9AC8"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148</w:t>
            </w:r>
          </w:p>
        </w:tc>
      </w:tr>
      <w:tr w:rsidR="00AC68B8" w:rsidRPr="00AC68B8" w14:paraId="01E3F513" w14:textId="77777777" w:rsidTr="00AC68B8">
        <w:trPr>
          <w:trHeight w:val="276"/>
        </w:trPr>
        <w:tc>
          <w:tcPr>
            <w:tcW w:w="834" w:type="pct"/>
            <w:shd w:val="clear" w:color="auto" w:fill="auto"/>
            <w:noWrap/>
            <w:vAlign w:val="center"/>
            <w:hideMark/>
          </w:tcPr>
          <w:p w14:paraId="7885C20E" w14:textId="77777777" w:rsidR="00AC68B8" w:rsidRPr="00AC68B8" w:rsidRDefault="00AC68B8" w:rsidP="00AC68B8">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2060</w:t>
            </w:r>
          </w:p>
        </w:tc>
        <w:tc>
          <w:tcPr>
            <w:tcW w:w="834" w:type="pct"/>
            <w:shd w:val="clear" w:color="auto" w:fill="auto"/>
            <w:noWrap/>
            <w:vAlign w:val="center"/>
            <w:hideMark/>
          </w:tcPr>
          <w:p w14:paraId="3E727BE9"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54917</w:t>
            </w:r>
          </w:p>
        </w:tc>
        <w:tc>
          <w:tcPr>
            <w:tcW w:w="834" w:type="pct"/>
            <w:shd w:val="clear" w:color="auto" w:fill="auto"/>
            <w:noWrap/>
            <w:vAlign w:val="center"/>
            <w:hideMark/>
          </w:tcPr>
          <w:p w14:paraId="490877FB"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204943</w:t>
            </w:r>
          </w:p>
        </w:tc>
        <w:tc>
          <w:tcPr>
            <w:tcW w:w="834" w:type="pct"/>
            <w:shd w:val="clear" w:color="auto" w:fill="auto"/>
            <w:noWrap/>
            <w:vAlign w:val="center"/>
            <w:hideMark/>
          </w:tcPr>
          <w:p w14:paraId="64EFA5F5"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26752</w:t>
            </w:r>
          </w:p>
        </w:tc>
        <w:tc>
          <w:tcPr>
            <w:tcW w:w="833" w:type="pct"/>
            <w:shd w:val="clear" w:color="auto" w:fill="auto"/>
            <w:noWrap/>
            <w:vAlign w:val="center"/>
            <w:hideMark/>
          </w:tcPr>
          <w:p w14:paraId="58BE96AC"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52026</w:t>
            </w:r>
          </w:p>
        </w:tc>
        <w:tc>
          <w:tcPr>
            <w:tcW w:w="833" w:type="pct"/>
            <w:shd w:val="clear" w:color="auto" w:fill="auto"/>
            <w:noWrap/>
            <w:vAlign w:val="center"/>
            <w:hideMark/>
          </w:tcPr>
          <w:p w14:paraId="22A72931" w14:textId="77777777" w:rsidR="00AC68B8" w:rsidRPr="00AC68B8" w:rsidRDefault="00AC68B8" w:rsidP="00AC68B8">
            <w:pPr>
              <w:widowControl/>
              <w:spacing w:line="240" w:lineRule="auto"/>
              <w:ind w:firstLineChars="0" w:firstLine="0"/>
              <w:jc w:val="right"/>
              <w:rPr>
                <w:rFonts w:eastAsia="楷体"/>
                <w:color w:val="000000"/>
                <w:kern w:val="0"/>
                <w:sz w:val="22"/>
              </w:rPr>
            </w:pPr>
            <w:r w:rsidRPr="00AC68B8">
              <w:rPr>
                <w:rFonts w:eastAsia="楷体"/>
                <w:color w:val="000000"/>
                <w:kern w:val="0"/>
                <w:sz w:val="22"/>
              </w:rPr>
              <w:t>150</w:t>
            </w:r>
          </w:p>
        </w:tc>
      </w:tr>
    </w:tbl>
    <w:p w14:paraId="32489307" w14:textId="77777777" w:rsidR="00107073" w:rsidRDefault="00107073" w:rsidP="00107073">
      <w:pPr>
        <w:ind w:firstLineChars="0" w:firstLine="0"/>
      </w:pPr>
    </w:p>
    <w:p w14:paraId="55552CAF" w14:textId="70AC29AC" w:rsidR="00E05307" w:rsidRPr="00CD32C3" w:rsidRDefault="00E05307" w:rsidP="00105924">
      <w:pPr>
        <w:ind w:firstLine="562"/>
        <w:rPr>
          <w:b/>
          <w:bCs/>
        </w:rPr>
      </w:pPr>
      <w:r w:rsidRPr="00CD32C3">
        <w:rPr>
          <w:rFonts w:hint="eastAsia"/>
          <w:b/>
          <w:bCs/>
        </w:rPr>
        <w:t>（</w:t>
      </w:r>
      <w:r w:rsidRPr="00CD32C3">
        <w:rPr>
          <w:rFonts w:hint="eastAsia"/>
          <w:b/>
          <w:bCs/>
        </w:rPr>
        <w:t>2</w:t>
      </w:r>
      <w:r w:rsidRPr="00CD32C3">
        <w:rPr>
          <w:rFonts w:hint="eastAsia"/>
          <w:b/>
          <w:bCs/>
        </w:rPr>
        <w:t>）</w:t>
      </w:r>
      <w:bookmarkStart w:id="48" w:name="_Hlk93508887"/>
      <w:r w:rsidRPr="00CD32C3">
        <w:rPr>
          <w:rFonts w:hint="eastAsia"/>
          <w:b/>
          <w:bCs/>
        </w:rPr>
        <w:t>分方式城际客运需求将差异化发展</w:t>
      </w:r>
      <w:bookmarkEnd w:id="48"/>
    </w:p>
    <w:p w14:paraId="320DB1DC" w14:textId="241BDD20" w:rsidR="00E05307" w:rsidRDefault="00E05307" w:rsidP="00E05307">
      <w:pPr>
        <w:ind w:firstLine="560"/>
      </w:pPr>
      <w:bookmarkStart w:id="49" w:name="_Hlk93508933"/>
      <w:r>
        <w:rPr>
          <w:rFonts w:hint="eastAsia"/>
        </w:rPr>
        <w:t>一是旅客运输总量增速将逐渐趋缓。客运需求发展规律表明，当人均出行次数达到一定水平之后，由于公众对外出行的欲望受到时间和经济成本的约束，便会处于基本稳定阶段，人均客运需求存在一个“天花板”。预计</w:t>
      </w:r>
      <w:r w:rsidR="00ED2758">
        <w:rPr>
          <w:rFonts w:hint="eastAsia"/>
        </w:rPr>
        <w:t>中国</w:t>
      </w:r>
      <w:r>
        <w:rPr>
          <w:rFonts w:hint="eastAsia"/>
        </w:rPr>
        <w:t>人口规模将于</w:t>
      </w:r>
      <w:r>
        <w:rPr>
          <w:rFonts w:hint="eastAsia"/>
        </w:rPr>
        <w:t>20</w:t>
      </w:r>
      <w:r>
        <w:t>28</w:t>
      </w:r>
      <w:r>
        <w:rPr>
          <w:rFonts w:hint="eastAsia"/>
        </w:rPr>
        <w:t>年左右达到峰值。在城镇化进入中后期、人均客运需求“天花板”和人口规模达到“峰值”因素的影响下，自</w:t>
      </w:r>
      <w:r>
        <w:rPr>
          <w:rFonts w:hint="eastAsia"/>
        </w:rPr>
        <w:t>2030</w:t>
      </w:r>
      <w:r>
        <w:rPr>
          <w:rFonts w:hint="eastAsia"/>
        </w:rPr>
        <w:t>年起，</w:t>
      </w:r>
      <w:r w:rsidR="00ED2758">
        <w:rPr>
          <w:rFonts w:hint="eastAsia"/>
        </w:rPr>
        <w:t>中国</w:t>
      </w:r>
      <w:r>
        <w:rPr>
          <w:rFonts w:hint="eastAsia"/>
        </w:rPr>
        <w:t>客运需求进入增速趋缓阶段。同时，由于交通工具技术水平和运输速度的不断提升，旅客出行的平均距离将有较大增长。</w:t>
      </w:r>
    </w:p>
    <w:p w14:paraId="274908E2" w14:textId="590756D7" w:rsidR="00D03755" w:rsidRDefault="00E05307" w:rsidP="00E05307">
      <w:pPr>
        <w:ind w:firstLine="560"/>
      </w:pPr>
      <w:r>
        <w:rPr>
          <w:rFonts w:hint="eastAsia"/>
        </w:rPr>
        <w:t>二是主要城市群间出行次数将逐步增加。城市群建设将使得各城市间的联系更加紧密。根据《</w:t>
      </w:r>
      <w:r w:rsidRPr="00E05307">
        <w:rPr>
          <w:rFonts w:hint="eastAsia"/>
        </w:rPr>
        <w:t>中华人民共和国国民经济和社会发展第十四个五年规划和</w:t>
      </w:r>
      <w:r w:rsidRPr="00E05307">
        <w:rPr>
          <w:rFonts w:hint="eastAsia"/>
        </w:rPr>
        <w:t>2035</w:t>
      </w:r>
      <w:r w:rsidRPr="00E05307">
        <w:rPr>
          <w:rFonts w:hint="eastAsia"/>
        </w:rPr>
        <w:t>年远景目标纲要</w:t>
      </w:r>
      <w:r>
        <w:rPr>
          <w:rFonts w:hint="eastAsia"/>
        </w:rPr>
        <w:t>》，未来</w:t>
      </w:r>
      <w:r w:rsidR="00ED2758">
        <w:rPr>
          <w:rFonts w:hint="eastAsia"/>
        </w:rPr>
        <w:t>中国</w:t>
      </w:r>
      <w:r>
        <w:rPr>
          <w:rFonts w:hint="eastAsia"/>
        </w:rPr>
        <w:t>将</w:t>
      </w:r>
      <w:r w:rsidR="00107073" w:rsidRPr="00107073">
        <w:rPr>
          <w:rFonts w:hint="eastAsia"/>
        </w:rPr>
        <w:t>全面形成“两横三纵”城镇化战略格局</w:t>
      </w:r>
      <w:r>
        <w:rPr>
          <w:rFonts w:hint="eastAsia"/>
        </w:rPr>
        <w:t>，城市群将成为</w:t>
      </w:r>
      <w:r w:rsidR="00ED2758">
        <w:rPr>
          <w:rFonts w:hint="eastAsia"/>
        </w:rPr>
        <w:t>中国</w:t>
      </w:r>
      <w:r>
        <w:rPr>
          <w:rFonts w:hint="eastAsia"/>
        </w:rPr>
        <w:t>城镇化发展的重要形态。同时，随着区域经济一体化进程的推进，以及东部产业逐渐向中西部</w:t>
      </w:r>
      <w:r>
        <w:rPr>
          <w:rFonts w:hint="eastAsia"/>
        </w:rPr>
        <w:lastRenderedPageBreak/>
        <w:t>梯度转移、交通基础设施网络不断完善等相关因素影响，主要城市群之间的经济、社会联系将进一步增强，主要城市群之间的出行在全国客运格局中所占的比例也将不断提高。</w:t>
      </w:r>
    </w:p>
    <w:p w14:paraId="6754C518" w14:textId="1B635E06" w:rsidR="00463609" w:rsidRDefault="00E05307" w:rsidP="00E05307">
      <w:pPr>
        <w:ind w:firstLine="560"/>
      </w:pPr>
      <w:r w:rsidRPr="00E05307">
        <w:rPr>
          <w:rFonts w:hint="eastAsia"/>
        </w:rPr>
        <w:t>三是商务出行比例有所下降，旅游休闲目的客运比例增加。据高德导航统计数据显示，在</w:t>
      </w:r>
      <w:r w:rsidRPr="00E05307">
        <w:rPr>
          <w:rFonts w:hint="eastAsia"/>
        </w:rPr>
        <w:t>201</w:t>
      </w:r>
      <w:r w:rsidR="00107073">
        <w:t>9</w:t>
      </w:r>
      <w:r w:rsidRPr="00E05307">
        <w:rPr>
          <w:rFonts w:hint="eastAsia"/>
        </w:rPr>
        <w:t>年全国跨城小汽车出行中，目的地为公司工业园区、政府机构等生产性出行需求约占</w:t>
      </w:r>
      <w:r w:rsidRPr="00E05307">
        <w:rPr>
          <w:rFonts w:hint="eastAsia"/>
        </w:rPr>
        <w:t>49%</w:t>
      </w:r>
      <w:r w:rsidRPr="00E05307">
        <w:rPr>
          <w:rFonts w:hint="eastAsia"/>
        </w:rPr>
        <w:t>，目的地为综合医院、学校等基本生活出行需求约占</w:t>
      </w:r>
      <w:r w:rsidRPr="00E05307">
        <w:rPr>
          <w:rFonts w:hint="eastAsia"/>
        </w:rPr>
        <w:t>25%</w:t>
      </w:r>
      <w:r w:rsidRPr="00E05307">
        <w:rPr>
          <w:rFonts w:hint="eastAsia"/>
        </w:rPr>
        <w:t>，目的地为风景名胜区等旅游休闲出行需求约占</w:t>
      </w:r>
      <w:r w:rsidRPr="00E05307">
        <w:rPr>
          <w:rFonts w:hint="eastAsia"/>
        </w:rPr>
        <w:t>26%</w:t>
      </w:r>
      <w:r w:rsidRPr="00E05307">
        <w:rPr>
          <w:rFonts w:hint="eastAsia"/>
        </w:rPr>
        <w:t>。根据美国和英国的经验，未来生产性出行比例将基本稳定在</w:t>
      </w:r>
      <w:r w:rsidRPr="00E05307">
        <w:rPr>
          <w:rFonts w:hint="eastAsia"/>
        </w:rPr>
        <w:t>30%</w:t>
      </w:r>
      <w:r w:rsidRPr="00E05307">
        <w:rPr>
          <w:rFonts w:hint="eastAsia"/>
        </w:rPr>
        <w:t>左右，相比之下</w:t>
      </w:r>
      <w:r w:rsidR="00ED2758">
        <w:rPr>
          <w:rFonts w:hint="eastAsia"/>
        </w:rPr>
        <w:t>中国</w:t>
      </w:r>
      <w:r w:rsidRPr="00E05307">
        <w:rPr>
          <w:rFonts w:hint="eastAsia"/>
        </w:rPr>
        <w:t>生产性出行需求的比例仍然偏高，旅游休闲出行的潜力尚未得到充分释放。随着交通基础设施的完善、人民生活水平的提高、空闲时间和可支配收入的增加，旅游、休闲、会友等娱乐性出行需求将进一步增加且比例逐步提升。</w:t>
      </w:r>
      <w:bookmarkEnd w:id="49"/>
    </w:p>
    <w:p w14:paraId="7E48DE88" w14:textId="663B8410" w:rsidR="00AC68B8" w:rsidRPr="00AB1A75" w:rsidRDefault="00AC68B8" w:rsidP="00AB1A75">
      <w:pPr>
        <w:ind w:firstLineChars="0" w:firstLine="0"/>
        <w:jc w:val="center"/>
        <w:rPr>
          <w:rFonts w:eastAsia="黑体"/>
        </w:rPr>
      </w:pPr>
      <w:r w:rsidRPr="00AB1A75">
        <w:rPr>
          <w:rFonts w:eastAsia="黑体" w:hint="eastAsia"/>
        </w:rPr>
        <w:t>表</w:t>
      </w:r>
      <w:r w:rsidR="00CD32C3">
        <w:rPr>
          <w:rFonts w:eastAsia="黑体" w:hint="eastAsia"/>
        </w:rPr>
        <w:t>4-</w:t>
      </w:r>
      <w:r w:rsidR="00CD32C3">
        <w:rPr>
          <w:rFonts w:eastAsia="黑体"/>
        </w:rPr>
        <w:t>5</w:t>
      </w:r>
      <w:r w:rsidRPr="00AB1A75">
        <w:rPr>
          <w:rFonts w:eastAsia="黑体" w:hint="eastAsia"/>
        </w:rPr>
        <w:t xml:space="preserve"> </w:t>
      </w:r>
      <w:r w:rsidRPr="00AB1A75">
        <w:rPr>
          <w:rFonts w:eastAsia="黑体" w:hint="eastAsia"/>
        </w:rPr>
        <w:t>分运输方式旅客周转量趋势预测</w:t>
      </w:r>
    </w:p>
    <w:tbl>
      <w:tblPr>
        <w:tblW w:w="5123" w:type="pct"/>
        <w:tblLook w:val="04A0" w:firstRow="1" w:lastRow="0" w:firstColumn="1" w:lastColumn="0" w:noHBand="0" w:noVBand="1"/>
      </w:tblPr>
      <w:tblGrid>
        <w:gridCol w:w="846"/>
        <w:gridCol w:w="1843"/>
        <w:gridCol w:w="1843"/>
        <w:gridCol w:w="2106"/>
        <w:gridCol w:w="1862"/>
      </w:tblGrid>
      <w:tr w:rsidR="00AC68B8" w:rsidRPr="00AC68B8" w14:paraId="376F85C2" w14:textId="77777777" w:rsidTr="00463609">
        <w:trPr>
          <w:trHeight w:val="576"/>
        </w:trPr>
        <w:tc>
          <w:tcPr>
            <w:tcW w:w="498"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1A03F25A" w14:textId="14465A64" w:rsidR="00AC68B8" w:rsidRPr="00AC68B8" w:rsidRDefault="00AC68B8" w:rsidP="00AC68B8">
            <w:pPr>
              <w:widowControl/>
              <w:spacing w:line="240" w:lineRule="auto"/>
              <w:ind w:firstLineChars="0" w:firstLine="0"/>
              <w:jc w:val="left"/>
              <w:rPr>
                <w:rFonts w:eastAsia="楷体"/>
                <w:color w:val="000000"/>
                <w:kern w:val="0"/>
                <w:sz w:val="22"/>
              </w:rPr>
            </w:pPr>
          </w:p>
        </w:tc>
        <w:tc>
          <w:tcPr>
            <w:tcW w:w="1084" w:type="pct"/>
            <w:tcBorders>
              <w:top w:val="single" w:sz="4" w:space="0" w:color="auto"/>
              <w:left w:val="nil"/>
              <w:bottom w:val="single" w:sz="4" w:space="0" w:color="auto"/>
              <w:right w:val="single" w:sz="4" w:space="0" w:color="auto"/>
            </w:tcBorders>
            <w:shd w:val="clear" w:color="000000" w:fill="FFFFFF"/>
            <w:vAlign w:val="center"/>
            <w:hideMark/>
          </w:tcPr>
          <w:p w14:paraId="247524F6"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铁路客运周转量</w:t>
            </w:r>
          </w:p>
        </w:tc>
        <w:tc>
          <w:tcPr>
            <w:tcW w:w="1084" w:type="pct"/>
            <w:tcBorders>
              <w:top w:val="single" w:sz="4" w:space="0" w:color="auto"/>
              <w:left w:val="nil"/>
              <w:bottom w:val="single" w:sz="4" w:space="0" w:color="auto"/>
              <w:right w:val="single" w:sz="4" w:space="0" w:color="auto"/>
            </w:tcBorders>
            <w:shd w:val="clear" w:color="000000" w:fill="FFFFFF"/>
            <w:vAlign w:val="center"/>
            <w:hideMark/>
          </w:tcPr>
          <w:p w14:paraId="3D17C909"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公路客运周转量</w:t>
            </w:r>
          </w:p>
        </w:tc>
        <w:tc>
          <w:tcPr>
            <w:tcW w:w="1239" w:type="pct"/>
            <w:tcBorders>
              <w:top w:val="single" w:sz="4" w:space="0" w:color="auto"/>
              <w:left w:val="nil"/>
              <w:bottom w:val="single" w:sz="4" w:space="0" w:color="auto"/>
              <w:right w:val="single" w:sz="4" w:space="0" w:color="auto"/>
            </w:tcBorders>
            <w:shd w:val="clear" w:color="000000" w:fill="FFFFFF"/>
            <w:vAlign w:val="center"/>
            <w:hideMark/>
          </w:tcPr>
          <w:p w14:paraId="548825AD"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水路客运周转量</w:t>
            </w:r>
          </w:p>
        </w:tc>
        <w:tc>
          <w:tcPr>
            <w:tcW w:w="1096" w:type="pct"/>
            <w:tcBorders>
              <w:top w:val="single" w:sz="4" w:space="0" w:color="auto"/>
              <w:left w:val="nil"/>
              <w:bottom w:val="single" w:sz="4" w:space="0" w:color="auto"/>
              <w:right w:val="single" w:sz="4" w:space="0" w:color="auto"/>
            </w:tcBorders>
            <w:shd w:val="clear" w:color="000000" w:fill="FFFFFF"/>
            <w:vAlign w:val="center"/>
            <w:hideMark/>
          </w:tcPr>
          <w:p w14:paraId="061A3BA9"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民航客运周转量</w:t>
            </w:r>
          </w:p>
        </w:tc>
      </w:tr>
      <w:tr w:rsidR="00AC68B8" w:rsidRPr="00AC68B8" w14:paraId="0384DBC6" w14:textId="77777777" w:rsidTr="00463609">
        <w:trPr>
          <w:trHeight w:val="276"/>
        </w:trPr>
        <w:tc>
          <w:tcPr>
            <w:tcW w:w="498" w:type="pct"/>
            <w:tcBorders>
              <w:top w:val="nil"/>
              <w:left w:val="single" w:sz="4" w:space="0" w:color="auto"/>
              <w:bottom w:val="single" w:sz="4" w:space="0" w:color="auto"/>
              <w:right w:val="single" w:sz="4" w:space="0" w:color="auto"/>
            </w:tcBorders>
            <w:shd w:val="clear" w:color="000000" w:fill="FFFFFF"/>
            <w:noWrap/>
            <w:vAlign w:val="center"/>
          </w:tcPr>
          <w:p w14:paraId="4C6B2244" w14:textId="6A067C7A" w:rsidR="00AC68B8" w:rsidRPr="00AC68B8" w:rsidRDefault="00AC68B8" w:rsidP="00AC68B8">
            <w:pPr>
              <w:widowControl/>
              <w:spacing w:line="240" w:lineRule="auto"/>
              <w:ind w:firstLineChars="0" w:firstLine="0"/>
              <w:jc w:val="left"/>
              <w:rPr>
                <w:rFonts w:eastAsia="楷体"/>
                <w:color w:val="000000"/>
                <w:kern w:val="0"/>
                <w:sz w:val="22"/>
              </w:rPr>
            </w:pPr>
          </w:p>
        </w:tc>
        <w:tc>
          <w:tcPr>
            <w:tcW w:w="1084" w:type="pct"/>
            <w:tcBorders>
              <w:top w:val="nil"/>
              <w:left w:val="nil"/>
              <w:bottom w:val="single" w:sz="4" w:space="0" w:color="auto"/>
              <w:right w:val="single" w:sz="4" w:space="0" w:color="auto"/>
            </w:tcBorders>
            <w:shd w:val="clear" w:color="000000" w:fill="FFFFFF"/>
            <w:noWrap/>
            <w:vAlign w:val="center"/>
            <w:hideMark/>
          </w:tcPr>
          <w:p w14:paraId="450E6CC9"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亿人公里</w:t>
            </w:r>
          </w:p>
        </w:tc>
        <w:tc>
          <w:tcPr>
            <w:tcW w:w="1084" w:type="pct"/>
            <w:tcBorders>
              <w:top w:val="nil"/>
              <w:left w:val="nil"/>
              <w:bottom w:val="single" w:sz="4" w:space="0" w:color="auto"/>
              <w:right w:val="single" w:sz="4" w:space="0" w:color="auto"/>
            </w:tcBorders>
            <w:shd w:val="clear" w:color="000000" w:fill="FFFFFF"/>
            <w:noWrap/>
            <w:vAlign w:val="center"/>
            <w:hideMark/>
          </w:tcPr>
          <w:p w14:paraId="55702BF1"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亿人公里</w:t>
            </w:r>
          </w:p>
        </w:tc>
        <w:tc>
          <w:tcPr>
            <w:tcW w:w="1239" w:type="pct"/>
            <w:tcBorders>
              <w:top w:val="nil"/>
              <w:left w:val="nil"/>
              <w:bottom w:val="single" w:sz="4" w:space="0" w:color="auto"/>
              <w:right w:val="single" w:sz="4" w:space="0" w:color="auto"/>
            </w:tcBorders>
            <w:shd w:val="clear" w:color="000000" w:fill="FFFFFF"/>
            <w:noWrap/>
            <w:vAlign w:val="center"/>
            <w:hideMark/>
          </w:tcPr>
          <w:p w14:paraId="4B529CFC"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亿人公里</w:t>
            </w:r>
          </w:p>
        </w:tc>
        <w:tc>
          <w:tcPr>
            <w:tcW w:w="1096" w:type="pct"/>
            <w:tcBorders>
              <w:top w:val="nil"/>
              <w:left w:val="nil"/>
              <w:bottom w:val="single" w:sz="4" w:space="0" w:color="auto"/>
              <w:right w:val="single" w:sz="4" w:space="0" w:color="auto"/>
            </w:tcBorders>
            <w:shd w:val="clear" w:color="000000" w:fill="FFFFFF"/>
            <w:noWrap/>
            <w:vAlign w:val="center"/>
            <w:hideMark/>
          </w:tcPr>
          <w:p w14:paraId="3B5D409F"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亿人公里</w:t>
            </w:r>
          </w:p>
        </w:tc>
      </w:tr>
      <w:tr w:rsidR="00AC68B8" w:rsidRPr="00AC68B8" w14:paraId="1D1F8B4F" w14:textId="77777777" w:rsidTr="00463609">
        <w:trPr>
          <w:trHeight w:val="276"/>
        </w:trPr>
        <w:tc>
          <w:tcPr>
            <w:tcW w:w="498" w:type="pct"/>
            <w:tcBorders>
              <w:top w:val="nil"/>
              <w:left w:val="single" w:sz="4" w:space="0" w:color="auto"/>
              <w:bottom w:val="single" w:sz="4" w:space="0" w:color="auto"/>
              <w:right w:val="single" w:sz="4" w:space="0" w:color="auto"/>
            </w:tcBorders>
            <w:shd w:val="clear" w:color="000000" w:fill="FFFFFF"/>
            <w:noWrap/>
            <w:vAlign w:val="center"/>
            <w:hideMark/>
          </w:tcPr>
          <w:p w14:paraId="1AEFDD66" w14:textId="77777777" w:rsidR="00AC68B8" w:rsidRPr="00AC68B8" w:rsidRDefault="00AC68B8" w:rsidP="00CD32C3">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2020</w:t>
            </w:r>
          </w:p>
        </w:tc>
        <w:tc>
          <w:tcPr>
            <w:tcW w:w="1084" w:type="pct"/>
            <w:tcBorders>
              <w:top w:val="nil"/>
              <w:left w:val="nil"/>
              <w:bottom w:val="single" w:sz="4" w:space="0" w:color="auto"/>
              <w:right w:val="single" w:sz="4" w:space="0" w:color="auto"/>
            </w:tcBorders>
            <w:shd w:val="clear" w:color="000000" w:fill="FFFFFF"/>
            <w:vAlign w:val="center"/>
            <w:hideMark/>
          </w:tcPr>
          <w:p w14:paraId="7F0D5ACE"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8266</w:t>
            </w:r>
          </w:p>
        </w:tc>
        <w:tc>
          <w:tcPr>
            <w:tcW w:w="1084" w:type="pct"/>
            <w:tcBorders>
              <w:top w:val="nil"/>
              <w:left w:val="nil"/>
              <w:bottom w:val="single" w:sz="4" w:space="0" w:color="auto"/>
              <w:right w:val="single" w:sz="4" w:space="0" w:color="auto"/>
            </w:tcBorders>
            <w:shd w:val="clear" w:color="000000" w:fill="FFFFFF"/>
            <w:vAlign w:val="center"/>
            <w:hideMark/>
          </w:tcPr>
          <w:p w14:paraId="3E619F5A"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4641</w:t>
            </w:r>
          </w:p>
        </w:tc>
        <w:tc>
          <w:tcPr>
            <w:tcW w:w="1239" w:type="pct"/>
            <w:tcBorders>
              <w:top w:val="nil"/>
              <w:left w:val="nil"/>
              <w:bottom w:val="single" w:sz="4" w:space="0" w:color="auto"/>
              <w:right w:val="single" w:sz="4" w:space="0" w:color="auto"/>
            </w:tcBorders>
            <w:shd w:val="clear" w:color="000000" w:fill="FFFFFF"/>
            <w:noWrap/>
            <w:vAlign w:val="center"/>
            <w:hideMark/>
          </w:tcPr>
          <w:p w14:paraId="422B05C1"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33.00</w:t>
            </w:r>
          </w:p>
        </w:tc>
        <w:tc>
          <w:tcPr>
            <w:tcW w:w="1096" w:type="pct"/>
            <w:tcBorders>
              <w:top w:val="nil"/>
              <w:left w:val="nil"/>
              <w:bottom w:val="single" w:sz="4" w:space="0" w:color="auto"/>
              <w:right w:val="single" w:sz="4" w:space="0" w:color="auto"/>
            </w:tcBorders>
            <w:shd w:val="clear" w:color="000000" w:fill="FFFFFF"/>
            <w:noWrap/>
            <w:vAlign w:val="center"/>
            <w:hideMark/>
          </w:tcPr>
          <w:p w14:paraId="07889096"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5892</w:t>
            </w:r>
          </w:p>
        </w:tc>
      </w:tr>
      <w:tr w:rsidR="00AC68B8" w:rsidRPr="00AC68B8" w14:paraId="1D1244BE" w14:textId="77777777" w:rsidTr="00463609">
        <w:trPr>
          <w:trHeight w:val="276"/>
        </w:trPr>
        <w:tc>
          <w:tcPr>
            <w:tcW w:w="498" w:type="pct"/>
            <w:tcBorders>
              <w:top w:val="nil"/>
              <w:left w:val="single" w:sz="4" w:space="0" w:color="auto"/>
              <w:bottom w:val="single" w:sz="4" w:space="0" w:color="auto"/>
              <w:right w:val="single" w:sz="4" w:space="0" w:color="auto"/>
            </w:tcBorders>
            <w:shd w:val="clear" w:color="000000" w:fill="FFFFFF"/>
            <w:noWrap/>
            <w:vAlign w:val="center"/>
            <w:hideMark/>
          </w:tcPr>
          <w:p w14:paraId="5E300DBE" w14:textId="77777777" w:rsidR="00AC68B8" w:rsidRPr="00AC68B8" w:rsidRDefault="00AC68B8" w:rsidP="00CD32C3">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2025</w:t>
            </w:r>
          </w:p>
        </w:tc>
        <w:tc>
          <w:tcPr>
            <w:tcW w:w="1084" w:type="pct"/>
            <w:tcBorders>
              <w:top w:val="nil"/>
              <w:left w:val="nil"/>
              <w:bottom w:val="single" w:sz="4" w:space="0" w:color="auto"/>
              <w:right w:val="single" w:sz="4" w:space="0" w:color="auto"/>
            </w:tcBorders>
            <w:shd w:val="clear" w:color="000000" w:fill="FFFFFF"/>
            <w:noWrap/>
            <w:vAlign w:val="center"/>
            <w:hideMark/>
          </w:tcPr>
          <w:p w14:paraId="748C2D21"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19740</w:t>
            </w:r>
          </w:p>
        </w:tc>
        <w:tc>
          <w:tcPr>
            <w:tcW w:w="1084" w:type="pct"/>
            <w:tcBorders>
              <w:top w:val="nil"/>
              <w:left w:val="nil"/>
              <w:bottom w:val="single" w:sz="4" w:space="0" w:color="auto"/>
              <w:right w:val="single" w:sz="4" w:space="0" w:color="auto"/>
            </w:tcBorders>
            <w:shd w:val="clear" w:color="000000" w:fill="FFFFFF"/>
            <w:noWrap/>
            <w:vAlign w:val="center"/>
            <w:hideMark/>
          </w:tcPr>
          <w:p w14:paraId="40AC3589"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8515</w:t>
            </w:r>
          </w:p>
        </w:tc>
        <w:tc>
          <w:tcPr>
            <w:tcW w:w="1239" w:type="pct"/>
            <w:tcBorders>
              <w:top w:val="nil"/>
              <w:left w:val="nil"/>
              <w:bottom w:val="single" w:sz="4" w:space="0" w:color="auto"/>
              <w:right w:val="single" w:sz="4" w:space="0" w:color="auto"/>
            </w:tcBorders>
            <w:shd w:val="clear" w:color="000000" w:fill="FFFFFF"/>
            <w:noWrap/>
            <w:vAlign w:val="center"/>
            <w:hideMark/>
          </w:tcPr>
          <w:p w14:paraId="298EAE00"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90</w:t>
            </w:r>
          </w:p>
        </w:tc>
        <w:tc>
          <w:tcPr>
            <w:tcW w:w="1096" w:type="pct"/>
            <w:tcBorders>
              <w:top w:val="nil"/>
              <w:left w:val="nil"/>
              <w:bottom w:val="single" w:sz="4" w:space="0" w:color="auto"/>
              <w:right w:val="single" w:sz="4" w:space="0" w:color="auto"/>
            </w:tcBorders>
            <w:shd w:val="clear" w:color="000000" w:fill="FFFFFF"/>
            <w:noWrap/>
            <w:vAlign w:val="center"/>
            <w:hideMark/>
          </w:tcPr>
          <w:p w14:paraId="61B5F8AF"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14626</w:t>
            </w:r>
          </w:p>
        </w:tc>
      </w:tr>
      <w:tr w:rsidR="00AC68B8" w:rsidRPr="00AC68B8" w14:paraId="4D5719CE" w14:textId="77777777" w:rsidTr="00463609">
        <w:trPr>
          <w:trHeight w:val="276"/>
        </w:trPr>
        <w:tc>
          <w:tcPr>
            <w:tcW w:w="498" w:type="pct"/>
            <w:tcBorders>
              <w:top w:val="nil"/>
              <w:left w:val="single" w:sz="4" w:space="0" w:color="auto"/>
              <w:bottom w:val="single" w:sz="4" w:space="0" w:color="auto"/>
              <w:right w:val="single" w:sz="4" w:space="0" w:color="auto"/>
            </w:tcBorders>
            <w:shd w:val="clear" w:color="000000" w:fill="FFFFFF"/>
            <w:noWrap/>
            <w:vAlign w:val="center"/>
            <w:hideMark/>
          </w:tcPr>
          <w:p w14:paraId="60E3E777" w14:textId="77777777" w:rsidR="00AC68B8" w:rsidRPr="00AC68B8" w:rsidRDefault="00AC68B8" w:rsidP="00CD32C3">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2030</w:t>
            </w:r>
          </w:p>
        </w:tc>
        <w:tc>
          <w:tcPr>
            <w:tcW w:w="1084" w:type="pct"/>
            <w:tcBorders>
              <w:top w:val="nil"/>
              <w:left w:val="nil"/>
              <w:bottom w:val="single" w:sz="4" w:space="0" w:color="auto"/>
              <w:right w:val="single" w:sz="4" w:space="0" w:color="auto"/>
            </w:tcBorders>
            <w:shd w:val="clear" w:color="000000" w:fill="FFFFFF"/>
            <w:noWrap/>
            <w:vAlign w:val="center"/>
            <w:hideMark/>
          </w:tcPr>
          <w:p w14:paraId="2233B426"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26143</w:t>
            </w:r>
          </w:p>
        </w:tc>
        <w:tc>
          <w:tcPr>
            <w:tcW w:w="1084" w:type="pct"/>
            <w:tcBorders>
              <w:top w:val="nil"/>
              <w:left w:val="nil"/>
              <w:bottom w:val="single" w:sz="4" w:space="0" w:color="auto"/>
              <w:right w:val="single" w:sz="4" w:space="0" w:color="auto"/>
            </w:tcBorders>
            <w:shd w:val="clear" w:color="000000" w:fill="FFFFFF"/>
            <w:noWrap/>
            <w:vAlign w:val="center"/>
            <w:hideMark/>
          </w:tcPr>
          <w:p w14:paraId="3492C935"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8467</w:t>
            </w:r>
          </w:p>
        </w:tc>
        <w:tc>
          <w:tcPr>
            <w:tcW w:w="1239" w:type="pct"/>
            <w:tcBorders>
              <w:top w:val="nil"/>
              <w:left w:val="nil"/>
              <w:bottom w:val="single" w:sz="4" w:space="0" w:color="auto"/>
              <w:right w:val="single" w:sz="4" w:space="0" w:color="auto"/>
            </w:tcBorders>
            <w:shd w:val="clear" w:color="000000" w:fill="FFFFFF"/>
            <w:noWrap/>
            <w:vAlign w:val="center"/>
            <w:hideMark/>
          </w:tcPr>
          <w:p w14:paraId="7E3DC0F4"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98</w:t>
            </w:r>
          </w:p>
        </w:tc>
        <w:tc>
          <w:tcPr>
            <w:tcW w:w="1096" w:type="pct"/>
            <w:tcBorders>
              <w:top w:val="nil"/>
              <w:left w:val="nil"/>
              <w:bottom w:val="single" w:sz="4" w:space="0" w:color="auto"/>
              <w:right w:val="single" w:sz="4" w:space="0" w:color="auto"/>
            </w:tcBorders>
            <w:shd w:val="clear" w:color="000000" w:fill="FFFFFF"/>
            <w:noWrap/>
            <w:vAlign w:val="center"/>
            <w:hideMark/>
          </w:tcPr>
          <w:p w14:paraId="22205484"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19544</w:t>
            </w:r>
          </w:p>
        </w:tc>
      </w:tr>
      <w:tr w:rsidR="00AC68B8" w:rsidRPr="00AC68B8" w14:paraId="0189905C" w14:textId="77777777" w:rsidTr="00463609">
        <w:trPr>
          <w:trHeight w:val="276"/>
        </w:trPr>
        <w:tc>
          <w:tcPr>
            <w:tcW w:w="498" w:type="pct"/>
            <w:tcBorders>
              <w:top w:val="nil"/>
              <w:left w:val="single" w:sz="4" w:space="0" w:color="auto"/>
              <w:bottom w:val="single" w:sz="4" w:space="0" w:color="auto"/>
              <w:right w:val="single" w:sz="4" w:space="0" w:color="auto"/>
            </w:tcBorders>
            <w:shd w:val="clear" w:color="000000" w:fill="FFFFFF"/>
            <w:noWrap/>
            <w:vAlign w:val="center"/>
            <w:hideMark/>
          </w:tcPr>
          <w:p w14:paraId="2185C31D" w14:textId="77777777" w:rsidR="00AC68B8" w:rsidRPr="00AC68B8" w:rsidRDefault="00AC68B8" w:rsidP="00CD32C3">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2035</w:t>
            </w:r>
          </w:p>
        </w:tc>
        <w:tc>
          <w:tcPr>
            <w:tcW w:w="1084" w:type="pct"/>
            <w:tcBorders>
              <w:top w:val="nil"/>
              <w:left w:val="nil"/>
              <w:bottom w:val="single" w:sz="4" w:space="0" w:color="auto"/>
              <w:right w:val="single" w:sz="4" w:space="0" w:color="auto"/>
            </w:tcBorders>
            <w:shd w:val="clear" w:color="000000" w:fill="FFFFFF"/>
            <w:noWrap/>
            <w:vAlign w:val="center"/>
            <w:hideMark/>
          </w:tcPr>
          <w:p w14:paraId="239AE9C2"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32149</w:t>
            </w:r>
          </w:p>
        </w:tc>
        <w:tc>
          <w:tcPr>
            <w:tcW w:w="1084" w:type="pct"/>
            <w:tcBorders>
              <w:top w:val="nil"/>
              <w:left w:val="nil"/>
              <w:bottom w:val="single" w:sz="4" w:space="0" w:color="auto"/>
              <w:right w:val="single" w:sz="4" w:space="0" w:color="auto"/>
            </w:tcBorders>
            <w:shd w:val="clear" w:color="000000" w:fill="FFFFFF"/>
            <w:noWrap/>
            <w:vAlign w:val="center"/>
            <w:hideMark/>
          </w:tcPr>
          <w:p w14:paraId="09067020"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7079</w:t>
            </w:r>
          </w:p>
        </w:tc>
        <w:tc>
          <w:tcPr>
            <w:tcW w:w="1239" w:type="pct"/>
            <w:tcBorders>
              <w:top w:val="nil"/>
              <w:left w:val="nil"/>
              <w:bottom w:val="single" w:sz="4" w:space="0" w:color="auto"/>
              <w:right w:val="single" w:sz="4" w:space="0" w:color="auto"/>
            </w:tcBorders>
            <w:shd w:val="clear" w:color="000000" w:fill="FFFFFF"/>
            <w:noWrap/>
            <w:vAlign w:val="center"/>
            <w:hideMark/>
          </w:tcPr>
          <w:p w14:paraId="57083B63"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97</w:t>
            </w:r>
          </w:p>
        </w:tc>
        <w:tc>
          <w:tcPr>
            <w:tcW w:w="1096" w:type="pct"/>
            <w:tcBorders>
              <w:top w:val="nil"/>
              <w:left w:val="nil"/>
              <w:bottom w:val="single" w:sz="4" w:space="0" w:color="auto"/>
              <w:right w:val="single" w:sz="4" w:space="0" w:color="auto"/>
            </w:tcBorders>
            <w:shd w:val="clear" w:color="000000" w:fill="FFFFFF"/>
            <w:noWrap/>
            <w:vAlign w:val="center"/>
            <w:hideMark/>
          </w:tcPr>
          <w:p w14:paraId="71DB34E8"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24101</w:t>
            </w:r>
          </w:p>
        </w:tc>
      </w:tr>
      <w:tr w:rsidR="00AC68B8" w:rsidRPr="00AC68B8" w14:paraId="362274B7" w14:textId="77777777" w:rsidTr="00463609">
        <w:trPr>
          <w:trHeight w:val="276"/>
        </w:trPr>
        <w:tc>
          <w:tcPr>
            <w:tcW w:w="498" w:type="pct"/>
            <w:tcBorders>
              <w:top w:val="nil"/>
              <w:left w:val="single" w:sz="4" w:space="0" w:color="auto"/>
              <w:bottom w:val="single" w:sz="4" w:space="0" w:color="auto"/>
              <w:right w:val="single" w:sz="4" w:space="0" w:color="auto"/>
            </w:tcBorders>
            <w:shd w:val="clear" w:color="000000" w:fill="FFFFFF"/>
            <w:noWrap/>
            <w:vAlign w:val="center"/>
            <w:hideMark/>
          </w:tcPr>
          <w:p w14:paraId="1573D871" w14:textId="77777777" w:rsidR="00AC68B8" w:rsidRPr="00AC68B8" w:rsidRDefault="00AC68B8" w:rsidP="00CD32C3">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2040</w:t>
            </w:r>
          </w:p>
        </w:tc>
        <w:tc>
          <w:tcPr>
            <w:tcW w:w="1084" w:type="pct"/>
            <w:tcBorders>
              <w:top w:val="nil"/>
              <w:left w:val="nil"/>
              <w:bottom w:val="single" w:sz="4" w:space="0" w:color="auto"/>
              <w:right w:val="single" w:sz="4" w:space="0" w:color="auto"/>
            </w:tcBorders>
            <w:shd w:val="clear" w:color="000000" w:fill="FFFFFF"/>
            <w:noWrap/>
            <w:vAlign w:val="center"/>
            <w:hideMark/>
          </w:tcPr>
          <w:p w14:paraId="18431150"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39395</w:t>
            </w:r>
          </w:p>
        </w:tc>
        <w:tc>
          <w:tcPr>
            <w:tcW w:w="1084" w:type="pct"/>
            <w:tcBorders>
              <w:top w:val="nil"/>
              <w:left w:val="nil"/>
              <w:bottom w:val="single" w:sz="4" w:space="0" w:color="auto"/>
              <w:right w:val="single" w:sz="4" w:space="0" w:color="auto"/>
            </w:tcBorders>
            <w:shd w:val="clear" w:color="000000" w:fill="FFFFFF"/>
            <w:noWrap/>
            <w:vAlign w:val="center"/>
            <w:hideMark/>
          </w:tcPr>
          <w:p w14:paraId="5FFBFA1F"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8496</w:t>
            </w:r>
          </w:p>
        </w:tc>
        <w:tc>
          <w:tcPr>
            <w:tcW w:w="1239" w:type="pct"/>
            <w:tcBorders>
              <w:top w:val="nil"/>
              <w:left w:val="nil"/>
              <w:bottom w:val="single" w:sz="4" w:space="0" w:color="auto"/>
              <w:right w:val="single" w:sz="4" w:space="0" w:color="auto"/>
            </w:tcBorders>
            <w:shd w:val="clear" w:color="000000" w:fill="FFFFFF"/>
            <w:noWrap/>
            <w:vAlign w:val="center"/>
            <w:hideMark/>
          </w:tcPr>
          <w:p w14:paraId="60B76777"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89</w:t>
            </w:r>
          </w:p>
        </w:tc>
        <w:tc>
          <w:tcPr>
            <w:tcW w:w="1096" w:type="pct"/>
            <w:tcBorders>
              <w:top w:val="nil"/>
              <w:left w:val="nil"/>
              <w:bottom w:val="single" w:sz="4" w:space="0" w:color="auto"/>
              <w:right w:val="single" w:sz="4" w:space="0" w:color="auto"/>
            </w:tcBorders>
            <w:shd w:val="clear" w:color="000000" w:fill="FFFFFF"/>
            <w:noWrap/>
            <w:vAlign w:val="center"/>
            <w:hideMark/>
          </w:tcPr>
          <w:p w14:paraId="77092D79"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24496</w:t>
            </w:r>
          </w:p>
        </w:tc>
      </w:tr>
      <w:tr w:rsidR="00AC68B8" w:rsidRPr="00AC68B8" w14:paraId="7F437EC2" w14:textId="77777777" w:rsidTr="00463609">
        <w:trPr>
          <w:trHeight w:val="276"/>
        </w:trPr>
        <w:tc>
          <w:tcPr>
            <w:tcW w:w="498" w:type="pct"/>
            <w:tcBorders>
              <w:top w:val="nil"/>
              <w:left w:val="single" w:sz="4" w:space="0" w:color="auto"/>
              <w:bottom w:val="single" w:sz="4" w:space="0" w:color="auto"/>
              <w:right w:val="single" w:sz="4" w:space="0" w:color="auto"/>
            </w:tcBorders>
            <w:shd w:val="clear" w:color="000000" w:fill="FFFFFF"/>
            <w:noWrap/>
            <w:vAlign w:val="center"/>
            <w:hideMark/>
          </w:tcPr>
          <w:p w14:paraId="62E470C3" w14:textId="77777777" w:rsidR="00AC68B8" w:rsidRPr="00AC68B8" w:rsidRDefault="00AC68B8" w:rsidP="00CD32C3">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2045</w:t>
            </w:r>
          </w:p>
        </w:tc>
        <w:tc>
          <w:tcPr>
            <w:tcW w:w="1084" w:type="pct"/>
            <w:tcBorders>
              <w:top w:val="nil"/>
              <w:left w:val="nil"/>
              <w:bottom w:val="single" w:sz="4" w:space="0" w:color="auto"/>
              <w:right w:val="single" w:sz="4" w:space="0" w:color="auto"/>
            </w:tcBorders>
            <w:shd w:val="clear" w:color="000000" w:fill="FFFFFF"/>
            <w:noWrap/>
            <w:vAlign w:val="center"/>
            <w:hideMark/>
          </w:tcPr>
          <w:p w14:paraId="70C6D256"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47081</w:t>
            </w:r>
          </w:p>
        </w:tc>
        <w:tc>
          <w:tcPr>
            <w:tcW w:w="1084" w:type="pct"/>
            <w:tcBorders>
              <w:top w:val="nil"/>
              <w:left w:val="nil"/>
              <w:bottom w:val="single" w:sz="4" w:space="0" w:color="auto"/>
              <w:right w:val="single" w:sz="4" w:space="0" w:color="auto"/>
            </w:tcBorders>
            <w:shd w:val="clear" w:color="000000" w:fill="FFFFFF"/>
            <w:noWrap/>
            <w:vAlign w:val="center"/>
            <w:hideMark/>
          </w:tcPr>
          <w:p w14:paraId="168023DB"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8035</w:t>
            </w:r>
          </w:p>
        </w:tc>
        <w:tc>
          <w:tcPr>
            <w:tcW w:w="1239" w:type="pct"/>
            <w:tcBorders>
              <w:top w:val="nil"/>
              <w:left w:val="nil"/>
              <w:bottom w:val="single" w:sz="4" w:space="0" w:color="auto"/>
              <w:right w:val="single" w:sz="4" w:space="0" w:color="auto"/>
            </w:tcBorders>
            <w:shd w:val="clear" w:color="000000" w:fill="FFFFFF"/>
            <w:noWrap/>
            <w:vAlign w:val="center"/>
            <w:hideMark/>
          </w:tcPr>
          <w:p w14:paraId="4CEC50B7"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76</w:t>
            </w:r>
          </w:p>
        </w:tc>
        <w:tc>
          <w:tcPr>
            <w:tcW w:w="1096" w:type="pct"/>
            <w:tcBorders>
              <w:top w:val="nil"/>
              <w:left w:val="nil"/>
              <w:bottom w:val="single" w:sz="4" w:space="0" w:color="auto"/>
              <w:right w:val="single" w:sz="4" w:space="0" w:color="auto"/>
            </w:tcBorders>
            <w:shd w:val="clear" w:color="000000" w:fill="FFFFFF"/>
            <w:noWrap/>
            <w:vAlign w:val="center"/>
            <w:hideMark/>
          </w:tcPr>
          <w:p w14:paraId="20E15340"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25144</w:t>
            </w:r>
          </w:p>
        </w:tc>
      </w:tr>
      <w:tr w:rsidR="00AC68B8" w:rsidRPr="00AC68B8" w14:paraId="3819B211" w14:textId="77777777" w:rsidTr="00463609">
        <w:trPr>
          <w:trHeight w:val="276"/>
        </w:trPr>
        <w:tc>
          <w:tcPr>
            <w:tcW w:w="498" w:type="pct"/>
            <w:tcBorders>
              <w:top w:val="nil"/>
              <w:left w:val="single" w:sz="4" w:space="0" w:color="auto"/>
              <w:bottom w:val="single" w:sz="4" w:space="0" w:color="auto"/>
              <w:right w:val="single" w:sz="4" w:space="0" w:color="auto"/>
            </w:tcBorders>
            <w:shd w:val="clear" w:color="000000" w:fill="FFFFFF"/>
            <w:noWrap/>
            <w:vAlign w:val="center"/>
            <w:hideMark/>
          </w:tcPr>
          <w:p w14:paraId="5B62E7BD" w14:textId="77777777" w:rsidR="00AC68B8" w:rsidRPr="00AC68B8" w:rsidRDefault="00AC68B8" w:rsidP="00CD32C3">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2050</w:t>
            </w:r>
          </w:p>
        </w:tc>
        <w:tc>
          <w:tcPr>
            <w:tcW w:w="1084" w:type="pct"/>
            <w:tcBorders>
              <w:top w:val="nil"/>
              <w:left w:val="nil"/>
              <w:bottom w:val="single" w:sz="4" w:space="0" w:color="auto"/>
              <w:right w:val="single" w:sz="4" w:space="0" w:color="auto"/>
            </w:tcBorders>
            <w:shd w:val="clear" w:color="000000" w:fill="FFFFFF"/>
            <w:noWrap/>
            <w:vAlign w:val="center"/>
            <w:hideMark/>
          </w:tcPr>
          <w:p w14:paraId="7C6122E3"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53109</w:t>
            </w:r>
          </w:p>
        </w:tc>
        <w:tc>
          <w:tcPr>
            <w:tcW w:w="1084" w:type="pct"/>
            <w:tcBorders>
              <w:top w:val="nil"/>
              <w:left w:val="nil"/>
              <w:bottom w:val="single" w:sz="4" w:space="0" w:color="auto"/>
              <w:right w:val="single" w:sz="4" w:space="0" w:color="auto"/>
            </w:tcBorders>
            <w:shd w:val="clear" w:color="000000" w:fill="FFFFFF"/>
            <w:noWrap/>
            <w:vAlign w:val="center"/>
            <w:hideMark/>
          </w:tcPr>
          <w:p w14:paraId="35844784"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6996</w:t>
            </w:r>
          </w:p>
        </w:tc>
        <w:tc>
          <w:tcPr>
            <w:tcW w:w="1239" w:type="pct"/>
            <w:tcBorders>
              <w:top w:val="nil"/>
              <w:left w:val="nil"/>
              <w:bottom w:val="single" w:sz="4" w:space="0" w:color="auto"/>
              <w:right w:val="single" w:sz="4" w:space="0" w:color="auto"/>
            </w:tcBorders>
            <w:shd w:val="clear" w:color="000000" w:fill="FFFFFF"/>
            <w:noWrap/>
            <w:vAlign w:val="center"/>
            <w:hideMark/>
          </w:tcPr>
          <w:p w14:paraId="2EB85FE8"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56</w:t>
            </w:r>
          </w:p>
        </w:tc>
        <w:tc>
          <w:tcPr>
            <w:tcW w:w="1096" w:type="pct"/>
            <w:tcBorders>
              <w:top w:val="nil"/>
              <w:left w:val="nil"/>
              <w:bottom w:val="single" w:sz="4" w:space="0" w:color="auto"/>
              <w:right w:val="single" w:sz="4" w:space="0" w:color="auto"/>
            </w:tcBorders>
            <w:shd w:val="clear" w:color="000000" w:fill="FFFFFF"/>
            <w:noWrap/>
            <w:vAlign w:val="center"/>
            <w:hideMark/>
          </w:tcPr>
          <w:p w14:paraId="72440FA9"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24333</w:t>
            </w:r>
          </w:p>
        </w:tc>
      </w:tr>
      <w:tr w:rsidR="00AC68B8" w:rsidRPr="00AC68B8" w14:paraId="3D6155C6" w14:textId="77777777" w:rsidTr="00463609">
        <w:trPr>
          <w:trHeight w:val="276"/>
        </w:trPr>
        <w:tc>
          <w:tcPr>
            <w:tcW w:w="498" w:type="pct"/>
            <w:tcBorders>
              <w:top w:val="nil"/>
              <w:left w:val="single" w:sz="4" w:space="0" w:color="auto"/>
              <w:bottom w:val="single" w:sz="4" w:space="0" w:color="auto"/>
              <w:right w:val="single" w:sz="4" w:space="0" w:color="auto"/>
            </w:tcBorders>
            <w:shd w:val="clear" w:color="000000" w:fill="FFFFFF"/>
            <w:noWrap/>
            <w:vAlign w:val="center"/>
            <w:hideMark/>
          </w:tcPr>
          <w:p w14:paraId="4CD110C3" w14:textId="77777777" w:rsidR="00AC68B8" w:rsidRPr="00AC68B8" w:rsidRDefault="00AC68B8" w:rsidP="00CD32C3">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2055</w:t>
            </w:r>
          </w:p>
        </w:tc>
        <w:tc>
          <w:tcPr>
            <w:tcW w:w="1084" w:type="pct"/>
            <w:tcBorders>
              <w:top w:val="nil"/>
              <w:left w:val="nil"/>
              <w:bottom w:val="single" w:sz="4" w:space="0" w:color="auto"/>
              <w:right w:val="single" w:sz="4" w:space="0" w:color="auto"/>
            </w:tcBorders>
            <w:shd w:val="clear" w:color="000000" w:fill="FFFFFF"/>
            <w:noWrap/>
            <w:vAlign w:val="center"/>
            <w:hideMark/>
          </w:tcPr>
          <w:p w14:paraId="0B7CF9D6"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60948</w:t>
            </w:r>
          </w:p>
        </w:tc>
        <w:tc>
          <w:tcPr>
            <w:tcW w:w="1084" w:type="pct"/>
            <w:tcBorders>
              <w:top w:val="nil"/>
              <w:left w:val="nil"/>
              <w:bottom w:val="single" w:sz="4" w:space="0" w:color="auto"/>
              <w:right w:val="single" w:sz="4" w:space="0" w:color="auto"/>
            </w:tcBorders>
            <w:shd w:val="clear" w:color="000000" w:fill="FFFFFF"/>
            <w:noWrap/>
            <w:vAlign w:val="center"/>
            <w:hideMark/>
          </w:tcPr>
          <w:p w14:paraId="548936EC"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4853</w:t>
            </w:r>
          </w:p>
        </w:tc>
        <w:tc>
          <w:tcPr>
            <w:tcW w:w="1239" w:type="pct"/>
            <w:tcBorders>
              <w:top w:val="nil"/>
              <w:left w:val="nil"/>
              <w:bottom w:val="single" w:sz="4" w:space="0" w:color="auto"/>
              <w:right w:val="single" w:sz="4" w:space="0" w:color="auto"/>
            </w:tcBorders>
            <w:shd w:val="clear" w:color="000000" w:fill="FFFFFF"/>
            <w:noWrap/>
            <w:vAlign w:val="center"/>
            <w:hideMark/>
          </w:tcPr>
          <w:p w14:paraId="2F0CCDB5"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48</w:t>
            </w:r>
          </w:p>
        </w:tc>
        <w:tc>
          <w:tcPr>
            <w:tcW w:w="1096" w:type="pct"/>
            <w:tcBorders>
              <w:top w:val="nil"/>
              <w:left w:val="nil"/>
              <w:bottom w:val="single" w:sz="4" w:space="0" w:color="auto"/>
              <w:right w:val="single" w:sz="4" w:space="0" w:color="auto"/>
            </w:tcBorders>
            <w:shd w:val="clear" w:color="000000" w:fill="FFFFFF"/>
            <w:noWrap/>
            <w:vAlign w:val="center"/>
            <w:hideMark/>
          </w:tcPr>
          <w:p w14:paraId="193C67A8"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21714</w:t>
            </w:r>
          </w:p>
        </w:tc>
      </w:tr>
      <w:tr w:rsidR="00AC68B8" w:rsidRPr="00AC68B8" w14:paraId="6851DD19" w14:textId="77777777" w:rsidTr="00463609">
        <w:trPr>
          <w:trHeight w:val="276"/>
        </w:trPr>
        <w:tc>
          <w:tcPr>
            <w:tcW w:w="498" w:type="pct"/>
            <w:tcBorders>
              <w:top w:val="nil"/>
              <w:left w:val="single" w:sz="4" w:space="0" w:color="auto"/>
              <w:bottom w:val="single" w:sz="4" w:space="0" w:color="auto"/>
              <w:right w:val="single" w:sz="4" w:space="0" w:color="auto"/>
            </w:tcBorders>
            <w:shd w:val="clear" w:color="000000" w:fill="FFFFFF"/>
            <w:noWrap/>
            <w:vAlign w:val="center"/>
            <w:hideMark/>
          </w:tcPr>
          <w:p w14:paraId="5A245A2E" w14:textId="77777777" w:rsidR="00AC68B8" w:rsidRPr="00AC68B8" w:rsidRDefault="00AC68B8" w:rsidP="00CD32C3">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2060</w:t>
            </w:r>
          </w:p>
        </w:tc>
        <w:tc>
          <w:tcPr>
            <w:tcW w:w="1084" w:type="pct"/>
            <w:tcBorders>
              <w:top w:val="nil"/>
              <w:left w:val="nil"/>
              <w:bottom w:val="single" w:sz="4" w:space="0" w:color="auto"/>
              <w:right w:val="single" w:sz="4" w:space="0" w:color="auto"/>
            </w:tcBorders>
            <w:shd w:val="clear" w:color="000000" w:fill="FFFFFF"/>
            <w:noWrap/>
            <w:vAlign w:val="center"/>
            <w:hideMark/>
          </w:tcPr>
          <w:p w14:paraId="3FA47AF7"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67849</w:t>
            </w:r>
          </w:p>
        </w:tc>
        <w:tc>
          <w:tcPr>
            <w:tcW w:w="1084" w:type="pct"/>
            <w:tcBorders>
              <w:top w:val="nil"/>
              <w:left w:val="nil"/>
              <w:bottom w:val="single" w:sz="4" w:space="0" w:color="auto"/>
              <w:right w:val="single" w:sz="4" w:space="0" w:color="auto"/>
            </w:tcBorders>
            <w:shd w:val="clear" w:color="000000" w:fill="FFFFFF"/>
            <w:noWrap/>
            <w:vAlign w:val="center"/>
            <w:hideMark/>
          </w:tcPr>
          <w:p w14:paraId="240E30EC"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2481</w:t>
            </w:r>
          </w:p>
        </w:tc>
        <w:tc>
          <w:tcPr>
            <w:tcW w:w="1239" w:type="pct"/>
            <w:tcBorders>
              <w:top w:val="nil"/>
              <w:left w:val="nil"/>
              <w:bottom w:val="single" w:sz="4" w:space="0" w:color="auto"/>
              <w:right w:val="single" w:sz="4" w:space="0" w:color="auto"/>
            </w:tcBorders>
            <w:shd w:val="clear" w:color="000000" w:fill="FFFFFF"/>
            <w:noWrap/>
            <w:vAlign w:val="center"/>
            <w:hideMark/>
          </w:tcPr>
          <w:p w14:paraId="4F778362"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48</w:t>
            </w:r>
          </w:p>
        </w:tc>
        <w:tc>
          <w:tcPr>
            <w:tcW w:w="1096" w:type="pct"/>
            <w:tcBorders>
              <w:top w:val="nil"/>
              <w:left w:val="nil"/>
              <w:bottom w:val="single" w:sz="4" w:space="0" w:color="auto"/>
              <w:right w:val="single" w:sz="4" w:space="0" w:color="auto"/>
            </w:tcBorders>
            <w:shd w:val="clear" w:color="000000" w:fill="FFFFFF"/>
            <w:noWrap/>
            <w:vAlign w:val="center"/>
            <w:hideMark/>
          </w:tcPr>
          <w:p w14:paraId="36F8228A"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18482</w:t>
            </w:r>
          </w:p>
        </w:tc>
      </w:tr>
    </w:tbl>
    <w:p w14:paraId="01FFE3D1" w14:textId="32663A50" w:rsidR="00AC68B8" w:rsidRDefault="00AC68B8" w:rsidP="00AC68B8">
      <w:pPr>
        <w:ind w:firstLineChars="0" w:firstLine="0"/>
      </w:pPr>
    </w:p>
    <w:p w14:paraId="16D7DAAB" w14:textId="4E1AB9A9" w:rsidR="00D67C85" w:rsidRDefault="00D67C85" w:rsidP="00AC68B8">
      <w:pPr>
        <w:ind w:firstLineChars="0" w:firstLine="0"/>
      </w:pPr>
    </w:p>
    <w:p w14:paraId="72516C0C" w14:textId="77777777" w:rsidR="00D67C85" w:rsidRDefault="00D67C85" w:rsidP="00AC68B8">
      <w:pPr>
        <w:ind w:firstLineChars="0" w:firstLine="0"/>
      </w:pPr>
    </w:p>
    <w:p w14:paraId="15E1D9E9" w14:textId="27C616F3" w:rsidR="00E05307" w:rsidRPr="00CD32C3" w:rsidRDefault="00107073" w:rsidP="00105924">
      <w:pPr>
        <w:ind w:firstLine="562"/>
        <w:rPr>
          <w:b/>
          <w:bCs/>
        </w:rPr>
      </w:pPr>
      <w:r w:rsidRPr="00CD32C3">
        <w:rPr>
          <w:rFonts w:hint="eastAsia"/>
          <w:b/>
          <w:bCs/>
        </w:rPr>
        <w:lastRenderedPageBreak/>
        <w:t>（</w:t>
      </w:r>
      <w:r w:rsidRPr="00CD32C3">
        <w:rPr>
          <w:rFonts w:hint="eastAsia"/>
          <w:b/>
          <w:bCs/>
        </w:rPr>
        <w:t>3</w:t>
      </w:r>
      <w:r w:rsidRPr="00CD32C3">
        <w:rPr>
          <w:rFonts w:hint="eastAsia"/>
          <w:b/>
          <w:bCs/>
        </w:rPr>
        <w:t>）</w:t>
      </w:r>
      <w:bookmarkStart w:id="50" w:name="_Hlk93509452"/>
      <w:r w:rsidRPr="00CD32C3">
        <w:rPr>
          <w:rFonts w:hint="eastAsia"/>
          <w:b/>
          <w:bCs/>
        </w:rPr>
        <w:t>城市客运将呈现多元化化发展趋势</w:t>
      </w:r>
    </w:p>
    <w:p w14:paraId="4E5944A8" w14:textId="424424AB" w:rsidR="00107073" w:rsidRDefault="00107073" w:rsidP="00107073">
      <w:pPr>
        <w:ind w:firstLine="560"/>
      </w:pPr>
      <w:r>
        <w:rPr>
          <w:rFonts w:hint="eastAsia"/>
        </w:rPr>
        <w:t>一是城市客运需求将持续增加，出行消费倾向更高质量方式。一方面，随着城镇化推进和经济增长，城市出行的需求将持续增加；另一方面，人们的出行消费倾向于选择更快速、更舒适、更自由的高质量方式。汽车能提供独立空间、实现自由选线，在短距离出行更为快速、便捷，且自动驾驶、共享汽车等新技术、新模式的发展将使小汽车出行更具吸引力。</w:t>
      </w:r>
    </w:p>
    <w:p w14:paraId="627699E4" w14:textId="71EC9029" w:rsidR="00D56C6B" w:rsidRDefault="00107073" w:rsidP="00D67C85">
      <w:pPr>
        <w:ind w:firstLine="560"/>
      </w:pPr>
      <w:r>
        <w:rPr>
          <w:rFonts w:hint="eastAsia"/>
        </w:rPr>
        <w:t>二是公共交通在不同层级城市将呈现不同的发展趋势。在一线、二线城市等人口密度较大的城市，随着公共交通基础设施的完善、响应型公共交通为代表的新模式涌现以及节能低碳、绿色环保的等绿色出行方式普及，居民出行将更多的使用公共交通。另一方面，人口密度相对较低的城市，传统的大容量公共交通无法灵活满足分散出行的需求，公共交通需求将进一步下降。</w:t>
      </w:r>
      <w:bookmarkEnd w:id="50"/>
    </w:p>
    <w:p w14:paraId="59A4A5C0" w14:textId="3F9F9CCF" w:rsidR="00AC68B8" w:rsidRPr="00AB1A75" w:rsidRDefault="00AC68B8" w:rsidP="00AB1A75">
      <w:pPr>
        <w:ind w:firstLineChars="0" w:firstLine="0"/>
        <w:jc w:val="center"/>
        <w:rPr>
          <w:rFonts w:eastAsia="黑体"/>
        </w:rPr>
      </w:pPr>
      <w:r w:rsidRPr="00AB1A75">
        <w:rPr>
          <w:rFonts w:eastAsia="黑体" w:hint="eastAsia"/>
        </w:rPr>
        <w:t>表</w:t>
      </w:r>
      <w:r w:rsidR="00CD32C3">
        <w:rPr>
          <w:rFonts w:eastAsia="黑体" w:hint="eastAsia"/>
        </w:rPr>
        <w:t>4-</w:t>
      </w:r>
      <w:r w:rsidR="00CD32C3">
        <w:rPr>
          <w:rFonts w:eastAsia="黑体"/>
        </w:rPr>
        <w:t>6</w:t>
      </w:r>
      <w:r w:rsidRPr="00AB1A75">
        <w:rPr>
          <w:rFonts w:eastAsia="黑体" w:hint="eastAsia"/>
        </w:rPr>
        <w:t xml:space="preserve"> </w:t>
      </w:r>
      <w:r w:rsidRPr="00AB1A75">
        <w:rPr>
          <w:rFonts w:eastAsia="黑体" w:hint="eastAsia"/>
        </w:rPr>
        <w:t>分运输方式城市客运量趋势预测</w:t>
      </w:r>
    </w:p>
    <w:tbl>
      <w:tblPr>
        <w:tblW w:w="5000" w:type="pct"/>
        <w:tblLook w:val="04A0" w:firstRow="1" w:lastRow="0" w:firstColumn="1" w:lastColumn="0" w:noHBand="0" w:noVBand="1"/>
      </w:tblPr>
      <w:tblGrid>
        <w:gridCol w:w="1383"/>
        <w:gridCol w:w="1383"/>
        <w:gridCol w:w="1383"/>
        <w:gridCol w:w="1383"/>
        <w:gridCol w:w="1382"/>
        <w:gridCol w:w="1382"/>
      </w:tblGrid>
      <w:tr w:rsidR="00AC68B8" w:rsidRPr="00AC68B8" w14:paraId="58F13ED0" w14:textId="77777777" w:rsidTr="00EA4FCC">
        <w:trPr>
          <w:trHeight w:val="576"/>
        </w:trPr>
        <w:tc>
          <w:tcPr>
            <w:tcW w:w="833"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07458636" w14:textId="3F61AA9F" w:rsidR="00AC68B8" w:rsidRPr="00AC68B8" w:rsidRDefault="00AC68B8" w:rsidP="00AC68B8">
            <w:pPr>
              <w:widowControl/>
              <w:spacing w:line="240" w:lineRule="auto"/>
              <w:ind w:firstLineChars="0" w:firstLine="0"/>
              <w:jc w:val="left"/>
              <w:rPr>
                <w:rFonts w:eastAsia="楷体"/>
                <w:color w:val="000000"/>
                <w:kern w:val="0"/>
                <w:sz w:val="22"/>
              </w:rPr>
            </w:pPr>
          </w:p>
        </w:tc>
        <w:tc>
          <w:tcPr>
            <w:tcW w:w="833" w:type="pct"/>
            <w:tcBorders>
              <w:top w:val="single" w:sz="4" w:space="0" w:color="auto"/>
              <w:left w:val="nil"/>
              <w:bottom w:val="single" w:sz="4" w:space="0" w:color="auto"/>
              <w:right w:val="single" w:sz="4" w:space="0" w:color="auto"/>
            </w:tcBorders>
            <w:shd w:val="clear" w:color="000000" w:fill="FFFFFF"/>
            <w:vAlign w:val="center"/>
            <w:hideMark/>
          </w:tcPr>
          <w:p w14:paraId="113A77D3"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公交车</w:t>
            </w:r>
          </w:p>
        </w:tc>
        <w:tc>
          <w:tcPr>
            <w:tcW w:w="833" w:type="pct"/>
            <w:tcBorders>
              <w:top w:val="single" w:sz="4" w:space="0" w:color="auto"/>
              <w:left w:val="nil"/>
              <w:bottom w:val="single" w:sz="4" w:space="0" w:color="auto"/>
              <w:right w:val="single" w:sz="4" w:space="0" w:color="auto"/>
            </w:tcBorders>
            <w:shd w:val="clear" w:color="000000" w:fill="FFFFFF"/>
            <w:vAlign w:val="center"/>
            <w:hideMark/>
          </w:tcPr>
          <w:p w14:paraId="0B138198"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轨道交通</w:t>
            </w:r>
          </w:p>
        </w:tc>
        <w:tc>
          <w:tcPr>
            <w:tcW w:w="833" w:type="pct"/>
            <w:tcBorders>
              <w:top w:val="single" w:sz="4" w:space="0" w:color="auto"/>
              <w:left w:val="nil"/>
              <w:bottom w:val="single" w:sz="4" w:space="0" w:color="auto"/>
              <w:right w:val="single" w:sz="4" w:space="0" w:color="auto"/>
            </w:tcBorders>
            <w:shd w:val="clear" w:color="000000" w:fill="FFFFFF"/>
            <w:vAlign w:val="center"/>
            <w:hideMark/>
          </w:tcPr>
          <w:p w14:paraId="065F5095"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巡游出租车</w:t>
            </w:r>
          </w:p>
        </w:tc>
        <w:tc>
          <w:tcPr>
            <w:tcW w:w="833" w:type="pct"/>
            <w:tcBorders>
              <w:top w:val="single" w:sz="4" w:space="0" w:color="auto"/>
              <w:left w:val="nil"/>
              <w:bottom w:val="single" w:sz="4" w:space="0" w:color="auto"/>
              <w:right w:val="single" w:sz="4" w:space="0" w:color="auto"/>
            </w:tcBorders>
            <w:shd w:val="clear" w:color="000000" w:fill="FFFFFF"/>
            <w:vAlign w:val="center"/>
            <w:hideMark/>
          </w:tcPr>
          <w:p w14:paraId="11A305A0"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网约车</w:t>
            </w:r>
          </w:p>
        </w:tc>
        <w:tc>
          <w:tcPr>
            <w:tcW w:w="833" w:type="pct"/>
            <w:tcBorders>
              <w:top w:val="single" w:sz="4" w:space="0" w:color="auto"/>
              <w:left w:val="nil"/>
              <w:bottom w:val="single" w:sz="4" w:space="0" w:color="auto"/>
              <w:right w:val="single" w:sz="4" w:space="0" w:color="auto"/>
            </w:tcBorders>
            <w:shd w:val="clear" w:color="000000" w:fill="FFFFFF"/>
            <w:noWrap/>
            <w:vAlign w:val="center"/>
            <w:hideMark/>
          </w:tcPr>
          <w:p w14:paraId="361B8605"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私家车出行</w:t>
            </w:r>
          </w:p>
        </w:tc>
      </w:tr>
      <w:tr w:rsidR="00AC68B8" w:rsidRPr="00AC68B8" w14:paraId="2BE49B27" w14:textId="77777777" w:rsidTr="00EA4FCC">
        <w:trPr>
          <w:trHeight w:val="276"/>
        </w:trPr>
        <w:tc>
          <w:tcPr>
            <w:tcW w:w="833" w:type="pct"/>
            <w:tcBorders>
              <w:top w:val="nil"/>
              <w:left w:val="single" w:sz="4" w:space="0" w:color="auto"/>
              <w:bottom w:val="single" w:sz="4" w:space="0" w:color="auto"/>
              <w:right w:val="single" w:sz="4" w:space="0" w:color="auto"/>
            </w:tcBorders>
            <w:shd w:val="clear" w:color="000000" w:fill="FFFFFF"/>
            <w:noWrap/>
            <w:vAlign w:val="center"/>
          </w:tcPr>
          <w:p w14:paraId="3A0398F7" w14:textId="20DB67A9" w:rsidR="00AC68B8" w:rsidRPr="00AC68B8" w:rsidRDefault="00AC68B8" w:rsidP="00AC68B8">
            <w:pPr>
              <w:widowControl/>
              <w:spacing w:line="240" w:lineRule="auto"/>
              <w:ind w:firstLineChars="0" w:firstLine="0"/>
              <w:jc w:val="left"/>
              <w:rPr>
                <w:rFonts w:eastAsia="楷体"/>
                <w:color w:val="000000"/>
                <w:kern w:val="0"/>
                <w:sz w:val="22"/>
              </w:rPr>
            </w:pPr>
          </w:p>
        </w:tc>
        <w:tc>
          <w:tcPr>
            <w:tcW w:w="833" w:type="pct"/>
            <w:tcBorders>
              <w:top w:val="nil"/>
              <w:left w:val="nil"/>
              <w:bottom w:val="single" w:sz="4" w:space="0" w:color="auto"/>
              <w:right w:val="single" w:sz="4" w:space="0" w:color="auto"/>
            </w:tcBorders>
            <w:shd w:val="clear" w:color="000000" w:fill="FFFFFF"/>
            <w:noWrap/>
            <w:vAlign w:val="center"/>
            <w:hideMark/>
          </w:tcPr>
          <w:p w14:paraId="371008AF"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亿人次</w:t>
            </w:r>
          </w:p>
        </w:tc>
        <w:tc>
          <w:tcPr>
            <w:tcW w:w="833" w:type="pct"/>
            <w:tcBorders>
              <w:top w:val="nil"/>
              <w:left w:val="nil"/>
              <w:bottom w:val="single" w:sz="4" w:space="0" w:color="auto"/>
              <w:right w:val="single" w:sz="4" w:space="0" w:color="auto"/>
            </w:tcBorders>
            <w:shd w:val="clear" w:color="000000" w:fill="FFFFFF"/>
            <w:noWrap/>
            <w:vAlign w:val="center"/>
            <w:hideMark/>
          </w:tcPr>
          <w:p w14:paraId="7D29E9F4"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亿人次</w:t>
            </w:r>
          </w:p>
        </w:tc>
        <w:tc>
          <w:tcPr>
            <w:tcW w:w="833" w:type="pct"/>
            <w:tcBorders>
              <w:top w:val="nil"/>
              <w:left w:val="nil"/>
              <w:bottom w:val="single" w:sz="4" w:space="0" w:color="auto"/>
              <w:right w:val="single" w:sz="4" w:space="0" w:color="auto"/>
            </w:tcBorders>
            <w:shd w:val="clear" w:color="000000" w:fill="FFFFFF"/>
            <w:noWrap/>
            <w:vAlign w:val="center"/>
            <w:hideMark/>
          </w:tcPr>
          <w:p w14:paraId="4C012150"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亿人次</w:t>
            </w:r>
          </w:p>
        </w:tc>
        <w:tc>
          <w:tcPr>
            <w:tcW w:w="833" w:type="pct"/>
            <w:tcBorders>
              <w:top w:val="nil"/>
              <w:left w:val="nil"/>
              <w:bottom w:val="single" w:sz="4" w:space="0" w:color="auto"/>
              <w:right w:val="single" w:sz="4" w:space="0" w:color="auto"/>
            </w:tcBorders>
            <w:shd w:val="clear" w:color="000000" w:fill="FFFFFF"/>
            <w:noWrap/>
            <w:vAlign w:val="center"/>
            <w:hideMark/>
          </w:tcPr>
          <w:p w14:paraId="6267D4A6"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亿人次</w:t>
            </w:r>
          </w:p>
        </w:tc>
        <w:tc>
          <w:tcPr>
            <w:tcW w:w="833" w:type="pct"/>
            <w:tcBorders>
              <w:top w:val="nil"/>
              <w:left w:val="nil"/>
              <w:bottom w:val="single" w:sz="4" w:space="0" w:color="auto"/>
              <w:right w:val="single" w:sz="4" w:space="0" w:color="auto"/>
            </w:tcBorders>
            <w:shd w:val="clear" w:color="000000" w:fill="FFFFFF"/>
            <w:noWrap/>
            <w:vAlign w:val="center"/>
            <w:hideMark/>
          </w:tcPr>
          <w:p w14:paraId="4455D54C"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亿人次</w:t>
            </w:r>
          </w:p>
        </w:tc>
      </w:tr>
      <w:tr w:rsidR="00AC68B8" w:rsidRPr="00AC68B8" w14:paraId="4505C898" w14:textId="77777777" w:rsidTr="00AC68B8">
        <w:trPr>
          <w:trHeight w:val="276"/>
        </w:trPr>
        <w:tc>
          <w:tcPr>
            <w:tcW w:w="833" w:type="pct"/>
            <w:tcBorders>
              <w:top w:val="nil"/>
              <w:left w:val="single" w:sz="4" w:space="0" w:color="auto"/>
              <w:bottom w:val="single" w:sz="4" w:space="0" w:color="auto"/>
              <w:right w:val="single" w:sz="4" w:space="0" w:color="auto"/>
            </w:tcBorders>
            <w:shd w:val="clear" w:color="000000" w:fill="FFFFFF"/>
            <w:noWrap/>
            <w:vAlign w:val="center"/>
            <w:hideMark/>
          </w:tcPr>
          <w:p w14:paraId="7C20F923" w14:textId="77777777" w:rsidR="00AC68B8" w:rsidRPr="00AC68B8" w:rsidRDefault="00AC68B8" w:rsidP="00D56C6B">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2020</w:t>
            </w:r>
          </w:p>
        </w:tc>
        <w:tc>
          <w:tcPr>
            <w:tcW w:w="833" w:type="pct"/>
            <w:tcBorders>
              <w:top w:val="nil"/>
              <w:left w:val="nil"/>
              <w:bottom w:val="single" w:sz="4" w:space="0" w:color="auto"/>
              <w:right w:val="single" w:sz="4" w:space="0" w:color="auto"/>
            </w:tcBorders>
            <w:shd w:val="clear" w:color="000000" w:fill="FFFFFF"/>
            <w:noWrap/>
            <w:vAlign w:val="center"/>
            <w:hideMark/>
          </w:tcPr>
          <w:p w14:paraId="1802A8FB"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442</w:t>
            </w:r>
          </w:p>
        </w:tc>
        <w:tc>
          <w:tcPr>
            <w:tcW w:w="833" w:type="pct"/>
            <w:tcBorders>
              <w:top w:val="nil"/>
              <w:left w:val="nil"/>
              <w:bottom w:val="single" w:sz="4" w:space="0" w:color="auto"/>
              <w:right w:val="single" w:sz="4" w:space="0" w:color="auto"/>
            </w:tcBorders>
            <w:shd w:val="clear" w:color="000000" w:fill="FFFFFF"/>
            <w:noWrap/>
            <w:vAlign w:val="center"/>
            <w:hideMark/>
          </w:tcPr>
          <w:p w14:paraId="39196300"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176</w:t>
            </w:r>
          </w:p>
        </w:tc>
        <w:tc>
          <w:tcPr>
            <w:tcW w:w="833" w:type="pct"/>
            <w:tcBorders>
              <w:top w:val="nil"/>
              <w:left w:val="nil"/>
              <w:bottom w:val="single" w:sz="4" w:space="0" w:color="auto"/>
              <w:right w:val="single" w:sz="4" w:space="0" w:color="auto"/>
            </w:tcBorders>
            <w:shd w:val="clear" w:color="000000" w:fill="FFFFFF"/>
            <w:noWrap/>
            <w:vAlign w:val="center"/>
            <w:hideMark/>
          </w:tcPr>
          <w:p w14:paraId="1DF7CB39"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320</w:t>
            </w:r>
          </w:p>
        </w:tc>
        <w:tc>
          <w:tcPr>
            <w:tcW w:w="833" w:type="pct"/>
            <w:tcBorders>
              <w:top w:val="nil"/>
              <w:left w:val="nil"/>
              <w:bottom w:val="single" w:sz="4" w:space="0" w:color="auto"/>
              <w:right w:val="single" w:sz="4" w:space="0" w:color="auto"/>
            </w:tcBorders>
            <w:shd w:val="clear" w:color="000000" w:fill="FFFFFF"/>
            <w:noWrap/>
            <w:vAlign w:val="center"/>
            <w:hideMark/>
          </w:tcPr>
          <w:p w14:paraId="463C037A"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379</w:t>
            </w:r>
          </w:p>
        </w:tc>
        <w:tc>
          <w:tcPr>
            <w:tcW w:w="833" w:type="pct"/>
            <w:tcBorders>
              <w:top w:val="nil"/>
              <w:left w:val="nil"/>
              <w:bottom w:val="single" w:sz="4" w:space="0" w:color="auto"/>
              <w:right w:val="single" w:sz="4" w:space="0" w:color="auto"/>
            </w:tcBorders>
            <w:shd w:val="clear" w:color="000000" w:fill="FFFFFF"/>
            <w:noWrap/>
            <w:vAlign w:val="bottom"/>
            <w:hideMark/>
          </w:tcPr>
          <w:p w14:paraId="075E3AE3" w14:textId="729F84CB"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249</w:t>
            </w:r>
          </w:p>
        </w:tc>
      </w:tr>
      <w:tr w:rsidR="00AC68B8" w:rsidRPr="00AC68B8" w14:paraId="1DB994F8" w14:textId="77777777" w:rsidTr="00AC68B8">
        <w:trPr>
          <w:trHeight w:val="276"/>
        </w:trPr>
        <w:tc>
          <w:tcPr>
            <w:tcW w:w="833" w:type="pct"/>
            <w:tcBorders>
              <w:top w:val="nil"/>
              <w:left w:val="single" w:sz="4" w:space="0" w:color="auto"/>
              <w:bottom w:val="single" w:sz="4" w:space="0" w:color="auto"/>
              <w:right w:val="single" w:sz="4" w:space="0" w:color="auto"/>
            </w:tcBorders>
            <w:shd w:val="clear" w:color="000000" w:fill="FFFFFF"/>
            <w:noWrap/>
            <w:vAlign w:val="center"/>
            <w:hideMark/>
          </w:tcPr>
          <w:p w14:paraId="09ED368E" w14:textId="77777777" w:rsidR="00AC68B8" w:rsidRPr="00AC68B8" w:rsidRDefault="00AC68B8" w:rsidP="00D56C6B">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2025</w:t>
            </w:r>
          </w:p>
        </w:tc>
        <w:tc>
          <w:tcPr>
            <w:tcW w:w="833" w:type="pct"/>
            <w:tcBorders>
              <w:top w:val="nil"/>
              <w:left w:val="nil"/>
              <w:bottom w:val="single" w:sz="4" w:space="0" w:color="auto"/>
              <w:right w:val="single" w:sz="4" w:space="0" w:color="auto"/>
            </w:tcBorders>
            <w:shd w:val="clear" w:color="000000" w:fill="FFFFFF"/>
            <w:noWrap/>
            <w:vAlign w:val="center"/>
            <w:hideMark/>
          </w:tcPr>
          <w:p w14:paraId="6C529610"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676</w:t>
            </w:r>
          </w:p>
        </w:tc>
        <w:tc>
          <w:tcPr>
            <w:tcW w:w="833" w:type="pct"/>
            <w:tcBorders>
              <w:top w:val="nil"/>
              <w:left w:val="nil"/>
              <w:bottom w:val="single" w:sz="4" w:space="0" w:color="auto"/>
              <w:right w:val="single" w:sz="4" w:space="0" w:color="auto"/>
            </w:tcBorders>
            <w:shd w:val="clear" w:color="000000" w:fill="FFFFFF"/>
            <w:noWrap/>
            <w:vAlign w:val="center"/>
            <w:hideMark/>
          </w:tcPr>
          <w:p w14:paraId="3753D1A9"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357</w:t>
            </w:r>
          </w:p>
        </w:tc>
        <w:tc>
          <w:tcPr>
            <w:tcW w:w="833" w:type="pct"/>
            <w:tcBorders>
              <w:top w:val="nil"/>
              <w:left w:val="nil"/>
              <w:bottom w:val="single" w:sz="4" w:space="0" w:color="auto"/>
              <w:right w:val="single" w:sz="4" w:space="0" w:color="auto"/>
            </w:tcBorders>
            <w:shd w:val="clear" w:color="000000" w:fill="FFFFFF"/>
            <w:noWrap/>
            <w:vAlign w:val="center"/>
            <w:hideMark/>
          </w:tcPr>
          <w:p w14:paraId="259EFEF6"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304</w:t>
            </w:r>
          </w:p>
        </w:tc>
        <w:tc>
          <w:tcPr>
            <w:tcW w:w="833" w:type="pct"/>
            <w:tcBorders>
              <w:top w:val="nil"/>
              <w:left w:val="nil"/>
              <w:bottom w:val="single" w:sz="4" w:space="0" w:color="auto"/>
              <w:right w:val="single" w:sz="4" w:space="0" w:color="auto"/>
            </w:tcBorders>
            <w:shd w:val="clear" w:color="000000" w:fill="FFFFFF"/>
            <w:noWrap/>
            <w:vAlign w:val="center"/>
            <w:hideMark/>
          </w:tcPr>
          <w:p w14:paraId="5FA7F08B"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409</w:t>
            </w:r>
          </w:p>
        </w:tc>
        <w:tc>
          <w:tcPr>
            <w:tcW w:w="833" w:type="pct"/>
            <w:tcBorders>
              <w:top w:val="nil"/>
              <w:left w:val="nil"/>
              <w:bottom w:val="single" w:sz="4" w:space="0" w:color="auto"/>
              <w:right w:val="single" w:sz="4" w:space="0" w:color="auto"/>
            </w:tcBorders>
            <w:shd w:val="clear" w:color="000000" w:fill="FFFFFF"/>
            <w:noWrap/>
            <w:vAlign w:val="bottom"/>
            <w:hideMark/>
          </w:tcPr>
          <w:p w14:paraId="48C3E1C8" w14:textId="6CB6511C"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1664</w:t>
            </w:r>
          </w:p>
        </w:tc>
      </w:tr>
      <w:tr w:rsidR="00AC68B8" w:rsidRPr="00AC68B8" w14:paraId="18AB21F3" w14:textId="77777777" w:rsidTr="00AC68B8">
        <w:trPr>
          <w:trHeight w:val="276"/>
        </w:trPr>
        <w:tc>
          <w:tcPr>
            <w:tcW w:w="833" w:type="pct"/>
            <w:tcBorders>
              <w:top w:val="nil"/>
              <w:left w:val="single" w:sz="4" w:space="0" w:color="auto"/>
              <w:bottom w:val="single" w:sz="4" w:space="0" w:color="auto"/>
              <w:right w:val="single" w:sz="4" w:space="0" w:color="auto"/>
            </w:tcBorders>
            <w:shd w:val="clear" w:color="000000" w:fill="FFFFFF"/>
            <w:noWrap/>
            <w:vAlign w:val="center"/>
            <w:hideMark/>
          </w:tcPr>
          <w:p w14:paraId="7394A35D" w14:textId="77777777" w:rsidR="00AC68B8" w:rsidRPr="00AC68B8" w:rsidRDefault="00AC68B8" w:rsidP="00D56C6B">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2030</w:t>
            </w:r>
          </w:p>
        </w:tc>
        <w:tc>
          <w:tcPr>
            <w:tcW w:w="833" w:type="pct"/>
            <w:tcBorders>
              <w:top w:val="nil"/>
              <w:left w:val="nil"/>
              <w:bottom w:val="single" w:sz="4" w:space="0" w:color="auto"/>
              <w:right w:val="single" w:sz="4" w:space="0" w:color="auto"/>
            </w:tcBorders>
            <w:shd w:val="clear" w:color="000000" w:fill="FFFFFF"/>
            <w:noWrap/>
            <w:vAlign w:val="center"/>
            <w:hideMark/>
          </w:tcPr>
          <w:p w14:paraId="284C2C9C"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670</w:t>
            </w:r>
          </w:p>
        </w:tc>
        <w:tc>
          <w:tcPr>
            <w:tcW w:w="833" w:type="pct"/>
            <w:tcBorders>
              <w:top w:val="nil"/>
              <w:left w:val="nil"/>
              <w:bottom w:val="single" w:sz="4" w:space="0" w:color="auto"/>
              <w:right w:val="single" w:sz="4" w:space="0" w:color="auto"/>
            </w:tcBorders>
            <w:shd w:val="clear" w:color="000000" w:fill="FFFFFF"/>
            <w:noWrap/>
            <w:vAlign w:val="center"/>
            <w:hideMark/>
          </w:tcPr>
          <w:p w14:paraId="0D582009"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591</w:t>
            </w:r>
          </w:p>
        </w:tc>
        <w:tc>
          <w:tcPr>
            <w:tcW w:w="833" w:type="pct"/>
            <w:tcBorders>
              <w:top w:val="nil"/>
              <w:left w:val="nil"/>
              <w:bottom w:val="single" w:sz="4" w:space="0" w:color="auto"/>
              <w:right w:val="single" w:sz="4" w:space="0" w:color="auto"/>
            </w:tcBorders>
            <w:shd w:val="clear" w:color="000000" w:fill="FFFFFF"/>
            <w:noWrap/>
            <w:vAlign w:val="center"/>
            <w:hideMark/>
          </w:tcPr>
          <w:p w14:paraId="08D1B810"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289</w:t>
            </w:r>
          </w:p>
        </w:tc>
        <w:tc>
          <w:tcPr>
            <w:tcW w:w="833" w:type="pct"/>
            <w:tcBorders>
              <w:top w:val="nil"/>
              <w:left w:val="nil"/>
              <w:bottom w:val="single" w:sz="4" w:space="0" w:color="auto"/>
              <w:right w:val="single" w:sz="4" w:space="0" w:color="auto"/>
            </w:tcBorders>
            <w:shd w:val="clear" w:color="000000" w:fill="FFFFFF"/>
            <w:noWrap/>
            <w:vAlign w:val="center"/>
            <w:hideMark/>
          </w:tcPr>
          <w:p w14:paraId="708EF987"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429</w:t>
            </w:r>
          </w:p>
        </w:tc>
        <w:tc>
          <w:tcPr>
            <w:tcW w:w="833" w:type="pct"/>
            <w:tcBorders>
              <w:top w:val="nil"/>
              <w:left w:val="nil"/>
              <w:bottom w:val="single" w:sz="4" w:space="0" w:color="auto"/>
              <w:right w:val="single" w:sz="4" w:space="0" w:color="auto"/>
            </w:tcBorders>
            <w:shd w:val="clear" w:color="000000" w:fill="FFFFFF"/>
            <w:noWrap/>
            <w:vAlign w:val="bottom"/>
            <w:hideMark/>
          </w:tcPr>
          <w:p w14:paraId="3807A754" w14:textId="295298A2"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2393</w:t>
            </w:r>
          </w:p>
        </w:tc>
      </w:tr>
      <w:tr w:rsidR="00AC68B8" w:rsidRPr="00AC68B8" w14:paraId="41EEC979" w14:textId="77777777" w:rsidTr="00AC68B8">
        <w:trPr>
          <w:trHeight w:val="276"/>
        </w:trPr>
        <w:tc>
          <w:tcPr>
            <w:tcW w:w="833" w:type="pct"/>
            <w:tcBorders>
              <w:top w:val="nil"/>
              <w:left w:val="single" w:sz="4" w:space="0" w:color="auto"/>
              <w:bottom w:val="single" w:sz="4" w:space="0" w:color="auto"/>
              <w:right w:val="single" w:sz="4" w:space="0" w:color="auto"/>
            </w:tcBorders>
            <w:shd w:val="clear" w:color="000000" w:fill="FFFFFF"/>
            <w:noWrap/>
            <w:vAlign w:val="center"/>
            <w:hideMark/>
          </w:tcPr>
          <w:p w14:paraId="78423859" w14:textId="77777777" w:rsidR="00AC68B8" w:rsidRPr="00AC68B8" w:rsidRDefault="00AC68B8" w:rsidP="00D56C6B">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2035</w:t>
            </w:r>
          </w:p>
        </w:tc>
        <w:tc>
          <w:tcPr>
            <w:tcW w:w="833" w:type="pct"/>
            <w:tcBorders>
              <w:top w:val="nil"/>
              <w:left w:val="nil"/>
              <w:bottom w:val="single" w:sz="4" w:space="0" w:color="auto"/>
              <w:right w:val="single" w:sz="4" w:space="0" w:color="auto"/>
            </w:tcBorders>
            <w:shd w:val="clear" w:color="000000" w:fill="FFFFFF"/>
            <w:noWrap/>
            <w:vAlign w:val="center"/>
            <w:hideMark/>
          </w:tcPr>
          <w:p w14:paraId="1F789CB4"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644</w:t>
            </w:r>
          </w:p>
        </w:tc>
        <w:tc>
          <w:tcPr>
            <w:tcW w:w="833" w:type="pct"/>
            <w:tcBorders>
              <w:top w:val="nil"/>
              <w:left w:val="nil"/>
              <w:bottom w:val="single" w:sz="4" w:space="0" w:color="auto"/>
              <w:right w:val="single" w:sz="4" w:space="0" w:color="auto"/>
            </w:tcBorders>
            <w:shd w:val="clear" w:color="000000" w:fill="FFFFFF"/>
            <w:noWrap/>
            <w:vAlign w:val="center"/>
            <w:hideMark/>
          </w:tcPr>
          <w:p w14:paraId="71206E4B"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920</w:t>
            </w:r>
          </w:p>
        </w:tc>
        <w:tc>
          <w:tcPr>
            <w:tcW w:w="833" w:type="pct"/>
            <w:tcBorders>
              <w:top w:val="nil"/>
              <w:left w:val="nil"/>
              <w:bottom w:val="single" w:sz="4" w:space="0" w:color="auto"/>
              <w:right w:val="single" w:sz="4" w:space="0" w:color="auto"/>
            </w:tcBorders>
            <w:shd w:val="clear" w:color="000000" w:fill="FFFFFF"/>
            <w:noWrap/>
            <w:vAlign w:val="center"/>
            <w:hideMark/>
          </w:tcPr>
          <w:p w14:paraId="04342956"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266</w:t>
            </w:r>
          </w:p>
        </w:tc>
        <w:tc>
          <w:tcPr>
            <w:tcW w:w="833" w:type="pct"/>
            <w:tcBorders>
              <w:top w:val="nil"/>
              <w:left w:val="nil"/>
              <w:bottom w:val="single" w:sz="4" w:space="0" w:color="auto"/>
              <w:right w:val="single" w:sz="4" w:space="0" w:color="auto"/>
            </w:tcBorders>
            <w:shd w:val="clear" w:color="000000" w:fill="FFFFFF"/>
            <w:noWrap/>
            <w:vAlign w:val="center"/>
            <w:hideMark/>
          </w:tcPr>
          <w:p w14:paraId="602285E8"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447</w:t>
            </w:r>
          </w:p>
        </w:tc>
        <w:tc>
          <w:tcPr>
            <w:tcW w:w="833" w:type="pct"/>
            <w:tcBorders>
              <w:top w:val="nil"/>
              <w:left w:val="nil"/>
              <w:bottom w:val="single" w:sz="4" w:space="0" w:color="auto"/>
              <w:right w:val="single" w:sz="4" w:space="0" w:color="auto"/>
            </w:tcBorders>
            <w:shd w:val="clear" w:color="000000" w:fill="FFFFFF"/>
            <w:noWrap/>
            <w:vAlign w:val="bottom"/>
            <w:hideMark/>
          </w:tcPr>
          <w:p w14:paraId="277801EE" w14:textId="60B64342"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2724</w:t>
            </w:r>
          </w:p>
        </w:tc>
      </w:tr>
      <w:tr w:rsidR="00AC68B8" w:rsidRPr="00AC68B8" w14:paraId="17C25424" w14:textId="77777777" w:rsidTr="00AC68B8">
        <w:trPr>
          <w:trHeight w:val="276"/>
        </w:trPr>
        <w:tc>
          <w:tcPr>
            <w:tcW w:w="833" w:type="pct"/>
            <w:tcBorders>
              <w:top w:val="nil"/>
              <w:left w:val="single" w:sz="4" w:space="0" w:color="auto"/>
              <w:bottom w:val="single" w:sz="4" w:space="0" w:color="auto"/>
              <w:right w:val="single" w:sz="4" w:space="0" w:color="auto"/>
            </w:tcBorders>
            <w:shd w:val="clear" w:color="000000" w:fill="FFFFFF"/>
            <w:noWrap/>
            <w:vAlign w:val="center"/>
            <w:hideMark/>
          </w:tcPr>
          <w:p w14:paraId="00B401C6" w14:textId="77777777" w:rsidR="00AC68B8" w:rsidRPr="00AC68B8" w:rsidRDefault="00AC68B8" w:rsidP="00D56C6B">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2040</w:t>
            </w:r>
          </w:p>
        </w:tc>
        <w:tc>
          <w:tcPr>
            <w:tcW w:w="833" w:type="pct"/>
            <w:tcBorders>
              <w:top w:val="nil"/>
              <w:left w:val="nil"/>
              <w:bottom w:val="single" w:sz="4" w:space="0" w:color="auto"/>
              <w:right w:val="single" w:sz="4" w:space="0" w:color="auto"/>
            </w:tcBorders>
            <w:shd w:val="clear" w:color="000000" w:fill="FFFFFF"/>
            <w:noWrap/>
            <w:vAlign w:val="center"/>
            <w:hideMark/>
          </w:tcPr>
          <w:p w14:paraId="14B4C21A"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606</w:t>
            </w:r>
          </w:p>
        </w:tc>
        <w:tc>
          <w:tcPr>
            <w:tcW w:w="833" w:type="pct"/>
            <w:tcBorders>
              <w:top w:val="nil"/>
              <w:left w:val="nil"/>
              <w:bottom w:val="single" w:sz="4" w:space="0" w:color="auto"/>
              <w:right w:val="single" w:sz="4" w:space="0" w:color="auto"/>
            </w:tcBorders>
            <w:shd w:val="clear" w:color="000000" w:fill="FFFFFF"/>
            <w:noWrap/>
            <w:vAlign w:val="center"/>
            <w:hideMark/>
          </w:tcPr>
          <w:p w14:paraId="7587299F"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1117</w:t>
            </w:r>
          </w:p>
        </w:tc>
        <w:tc>
          <w:tcPr>
            <w:tcW w:w="833" w:type="pct"/>
            <w:tcBorders>
              <w:top w:val="nil"/>
              <w:left w:val="nil"/>
              <w:bottom w:val="single" w:sz="4" w:space="0" w:color="auto"/>
              <w:right w:val="single" w:sz="4" w:space="0" w:color="auto"/>
            </w:tcBorders>
            <w:shd w:val="clear" w:color="000000" w:fill="FFFFFF"/>
            <w:noWrap/>
            <w:vAlign w:val="center"/>
            <w:hideMark/>
          </w:tcPr>
          <w:p w14:paraId="5D54BDB8"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239</w:t>
            </w:r>
          </w:p>
        </w:tc>
        <w:tc>
          <w:tcPr>
            <w:tcW w:w="833" w:type="pct"/>
            <w:tcBorders>
              <w:top w:val="nil"/>
              <w:left w:val="nil"/>
              <w:bottom w:val="single" w:sz="4" w:space="0" w:color="auto"/>
              <w:right w:val="single" w:sz="4" w:space="0" w:color="auto"/>
            </w:tcBorders>
            <w:shd w:val="clear" w:color="000000" w:fill="FFFFFF"/>
            <w:noWrap/>
            <w:vAlign w:val="center"/>
            <w:hideMark/>
          </w:tcPr>
          <w:p w14:paraId="16FF354E"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461</w:t>
            </w:r>
          </w:p>
        </w:tc>
        <w:tc>
          <w:tcPr>
            <w:tcW w:w="833" w:type="pct"/>
            <w:tcBorders>
              <w:top w:val="nil"/>
              <w:left w:val="nil"/>
              <w:bottom w:val="single" w:sz="4" w:space="0" w:color="auto"/>
              <w:right w:val="single" w:sz="4" w:space="0" w:color="auto"/>
            </w:tcBorders>
            <w:shd w:val="clear" w:color="000000" w:fill="FFFFFF"/>
            <w:noWrap/>
            <w:vAlign w:val="bottom"/>
            <w:hideMark/>
          </w:tcPr>
          <w:p w14:paraId="57ACB5AB" w14:textId="4B3F34F6"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3337</w:t>
            </w:r>
          </w:p>
        </w:tc>
      </w:tr>
      <w:tr w:rsidR="00AC68B8" w:rsidRPr="00AC68B8" w14:paraId="10EA4DA4" w14:textId="77777777" w:rsidTr="00AC68B8">
        <w:trPr>
          <w:trHeight w:val="276"/>
        </w:trPr>
        <w:tc>
          <w:tcPr>
            <w:tcW w:w="833" w:type="pct"/>
            <w:tcBorders>
              <w:top w:val="nil"/>
              <w:left w:val="single" w:sz="4" w:space="0" w:color="auto"/>
              <w:bottom w:val="single" w:sz="4" w:space="0" w:color="auto"/>
              <w:right w:val="single" w:sz="4" w:space="0" w:color="auto"/>
            </w:tcBorders>
            <w:shd w:val="clear" w:color="000000" w:fill="FFFFFF"/>
            <w:noWrap/>
            <w:vAlign w:val="center"/>
            <w:hideMark/>
          </w:tcPr>
          <w:p w14:paraId="15229597" w14:textId="77777777" w:rsidR="00AC68B8" w:rsidRPr="00AC68B8" w:rsidRDefault="00AC68B8" w:rsidP="00D56C6B">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2045</w:t>
            </w:r>
          </w:p>
        </w:tc>
        <w:tc>
          <w:tcPr>
            <w:tcW w:w="833" w:type="pct"/>
            <w:tcBorders>
              <w:top w:val="nil"/>
              <w:left w:val="nil"/>
              <w:bottom w:val="single" w:sz="4" w:space="0" w:color="auto"/>
              <w:right w:val="single" w:sz="4" w:space="0" w:color="auto"/>
            </w:tcBorders>
            <w:shd w:val="clear" w:color="000000" w:fill="FFFFFF"/>
            <w:noWrap/>
            <w:vAlign w:val="center"/>
            <w:hideMark/>
          </w:tcPr>
          <w:p w14:paraId="6AD17148"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551</w:t>
            </w:r>
          </w:p>
        </w:tc>
        <w:tc>
          <w:tcPr>
            <w:tcW w:w="833" w:type="pct"/>
            <w:tcBorders>
              <w:top w:val="nil"/>
              <w:left w:val="nil"/>
              <w:bottom w:val="single" w:sz="4" w:space="0" w:color="auto"/>
              <w:right w:val="single" w:sz="4" w:space="0" w:color="auto"/>
            </w:tcBorders>
            <w:shd w:val="clear" w:color="000000" w:fill="FFFFFF"/>
            <w:noWrap/>
            <w:vAlign w:val="center"/>
            <w:hideMark/>
          </w:tcPr>
          <w:p w14:paraId="7FF3D688"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1133</w:t>
            </w:r>
          </w:p>
        </w:tc>
        <w:tc>
          <w:tcPr>
            <w:tcW w:w="833" w:type="pct"/>
            <w:tcBorders>
              <w:top w:val="nil"/>
              <w:left w:val="nil"/>
              <w:bottom w:val="single" w:sz="4" w:space="0" w:color="auto"/>
              <w:right w:val="single" w:sz="4" w:space="0" w:color="auto"/>
            </w:tcBorders>
            <w:shd w:val="clear" w:color="000000" w:fill="FFFFFF"/>
            <w:noWrap/>
            <w:vAlign w:val="center"/>
            <w:hideMark/>
          </w:tcPr>
          <w:p w14:paraId="487A1784"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227</w:t>
            </w:r>
          </w:p>
        </w:tc>
        <w:tc>
          <w:tcPr>
            <w:tcW w:w="833" w:type="pct"/>
            <w:tcBorders>
              <w:top w:val="nil"/>
              <w:left w:val="nil"/>
              <w:bottom w:val="single" w:sz="4" w:space="0" w:color="auto"/>
              <w:right w:val="single" w:sz="4" w:space="0" w:color="auto"/>
            </w:tcBorders>
            <w:shd w:val="clear" w:color="000000" w:fill="FFFFFF"/>
            <w:noWrap/>
            <w:vAlign w:val="center"/>
            <w:hideMark/>
          </w:tcPr>
          <w:p w14:paraId="0EE50364"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472</w:t>
            </w:r>
          </w:p>
        </w:tc>
        <w:tc>
          <w:tcPr>
            <w:tcW w:w="833" w:type="pct"/>
            <w:tcBorders>
              <w:top w:val="nil"/>
              <w:left w:val="nil"/>
              <w:bottom w:val="single" w:sz="4" w:space="0" w:color="auto"/>
              <w:right w:val="single" w:sz="4" w:space="0" w:color="auto"/>
            </w:tcBorders>
            <w:shd w:val="clear" w:color="000000" w:fill="FFFFFF"/>
            <w:noWrap/>
            <w:vAlign w:val="bottom"/>
            <w:hideMark/>
          </w:tcPr>
          <w:p w14:paraId="02BFBE0B" w14:textId="52DF901E"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4062</w:t>
            </w:r>
          </w:p>
        </w:tc>
      </w:tr>
      <w:tr w:rsidR="00AC68B8" w:rsidRPr="00AC68B8" w14:paraId="382FD1E9" w14:textId="77777777" w:rsidTr="00AC68B8">
        <w:trPr>
          <w:trHeight w:val="276"/>
        </w:trPr>
        <w:tc>
          <w:tcPr>
            <w:tcW w:w="833" w:type="pct"/>
            <w:tcBorders>
              <w:top w:val="nil"/>
              <w:left w:val="single" w:sz="4" w:space="0" w:color="auto"/>
              <w:bottom w:val="single" w:sz="4" w:space="0" w:color="auto"/>
              <w:right w:val="single" w:sz="4" w:space="0" w:color="auto"/>
            </w:tcBorders>
            <w:shd w:val="clear" w:color="000000" w:fill="FFFFFF"/>
            <w:noWrap/>
            <w:vAlign w:val="center"/>
            <w:hideMark/>
          </w:tcPr>
          <w:p w14:paraId="07B1556A" w14:textId="77777777" w:rsidR="00AC68B8" w:rsidRPr="00AC68B8" w:rsidRDefault="00AC68B8" w:rsidP="00D56C6B">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2050</w:t>
            </w:r>
          </w:p>
        </w:tc>
        <w:tc>
          <w:tcPr>
            <w:tcW w:w="833" w:type="pct"/>
            <w:tcBorders>
              <w:top w:val="nil"/>
              <w:left w:val="nil"/>
              <w:bottom w:val="single" w:sz="4" w:space="0" w:color="auto"/>
              <w:right w:val="single" w:sz="4" w:space="0" w:color="auto"/>
            </w:tcBorders>
            <w:shd w:val="clear" w:color="000000" w:fill="FFFFFF"/>
            <w:noWrap/>
            <w:vAlign w:val="center"/>
            <w:hideMark/>
          </w:tcPr>
          <w:p w14:paraId="39267CE7"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498</w:t>
            </w:r>
          </w:p>
        </w:tc>
        <w:tc>
          <w:tcPr>
            <w:tcW w:w="833" w:type="pct"/>
            <w:tcBorders>
              <w:top w:val="nil"/>
              <w:left w:val="nil"/>
              <w:bottom w:val="single" w:sz="4" w:space="0" w:color="auto"/>
              <w:right w:val="single" w:sz="4" w:space="0" w:color="auto"/>
            </w:tcBorders>
            <w:shd w:val="clear" w:color="000000" w:fill="FFFFFF"/>
            <w:noWrap/>
            <w:vAlign w:val="center"/>
            <w:hideMark/>
          </w:tcPr>
          <w:p w14:paraId="14928901"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1091</w:t>
            </w:r>
          </w:p>
        </w:tc>
        <w:tc>
          <w:tcPr>
            <w:tcW w:w="833" w:type="pct"/>
            <w:tcBorders>
              <w:top w:val="nil"/>
              <w:left w:val="nil"/>
              <w:bottom w:val="single" w:sz="4" w:space="0" w:color="auto"/>
              <w:right w:val="single" w:sz="4" w:space="0" w:color="auto"/>
            </w:tcBorders>
            <w:shd w:val="clear" w:color="000000" w:fill="FFFFFF"/>
            <w:noWrap/>
            <w:vAlign w:val="center"/>
            <w:hideMark/>
          </w:tcPr>
          <w:p w14:paraId="549EB218"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215</w:t>
            </w:r>
          </w:p>
        </w:tc>
        <w:tc>
          <w:tcPr>
            <w:tcW w:w="833" w:type="pct"/>
            <w:tcBorders>
              <w:top w:val="nil"/>
              <w:left w:val="nil"/>
              <w:bottom w:val="single" w:sz="4" w:space="0" w:color="auto"/>
              <w:right w:val="single" w:sz="4" w:space="0" w:color="auto"/>
            </w:tcBorders>
            <w:shd w:val="clear" w:color="000000" w:fill="FFFFFF"/>
            <w:noWrap/>
            <w:vAlign w:val="center"/>
            <w:hideMark/>
          </w:tcPr>
          <w:p w14:paraId="67232E8A"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484</w:t>
            </w:r>
          </w:p>
        </w:tc>
        <w:tc>
          <w:tcPr>
            <w:tcW w:w="833" w:type="pct"/>
            <w:tcBorders>
              <w:top w:val="nil"/>
              <w:left w:val="nil"/>
              <w:bottom w:val="single" w:sz="4" w:space="0" w:color="auto"/>
              <w:right w:val="single" w:sz="4" w:space="0" w:color="auto"/>
            </w:tcBorders>
            <w:shd w:val="clear" w:color="000000" w:fill="FFFFFF"/>
            <w:noWrap/>
            <w:vAlign w:val="bottom"/>
            <w:hideMark/>
          </w:tcPr>
          <w:p w14:paraId="4BBD4C95" w14:textId="65A8A510"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4585</w:t>
            </w:r>
          </w:p>
        </w:tc>
      </w:tr>
      <w:tr w:rsidR="00AC68B8" w:rsidRPr="00AC68B8" w14:paraId="044B40C0" w14:textId="77777777" w:rsidTr="00AC68B8">
        <w:trPr>
          <w:trHeight w:val="276"/>
        </w:trPr>
        <w:tc>
          <w:tcPr>
            <w:tcW w:w="833" w:type="pct"/>
            <w:tcBorders>
              <w:top w:val="nil"/>
              <w:left w:val="single" w:sz="4" w:space="0" w:color="auto"/>
              <w:bottom w:val="single" w:sz="4" w:space="0" w:color="auto"/>
              <w:right w:val="single" w:sz="4" w:space="0" w:color="auto"/>
            </w:tcBorders>
            <w:shd w:val="clear" w:color="000000" w:fill="FFFFFF"/>
            <w:noWrap/>
            <w:vAlign w:val="center"/>
            <w:hideMark/>
          </w:tcPr>
          <w:p w14:paraId="1D94B30F" w14:textId="77777777" w:rsidR="00AC68B8" w:rsidRPr="00AC68B8" w:rsidRDefault="00AC68B8" w:rsidP="00D56C6B">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2055</w:t>
            </w:r>
          </w:p>
        </w:tc>
        <w:tc>
          <w:tcPr>
            <w:tcW w:w="833" w:type="pct"/>
            <w:tcBorders>
              <w:top w:val="nil"/>
              <w:left w:val="nil"/>
              <w:bottom w:val="single" w:sz="4" w:space="0" w:color="auto"/>
              <w:right w:val="single" w:sz="4" w:space="0" w:color="auto"/>
            </w:tcBorders>
            <w:shd w:val="clear" w:color="000000" w:fill="FFFFFF"/>
            <w:noWrap/>
            <w:vAlign w:val="center"/>
            <w:hideMark/>
          </w:tcPr>
          <w:p w14:paraId="6CA61100"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412</w:t>
            </w:r>
          </w:p>
        </w:tc>
        <w:tc>
          <w:tcPr>
            <w:tcW w:w="833" w:type="pct"/>
            <w:tcBorders>
              <w:top w:val="nil"/>
              <w:left w:val="nil"/>
              <w:bottom w:val="single" w:sz="4" w:space="0" w:color="auto"/>
              <w:right w:val="single" w:sz="4" w:space="0" w:color="auto"/>
            </w:tcBorders>
            <w:shd w:val="clear" w:color="000000" w:fill="FFFFFF"/>
            <w:noWrap/>
            <w:vAlign w:val="center"/>
            <w:hideMark/>
          </w:tcPr>
          <w:p w14:paraId="39E722F0"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989</w:t>
            </w:r>
          </w:p>
        </w:tc>
        <w:tc>
          <w:tcPr>
            <w:tcW w:w="833" w:type="pct"/>
            <w:tcBorders>
              <w:top w:val="nil"/>
              <w:left w:val="nil"/>
              <w:bottom w:val="single" w:sz="4" w:space="0" w:color="auto"/>
              <w:right w:val="single" w:sz="4" w:space="0" w:color="auto"/>
            </w:tcBorders>
            <w:shd w:val="clear" w:color="000000" w:fill="FFFFFF"/>
            <w:noWrap/>
            <w:vAlign w:val="center"/>
            <w:hideMark/>
          </w:tcPr>
          <w:p w14:paraId="7334276D"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194</w:t>
            </w:r>
          </w:p>
        </w:tc>
        <w:tc>
          <w:tcPr>
            <w:tcW w:w="833" w:type="pct"/>
            <w:tcBorders>
              <w:top w:val="nil"/>
              <w:left w:val="nil"/>
              <w:bottom w:val="single" w:sz="4" w:space="0" w:color="auto"/>
              <w:right w:val="single" w:sz="4" w:space="0" w:color="auto"/>
            </w:tcBorders>
            <w:shd w:val="clear" w:color="000000" w:fill="FFFFFF"/>
            <w:noWrap/>
            <w:vAlign w:val="center"/>
            <w:hideMark/>
          </w:tcPr>
          <w:p w14:paraId="32D9836C"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489</w:t>
            </w:r>
          </w:p>
        </w:tc>
        <w:tc>
          <w:tcPr>
            <w:tcW w:w="833" w:type="pct"/>
            <w:tcBorders>
              <w:top w:val="nil"/>
              <w:left w:val="nil"/>
              <w:bottom w:val="single" w:sz="4" w:space="0" w:color="auto"/>
              <w:right w:val="single" w:sz="4" w:space="0" w:color="auto"/>
            </w:tcBorders>
            <w:shd w:val="clear" w:color="000000" w:fill="FFFFFF"/>
            <w:noWrap/>
            <w:vAlign w:val="bottom"/>
            <w:hideMark/>
          </w:tcPr>
          <w:p w14:paraId="5D93A5C4" w14:textId="11D152AC"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4790</w:t>
            </w:r>
          </w:p>
        </w:tc>
      </w:tr>
      <w:tr w:rsidR="00AC68B8" w:rsidRPr="00AC68B8" w14:paraId="0621B103" w14:textId="77777777" w:rsidTr="00AC68B8">
        <w:trPr>
          <w:trHeight w:val="276"/>
        </w:trPr>
        <w:tc>
          <w:tcPr>
            <w:tcW w:w="833" w:type="pct"/>
            <w:tcBorders>
              <w:top w:val="nil"/>
              <w:left w:val="single" w:sz="4" w:space="0" w:color="auto"/>
              <w:bottom w:val="single" w:sz="4" w:space="0" w:color="auto"/>
              <w:right w:val="single" w:sz="4" w:space="0" w:color="auto"/>
            </w:tcBorders>
            <w:shd w:val="clear" w:color="000000" w:fill="FFFFFF"/>
            <w:noWrap/>
            <w:vAlign w:val="center"/>
            <w:hideMark/>
          </w:tcPr>
          <w:p w14:paraId="55FFB27B" w14:textId="77777777" w:rsidR="00AC68B8" w:rsidRPr="00AC68B8" w:rsidRDefault="00AC68B8" w:rsidP="00D56C6B">
            <w:pPr>
              <w:widowControl/>
              <w:spacing w:line="240" w:lineRule="auto"/>
              <w:ind w:firstLineChars="0" w:firstLine="0"/>
              <w:jc w:val="center"/>
              <w:rPr>
                <w:rFonts w:eastAsia="楷体"/>
                <w:color w:val="000000"/>
                <w:kern w:val="0"/>
                <w:sz w:val="22"/>
              </w:rPr>
            </w:pPr>
            <w:r w:rsidRPr="00AC68B8">
              <w:rPr>
                <w:rFonts w:eastAsia="楷体"/>
                <w:color w:val="000000"/>
                <w:kern w:val="0"/>
                <w:sz w:val="22"/>
              </w:rPr>
              <w:t>2060</w:t>
            </w:r>
          </w:p>
        </w:tc>
        <w:tc>
          <w:tcPr>
            <w:tcW w:w="833" w:type="pct"/>
            <w:tcBorders>
              <w:top w:val="nil"/>
              <w:left w:val="nil"/>
              <w:bottom w:val="single" w:sz="4" w:space="0" w:color="auto"/>
              <w:right w:val="single" w:sz="4" w:space="0" w:color="auto"/>
            </w:tcBorders>
            <w:shd w:val="clear" w:color="000000" w:fill="FFFFFF"/>
            <w:noWrap/>
            <w:vAlign w:val="center"/>
            <w:hideMark/>
          </w:tcPr>
          <w:p w14:paraId="4D6F0362"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332</w:t>
            </w:r>
          </w:p>
        </w:tc>
        <w:tc>
          <w:tcPr>
            <w:tcW w:w="833" w:type="pct"/>
            <w:tcBorders>
              <w:top w:val="nil"/>
              <w:left w:val="nil"/>
              <w:bottom w:val="single" w:sz="4" w:space="0" w:color="auto"/>
              <w:right w:val="single" w:sz="4" w:space="0" w:color="auto"/>
            </w:tcBorders>
            <w:shd w:val="clear" w:color="000000" w:fill="FFFFFF"/>
            <w:noWrap/>
            <w:vAlign w:val="center"/>
            <w:hideMark/>
          </w:tcPr>
          <w:p w14:paraId="36E19341"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901</w:t>
            </w:r>
          </w:p>
        </w:tc>
        <w:tc>
          <w:tcPr>
            <w:tcW w:w="833" w:type="pct"/>
            <w:tcBorders>
              <w:top w:val="nil"/>
              <w:left w:val="nil"/>
              <w:bottom w:val="single" w:sz="4" w:space="0" w:color="auto"/>
              <w:right w:val="single" w:sz="4" w:space="0" w:color="auto"/>
            </w:tcBorders>
            <w:shd w:val="clear" w:color="000000" w:fill="FFFFFF"/>
            <w:noWrap/>
            <w:vAlign w:val="center"/>
            <w:hideMark/>
          </w:tcPr>
          <w:p w14:paraId="06DAF77D"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172</w:t>
            </w:r>
          </w:p>
        </w:tc>
        <w:tc>
          <w:tcPr>
            <w:tcW w:w="833" w:type="pct"/>
            <w:tcBorders>
              <w:top w:val="nil"/>
              <w:left w:val="nil"/>
              <w:bottom w:val="single" w:sz="4" w:space="0" w:color="auto"/>
              <w:right w:val="single" w:sz="4" w:space="0" w:color="auto"/>
            </w:tcBorders>
            <w:shd w:val="clear" w:color="000000" w:fill="FFFFFF"/>
            <w:noWrap/>
            <w:vAlign w:val="center"/>
            <w:hideMark/>
          </w:tcPr>
          <w:p w14:paraId="195525D8" w14:textId="77777777"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494</w:t>
            </w:r>
          </w:p>
        </w:tc>
        <w:tc>
          <w:tcPr>
            <w:tcW w:w="833" w:type="pct"/>
            <w:tcBorders>
              <w:top w:val="nil"/>
              <w:left w:val="nil"/>
              <w:bottom w:val="single" w:sz="4" w:space="0" w:color="auto"/>
              <w:right w:val="single" w:sz="4" w:space="0" w:color="auto"/>
            </w:tcBorders>
            <w:shd w:val="clear" w:color="000000" w:fill="FFFFFF"/>
            <w:noWrap/>
            <w:vAlign w:val="bottom"/>
            <w:hideMark/>
          </w:tcPr>
          <w:p w14:paraId="7299821E" w14:textId="265D4DA1" w:rsidR="00AC68B8" w:rsidRPr="00AC68B8" w:rsidRDefault="00AC68B8" w:rsidP="00463609">
            <w:pPr>
              <w:widowControl/>
              <w:spacing w:line="240" w:lineRule="auto"/>
              <w:ind w:firstLineChars="0" w:firstLine="0"/>
              <w:jc w:val="center"/>
              <w:rPr>
                <w:rFonts w:eastAsia="楷体"/>
                <w:color w:val="000000"/>
                <w:kern w:val="0"/>
                <w:sz w:val="22"/>
              </w:rPr>
            </w:pPr>
            <w:r w:rsidRPr="00AC68B8">
              <w:rPr>
                <w:rFonts w:eastAsia="楷体"/>
                <w:color w:val="000000"/>
                <w:kern w:val="0"/>
                <w:sz w:val="22"/>
              </w:rPr>
              <w:t>4720</w:t>
            </w:r>
          </w:p>
        </w:tc>
      </w:tr>
    </w:tbl>
    <w:p w14:paraId="06E30079" w14:textId="33A7AEDF" w:rsidR="00107073" w:rsidRDefault="00107073" w:rsidP="00AC68B8">
      <w:pPr>
        <w:ind w:firstLineChars="0" w:firstLine="0"/>
      </w:pPr>
    </w:p>
    <w:p w14:paraId="2A1304E5" w14:textId="76F48C62" w:rsidR="00D03755" w:rsidRDefault="00D03755" w:rsidP="00DB5A8A">
      <w:pPr>
        <w:pStyle w:val="4"/>
      </w:pPr>
      <w:r>
        <w:rPr>
          <w:rFonts w:hint="eastAsia"/>
        </w:rPr>
        <w:lastRenderedPageBreak/>
        <w:t>4</w:t>
      </w:r>
      <w:r>
        <w:t xml:space="preserve">.3.2 </w:t>
      </w:r>
      <w:bookmarkStart w:id="51" w:name="_Hlk93509590"/>
      <w:r w:rsidRPr="00D03755">
        <w:rPr>
          <w:rFonts w:hint="eastAsia"/>
        </w:rPr>
        <w:t>不同情景下交通运输碳排放结果分析</w:t>
      </w:r>
      <w:bookmarkEnd w:id="51"/>
    </w:p>
    <w:p w14:paraId="04F04C9E" w14:textId="6C229801" w:rsidR="00CD32C3" w:rsidRDefault="00B46E12" w:rsidP="00105924">
      <w:pPr>
        <w:ind w:firstLine="560"/>
      </w:pPr>
      <w:bookmarkStart w:id="52" w:name="_Hlk93510404"/>
      <w:r w:rsidRPr="00B46E12">
        <w:rPr>
          <w:rFonts w:hint="eastAsia"/>
        </w:rPr>
        <w:t>随着经济社会的快速发展，工业化和城镇化进程加快，全国交通运输</w:t>
      </w:r>
      <w:r w:rsidR="00C3292A">
        <w:rPr>
          <w:rFonts w:hint="eastAsia"/>
        </w:rPr>
        <w:t>碳排放</w:t>
      </w:r>
      <w:r w:rsidRPr="00B46E12">
        <w:rPr>
          <w:rFonts w:hint="eastAsia"/>
        </w:rPr>
        <w:t>总量呈快速增长趋势，</w:t>
      </w:r>
      <w:r w:rsidR="00134113">
        <w:rPr>
          <w:rFonts w:hint="eastAsia"/>
        </w:rPr>
        <w:t>如不采取进一步的减排行动，中国交通部门的气候污染物排放量将迅速。</w:t>
      </w:r>
      <w:r w:rsidR="00156484">
        <w:rPr>
          <w:rFonts w:hint="eastAsia"/>
        </w:rPr>
        <w:t>基准情景显示，交通</w:t>
      </w:r>
      <w:r w:rsidR="00575327">
        <w:rPr>
          <w:rFonts w:hint="eastAsia"/>
        </w:rPr>
        <w:t>部门碳排放</w:t>
      </w:r>
      <w:r w:rsidR="00156484">
        <w:rPr>
          <w:rFonts w:hint="eastAsia"/>
        </w:rPr>
        <w:t>将持续增加到</w:t>
      </w:r>
      <w:r w:rsidR="00156484">
        <w:rPr>
          <w:rFonts w:hint="eastAsia"/>
        </w:rPr>
        <w:t>2</w:t>
      </w:r>
      <w:r w:rsidR="00156484">
        <w:t>045</w:t>
      </w:r>
      <w:r w:rsidR="00156484">
        <w:rPr>
          <w:rFonts w:hint="eastAsia"/>
        </w:rPr>
        <w:t>年，峰值为</w:t>
      </w:r>
      <w:r w:rsidR="00156484">
        <w:rPr>
          <w:rFonts w:hint="eastAsia"/>
        </w:rPr>
        <w:t>1</w:t>
      </w:r>
      <w:r w:rsidR="00156484">
        <w:t>6.2</w:t>
      </w:r>
      <w:r w:rsidR="008102C6">
        <w:rPr>
          <w:rFonts w:hint="eastAsia"/>
        </w:rPr>
        <w:t>亿</w:t>
      </w:r>
      <w:r w:rsidR="008102C6">
        <w:rPr>
          <w:rFonts w:hint="eastAsia"/>
        </w:rPr>
        <w:t>t</w:t>
      </w:r>
      <w:r w:rsidR="000667A9">
        <w:rPr>
          <w:rFonts w:hint="eastAsia"/>
        </w:rPr>
        <w:t>，</w:t>
      </w:r>
      <w:r w:rsidR="000667A9">
        <w:rPr>
          <w:rFonts w:hint="eastAsia"/>
        </w:rPr>
        <w:t>2</w:t>
      </w:r>
      <w:r w:rsidR="000667A9">
        <w:t>060</w:t>
      </w:r>
      <w:r w:rsidR="000667A9">
        <w:rPr>
          <w:rFonts w:hint="eastAsia"/>
        </w:rPr>
        <w:t>年下降到</w:t>
      </w:r>
      <w:r w:rsidR="000667A9">
        <w:rPr>
          <w:rFonts w:hint="eastAsia"/>
        </w:rPr>
        <w:t>1</w:t>
      </w:r>
      <w:r w:rsidR="000667A9">
        <w:t>1.3</w:t>
      </w:r>
      <w:r w:rsidR="000667A9">
        <w:rPr>
          <w:rFonts w:hint="eastAsia"/>
        </w:rPr>
        <w:t>亿</w:t>
      </w:r>
      <w:r w:rsidR="000667A9">
        <w:rPr>
          <w:rFonts w:hint="eastAsia"/>
        </w:rPr>
        <w:t>t</w:t>
      </w:r>
      <w:r w:rsidRPr="00B46E12">
        <w:rPr>
          <w:rFonts w:hint="eastAsia"/>
        </w:rPr>
        <w:t>。从情景对比分析来看，</w:t>
      </w:r>
      <w:r w:rsidR="00156484">
        <w:rPr>
          <w:rFonts w:hint="eastAsia"/>
        </w:rPr>
        <w:t>当</w:t>
      </w:r>
      <w:r w:rsidRPr="00B46E12">
        <w:rPr>
          <w:rFonts w:hint="eastAsia"/>
        </w:rPr>
        <w:t>采取</w:t>
      </w:r>
      <w:r w:rsidR="00156484">
        <w:rPr>
          <w:rFonts w:hint="eastAsia"/>
        </w:rPr>
        <w:t>双碳政策推演</w:t>
      </w:r>
      <w:r w:rsidRPr="00B46E12">
        <w:rPr>
          <w:rFonts w:hint="eastAsia"/>
        </w:rPr>
        <w:t>情景，</w:t>
      </w:r>
      <w:r w:rsidRPr="00B46E12">
        <w:rPr>
          <w:rFonts w:hint="eastAsia"/>
        </w:rPr>
        <w:t>2035</w:t>
      </w:r>
      <w:r w:rsidRPr="00B46E12">
        <w:rPr>
          <w:rFonts w:hint="eastAsia"/>
        </w:rPr>
        <w:t>年交通运输</w:t>
      </w:r>
      <w:r w:rsidR="00C3292A">
        <w:rPr>
          <w:rFonts w:hint="eastAsia"/>
        </w:rPr>
        <w:t>碳排放</w:t>
      </w:r>
      <w:r w:rsidRPr="00B46E12">
        <w:rPr>
          <w:rFonts w:hint="eastAsia"/>
        </w:rPr>
        <w:t>峰值比基准情景峰值下降</w:t>
      </w:r>
      <w:r w:rsidR="00156967">
        <w:t>18</w:t>
      </w:r>
      <w:r w:rsidR="00156484">
        <w:t>.</w:t>
      </w:r>
      <w:r w:rsidR="00156967">
        <w:t>1</w:t>
      </w:r>
      <w:r w:rsidRPr="00B46E12">
        <w:rPr>
          <w:rFonts w:hint="eastAsia"/>
        </w:rPr>
        <w:t>%</w:t>
      </w:r>
      <w:r w:rsidRPr="00B46E12">
        <w:rPr>
          <w:rFonts w:hint="eastAsia"/>
        </w:rPr>
        <w:t>，</w:t>
      </w:r>
      <w:r w:rsidR="00156484">
        <w:rPr>
          <w:rFonts w:hint="eastAsia"/>
        </w:rPr>
        <w:t>峰值为</w:t>
      </w:r>
      <w:r w:rsidR="00156967">
        <w:t>13.</w:t>
      </w:r>
      <w:r w:rsidR="00485D67">
        <w:t>2</w:t>
      </w:r>
      <w:r w:rsidR="008102C6">
        <w:rPr>
          <w:rFonts w:hint="eastAsia"/>
        </w:rPr>
        <w:t>亿</w:t>
      </w:r>
      <w:r w:rsidR="008102C6">
        <w:rPr>
          <w:rFonts w:hint="eastAsia"/>
        </w:rPr>
        <w:t>t</w:t>
      </w:r>
      <w:r w:rsidR="000667A9">
        <w:rPr>
          <w:rFonts w:hint="eastAsia"/>
        </w:rPr>
        <w:t>，</w:t>
      </w:r>
      <w:r w:rsidR="000667A9">
        <w:rPr>
          <w:rFonts w:hint="eastAsia"/>
        </w:rPr>
        <w:t>2</w:t>
      </w:r>
      <w:r w:rsidR="000667A9">
        <w:t>060</w:t>
      </w:r>
      <w:r w:rsidR="000667A9">
        <w:rPr>
          <w:rFonts w:hint="eastAsia"/>
        </w:rPr>
        <w:t>年下降到</w:t>
      </w:r>
      <w:r w:rsidR="000667A9">
        <w:rPr>
          <w:rFonts w:hint="eastAsia"/>
        </w:rPr>
        <w:t>1</w:t>
      </w:r>
      <w:r w:rsidR="000667A9">
        <w:t>.8</w:t>
      </w:r>
      <w:r w:rsidR="000667A9">
        <w:rPr>
          <w:rFonts w:hint="eastAsia"/>
        </w:rPr>
        <w:t>亿</w:t>
      </w:r>
      <w:r w:rsidR="000667A9">
        <w:rPr>
          <w:rFonts w:hint="eastAsia"/>
        </w:rPr>
        <w:t>t</w:t>
      </w:r>
      <w:r w:rsidR="00156484">
        <w:rPr>
          <w:rFonts w:hint="eastAsia"/>
        </w:rPr>
        <w:t>。</w:t>
      </w:r>
      <w:r w:rsidRPr="00B46E12">
        <w:rPr>
          <w:rFonts w:hint="eastAsia"/>
        </w:rPr>
        <w:t>采取</w:t>
      </w:r>
      <w:r w:rsidR="00156484">
        <w:rPr>
          <w:rFonts w:hint="eastAsia"/>
        </w:rPr>
        <w:t>激进情景</w:t>
      </w:r>
      <w:r w:rsidRPr="00B46E12">
        <w:rPr>
          <w:rFonts w:hint="eastAsia"/>
        </w:rPr>
        <w:t>，</w:t>
      </w:r>
      <w:r w:rsidRPr="00B46E12">
        <w:rPr>
          <w:rFonts w:hint="eastAsia"/>
        </w:rPr>
        <w:t>2030</w:t>
      </w:r>
      <w:r w:rsidRPr="00B46E12">
        <w:rPr>
          <w:rFonts w:hint="eastAsia"/>
        </w:rPr>
        <w:t>年交通运输</w:t>
      </w:r>
      <w:r w:rsidR="00C3292A">
        <w:rPr>
          <w:rFonts w:hint="eastAsia"/>
        </w:rPr>
        <w:t>碳排放</w:t>
      </w:r>
      <w:r w:rsidRPr="00B46E12">
        <w:rPr>
          <w:rFonts w:hint="eastAsia"/>
        </w:rPr>
        <w:t>峰值比基准情景峰值下降</w:t>
      </w:r>
      <w:r w:rsidR="00156484">
        <w:t>2</w:t>
      </w:r>
      <w:r w:rsidR="00156967">
        <w:t>2</w:t>
      </w:r>
      <w:r w:rsidR="00156484">
        <w:t>.</w:t>
      </w:r>
      <w:r w:rsidR="00156967">
        <w:t>3</w:t>
      </w:r>
      <w:r w:rsidRPr="00B46E12">
        <w:rPr>
          <w:rFonts w:hint="eastAsia"/>
        </w:rPr>
        <w:t>%</w:t>
      </w:r>
      <w:r w:rsidR="00156484">
        <w:rPr>
          <w:rFonts w:hint="eastAsia"/>
        </w:rPr>
        <w:t>，峰值为</w:t>
      </w:r>
      <w:r w:rsidR="00156484">
        <w:rPr>
          <w:rFonts w:hint="eastAsia"/>
        </w:rPr>
        <w:t>1</w:t>
      </w:r>
      <w:r w:rsidR="00156484">
        <w:t>2.</w:t>
      </w:r>
      <w:r w:rsidR="00156967">
        <w:t>6</w:t>
      </w:r>
      <w:r w:rsidR="008102C6">
        <w:rPr>
          <w:rFonts w:hint="eastAsia"/>
        </w:rPr>
        <w:t>亿</w:t>
      </w:r>
      <w:r w:rsidR="008102C6">
        <w:rPr>
          <w:rFonts w:hint="eastAsia"/>
        </w:rPr>
        <w:t>t</w:t>
      </w:r>
      <w:r w:rsidR="000667A9">
        <w:rPr>
          <w:rFonts w:hint="eastAsia"/>
        </w:rPr>
        <w:t>，</w:t>
      </w:r>
      <w:r w:rsidR="000667A9">
        <w:rPr>
          <w:rFonts w:hint="eastAsia"/>
        </w:rPr>
        <w:t>2</w:t>
      </w:r>
      <w:r w:rsidR="000667A9">
        <w:t>060</w:t>
      </w:r>
      <w:r w:rsidR="000667A9">
        <w:rPr>
          <w:rFonts w:hint="eastAsia"/>
        </w:rPr>
        <w:t>年</w:t>
      </w:r>
      <w:bookmarkEnd w:id="52"/>
      <w:r w:rsidR="000667A9">
        <w:rPr>
          <w:rFonts w:hint="eastAsia"/>
        </w:rPr>
        <w:t>下降到</w:t>
      </w:r>
      <w:r w:rsidR="000667A9">
        <w:rPr>
          <w:rFonts w:hint="eastAsia"/>
        </w:rPr>
        <w:t>0</w:t>
      </w:r>
      <w:r w:rsidR="000667A9">
        <w:t>.66</w:t>
      </w:r>
      <w:r w:rsidR="000667A9">
        <w:rPr>
          <w:rFonts w:hint="eastAsia"/>
        </w:rPr>
        <w:t>亿</w:t>
      </w:r>
      <w:r w:rsidR="000667A9">
        <w:rPr>
          <w:rFonts w:hint="eastAsia"/>
        </w:rPr>
        <w:t>t</w:t>
      </w:r>
      <w:r w:rsidR="000667A9">
        <w:rPr>
          <w:rFonts w:hint="eastAsia"/>
        </w:rPr>
        <w:t>。</w:t>
      </w:r>
    </w:p>
    <w:p w14:paraId="64E75440" w14:textId="175E45B9" w:rsidR="004B1381" w:rsidRDefault="0022226F" w:rsidP="004B1381">
      <w:pPr>
        <w:ind w:firstLineChars="0" w:firstLine="0"/>
      </w:pPr>
      <w:r>
        <w:rPr>
          <w:noProof/>
        </w:rPr>
        <w:drawing>
          <wp:inline distT="0" distB="0" distL="0" distR="0" wp14:anchorId="16A588ED" wp14:editId="1B3E8A7A">
            <wp:extent cx="5274310" cy="3191933"/>
            <wp:effectExtent l="0" t="0" r="2540" b="8890"/>
            <wp:docPr id="35" name="图表 35">
              <a:extLst xmlns:a="http://schemas.openxmlformats.org/drawingml/2006/main">
                <a:ext uri="{FF2B5EF4-FFF2-40B4-BE49-F238E27FC236}">
                  <a16:creationId xmlns:a16="http://schemas.microsoft.com/office/drawing/2014/main" id="{45F30616-C0EE-48C6-BED0-D7614176BA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7FBDB543" w14:textId="3B2EFF52" w:rsidR="004B1381" w:rsidRDefault="004B1381" w:rsidP="004B1381">
      <w:pPr>
        <w:ind w:firstLineChars="0" w:firstLine="0"/>
        <w:jc w:val="center"/>
        <w:rPr>
          <w:rFonts w:eastAsia="黑体"/>
          <w:sz w:val="24"/>
          <w:szCs w:val="21"/>
        </w:rPr>
      </w:pPr>
      <w:bookmarkStart w:id="53" w:name="_Hlk93510376"/>
      <w:r w:rsidRPr="0022226F">
        <w:rPr>
          <w:rFonts w:eastAsia="黑体" w:hint="eastAsia"/>
          <w:sz w:val="24"/>
          <w:szCs w:val="21"/>
        </w:rPr>
        <w:t>图</w:t>
      </w:r>
      <w:r w:rsidR="00CD32C3" w:rsidRPr="0022226F">
        <w:rPr>
          <w:rFonts w:eastAsia="黑体" w:hint="eastAsia"/>
          <w:sz w:val="24"/>
          <w:szCs w:val="21"/>
        </w:rPr>
        <w:t>4-</w:t>
      </w:r>
      <w:r w:rsidR="00CD32C3" w:rsidRPr="0022226F">
        <w:rPr>
          <w:rFonts w:eastAsia="黑体"/>
          <w:sz w:val="24"/>
          <w:szCs w:val="21"/>
        </w:rPr>
        <w:t>17</w:t>
      </w:r>
      <w:r w:rsidR="00CD32C3" w:rsidRPr="0022226F">
        <w:rPr>
          <w:rFonts w:eastAsia="黑体" w:hint="eastAsia"/>
          <w:sz w:val="24"/>
          <w:szCs w:val="21"/>
        </w:rPr>
        <w:t xml:space="preserve"> </w:t>
      </w:r>
      <w:r w:rsidRPr="0022226F">
        <w:rPr>
          <w:rFonts w:eastAsia="黑体" w:hint="eastAsia"/>
          <w:sz w:val="24"/>
          <w:szCs w:val="21"/>
        </w:rPr>
        <w:t>不同情景下交通运输碳排放趋势</w:t>
      </w:r>
      <w:bookmarkEnd w:id="53"/>
    </w:p>
    <w:p w14:paraId="1505CFB3" w14:textId="77777777" w:rsidR="00FE471F" w:rsidRPr="0022226F" w:rsidRDefault="00FE471F" w:rsidP="004B1381">
      <w:pPr>
        <w:ind w:firstLineChars="0" w:firstLine="0"/>
        <w:jc w:val="center"/>
        <w:rPr>
          <w:rFonts w:eastAsia="黑体"/>
          <w:sz w:val="24"/>
          <w:szCs w:val="21"/>
        </w:rPr>
      </w:pPr>
    </w:p>
    <w:p w14:paraId="75FAD1CB" w14:textId="5A2B54B0" w:rsidR="004B1381" w:rsidRPr="00D56C6B" w:rsidRDefault="004F2373" w:rsidP="00DB5A8A">
      <w:pPr>
        <w:ind w:firstLine="562"/>
        <w:outlineLvl w:val="3"/>
        <w:rPr>
          <w:b/>
          <w:bCs/>
        </w:rPr>
      </w:pPr>
      <w:r w:rsidRPr="00D56C6B">
        <w:rPr>
          <w:rFonts w:hint="eastAsia"/>
          <w:b/>
          <w:bCs/>
        </w:rPr>
        <w:t>（</w:t>
      </w:r>
      <w:r w:rsidRPr="00D56C6B">
        <w:rPr>
          <w:rFonts w:hint="eastAsia"/>
          <w:b/>
          <w:bCs/>
        </w:rPr>
        <w:t>1</w:t>
      </w:r>
      <w:r w:rsidRPr="00D56C6B">
        <w:rPr>
          <w:rFonts w:hint="eastAsia"/>
          <w:b/>
          <w:bCs/>
        </w:rPr>
        <w:t>）基准情景</w:t>
      </w:r>
    </w:p>
    <w:p w14:paraId="5D033F66" w14:textId="02CF8DC0" w:rsidR="00B13C98" w:rsidRDefault="004B1381" w:rsidP="00130815">
      <w:pPr>
        <w:ind w:firstLine="560"/>
      </w:pPr>
      <w:r>
        <w:rPr>
          <w:rFonts w:hint="eastAsia"/>
        </w:rPr>
        <w:t>基准情景下，</w:t>
      </w:r>
      <w:r w:rsidR="00130815">
        <w:rPr>
          <w:rFonts w:hint="eastAsia"/>
        </w:rPr>
        <w:t>新能源车辆普及率较低，尤其是货运领域，新能源车车辆占比仅为</w:t>
      </w:r>
      <w:r w:rsidR="00130815">
        <w:rPr>
          <w:rFonts w:hint="eastAsia"/>
        </w:rPr>
        <w:t>5</w:t>
      </w:r>
      <w:r w:rsidR="00130815">
        <w:t>0</w:t>
      </w:r>
      <w:r w:rsidR="00130815">
        <w:rPr>
          <w:rFonts w:hint="eastAsia"/>
        </w:rPr>
        <w:t>%</w:t>
      </w:r>
      <w:r w:rsidR="00130815">
        <w:rPr>
          <w:rFonts w:hint="eastAsia"/>
        </w:rPr>
        <w:t>；运输结构调整力度较小、能效提升有限，导致</w:t>
      </w:r>
      <w:r>
        <w:rPr>
          <w:rFonts w:hint="eastAsia"/>
        </w:rPr>
        <w:lastRenderedPageBreak/>
        <w:t>交通运输</w:t>
      </w:r>
      <w:r w:rsidR="00C3292A">
        <w:rPr>
          <w:rFonts w:hint="eastAsia"/>
        </w:rPr>
        <w:t>碳排放</w:t>
      </w:r>
      <w:r>
        <w:rPr>
          <w:rFonts w:hint="eastAsia"/>
        </w:rPr>
        <w:t>总量持续增加，</w:t>
      </w:r>
      <w:r>
        <w:rPr>
          <w:rFonts w:hint="eastAsia"/>
        </w:rPr>
        <w:t>2030</w:t>
      </w:r>
      <w:r>
        <w:rPr>
          <w:rFonts w:hint="eastAsia"/>
        </w:rPr>
        <w:t>年达到</w:t>
      </w:r>
      <w:r>
        <w:rPr>
          <w:rFonts w:hint="eastAsia"/>
        </w:rPr>
        <w:t>1</w:t>
      </w:r>
      <w:r w:rsidR="00130815">
        <w:t>4.</w:t>
      </w:r>
      <w:r w:rsidR="00130815">
        <w:rPr>
          <w:rFonts w:hint="eastAsia"/>
        </w:rPr>
        <w:t>5</w:t>
      </w:r>
      <w:r>
        <w:rPr>
          <w:rFonts w:hint="eastAsia"/>
        </w:rPr>
        <w:t>亿</w:t>
      </w:r>
      <w:r>
        <w:rPr>
          <w:rFonts w:hint="eastAsia"/>
        </w:rPr>
        <w:t>t</w:t>
      </w:r>
      <w:r>
        <w:rPr>
          <w:rFonts w:hint="eastAsia"/>
        </w:rPr>
        <w:t>，</w:t>
      </w:r>
      <w:r>
        <w:rPr>
          <w:rFonts w:hint="eastAsia"/>
        </w:rPr>
        <w:t>204</w:t>
      </w:r>
      <w:r w:rsidR="00076E33">
        <w:t>5</w:t>
      </w:r>
      <w:r>
        <w:rPr>
          <w:rFonts w:hint="eastAsia"/>
        </w:rPr>
        <w:t>年达到峰值</w:t>
      </w:r>
      <w:r>
        <w:rPr>
          <w:rFonts w:hint="eastAsia"/>
        </w:rPr>
        <w:t>1</w:t>
      </w:r>
      <w:r w:rsidR="00130815">
        <w:t>6.</w:t>
      </w:r>
      <w:r w:rsidR="00076E33">
        <w:t>2</w:t>
      </w:r>
      <w:r>
        <w:rPr>
          <w:rFonts w:hint="eastAsia"/>
        </w:rPr>
        <w:t>亿</w:t>
      </w:r>
      <w:r>
        <w:rPr>
          <w:rFonts w:hint="eastAsia"/>
        </w:rPr>
        <w:t>t</w:t>
      </w:r>
      <w:r>
        <w:rPr>
          <w:rFonts w:hint="eastAsia"/>
        </w:rPr>
        <w:t>，</w:t>
      </w:r>
      <w:r>
        <w:rPr>
          <w:rFonts w:hint="eastAsia"/>
        </w:rPr>
        <w:t>20</w:t>
      </w:r>
      <w:r w:rsidR="00130815">
        <w:t>6</w:t>
      </w:r>
      <w:r>
        <w:rPr>
          <w:rFonts w:hint="eastAsia"/>
        </w:rPr>
        <w:t>0</w:t>
      </w:r>
      <w:r>
        <w:rPr>
          <w:rFonts w:hint="eastAsia"/>
        </w:rPr>
        <w:t>年下降到</w:t>
      </w:r>
      <w:r w:rsidR="00130815">
        <w:t>11.3</w:t>
      </w:r>
      <w:r>
        <w:rPr>
          <w:rFonts w:hint="eastAsia"/>
        </w:rPr>
        <w:t>亿</w:t>
      </w:r>
      <w:r>
        <w:rPr>
          <w:rFonts w:hint="eastAsia"/>
        </w:rPr>
        <w:t>t</w:t>
      </w:r>
      <w:r>
        <w:rPr>
          <w:rFonts w:hint="eastAsia"/>
        </w:rPr>
        <w:t>。</w:t>
      </w:r>
      <w:r w:rsidR="00CD29F3">
        <w:rPr>
          <w:rFonts w:hint="eastAsia"/>
        </w:rPr>
        <w:t>公路运输是最主要碳排放源，碳排放占交通</w:t>
      </w:r>
      <w:r w:rsidR="00575327">
        <w:rPr>
          <w:rFonts w:hint="eastAsia"/>
        </w:rPr>
        <w:t>部门碳</w:t>
      </w:r>
      <w:r w:rsidR="00CD29F3">
        <w:rPr>
          <w:rFonts w:hint="eastAsia"/>
        </w:rPr>
        <w:t>排放比例，从</w:t>
      </w:r>
      <w:r w:rsidR="00CD29F3">
        <w:rPr>
          <w:rFonts w:hint="eastAsia"/>
        </w:rPr>
        <w:t>2</w:t>
      </w:r>
      <w:r w:rsidR="00CD29F3">
        <w:t>020</w:t>
      </w:r>
      <w:r w:rsidR="00CD29F3">
        <w:rPr>
          <w:rFonts w:hint="eastAsia"/>
        </w:rPr>
        <w:t>年</w:t>
      </w:r>
      <w:r w:rsidR="00CD29F3">
        <w:rPr>
          <w:rFonts w:hint="eastAsia"/>
        </w:rPr>
        <w:t>8</w:t>
      </w:r>
      <w:r w:rsidR="00CD29F3">
        <w:t>7</w:t>
      </w:r>
      <w:r w:rsidR="00CD29F3">
        <w:rPr>
          <w:rFonts w:hint="eastAsia"/>
        </w:rPr>
        <w:t>%</w:t>
      </w:r>
      <w:r w:rsidR="00CD29F3">
        <w:rPr>
          <w:rFonts w:hint="eastAsia"/>
        </w:rPr>
        <w:t>，下降</w:t>
      </w:r>
      <w:r w:rsidR="00116736">
        <w:rPr>
          <w:rFonts w:hint="eastAsia"/>
        </w:rPr>
        <w:t>到</w:t>
      </w:r>
      <w:r w:rsidR="00CD29F3">
        <w:rPr>
          <w:rFonts w:hint="eastAsia"/>
        </w:rPr>
        <w:t>2</w:t>
      </w:r>
      <w:r w:rsidR="00CD29F3">
        <w:t>040</w:t>
      </w:r>
      <w:r w:rsidR="00CD29F3">
        <w:rPr>
          <w:rFonts w:hint="eastAsia"/>
        </w:rPr>
        <w:t>年峰年的</w:t>
      </w:r>
      <w:r w:rsidR="00CD29F3">
        <w:rPr>
          <w:rFonts w:hint="eastAsia"/>
        </w:rPr>
        <w:t>8</w:t>
      </w:r>
      <w:r w:rsidR="00CD29F3">
        <w:t>2.2</w:t>
      </w:r>
      <w:r w:rsidR="00CD29F3">
        <w:rPr>
          <w:rFonts w:hint="eastAsia"/>
        </w:rPr>
        <w:t>%</w:t>
      </w:r>
      <w:r w:rsidR="00CD29F3">
        <w:rPr>
          <w:rFonts w:hint="eastAsia"/>
        </w:rPr>
        <w:t>，</w:t>
      </w:r>
      <w:r w:rsidR="00116736">
        <w:rPr>
          <w:rFonts w:hint="eastAsia"/>
        </w:rPr>
        <w:t>并</w:t>
      </w:r>
      <w:r w:rsidR="00CD29F3">
        <w:rPr>
          <w:rFonts w:hint="eastAsia"/>
        </w:rPr>
        <w:t>持续下降到</w:t>
      </w:r>
      <w:r w:rsidR="00CD29F3">
        <w:rPr>
          <w:rFonts w:hint="eastAsia"/>
        </w:rPr>
        <w:t>2</w:t>
      </w:r>
      <w:r w:rsidR="00CD29F3">
        <w:t>060</w:t>
      </w:r>
      <w:r w:rsidR="00CD29F3">
        <w:rPr>
          <w:rFonts w:hint="eastAsia"/>
        </w:rPr>
        <w:t>年的</w:t>
      </w:r>
      <w:r w:rsidR="00CD29F3">
        <w:rPr>
          <w:rFonts w:hint="eastAsia"/>
        </w:rPr>
        <w:t>7</w:t>
      </w:r>
      <w:r w:rsidR="00CD29F3">
        <w:t>7.4</w:t>
      </w:r>
      <w:r w:rsidR="00CD29F3">
        <w:rPr>
          <w:rFonts w:hint="eastAsia"/>
        </w:rPr>
        <w:t>%</w:t>
      </w:r>
      <w:r w:rsidR="00CD29F3">
        <w:rPr>
          <w:rFonts w:hint="eastAsia"/>
        </w:rPr>
        <w:t>。民航运输碳排放占比将持续上升，从</w:t>
      </w:r>
      <w:r w:rsidR="00CD29F3">
        <w:rPr>
          <w:rFonts w:hint="eastAsia"/>
        </w:rPr>
        <w:t>2</w:t>
      </w:r>
      <w:r w:rsidR="00CD29F3">
        <w:t>020</w:t>
      </w:r>
      <w:r w:rsidR="00CD29F3">
        <w:rPr>
          <w:rFonts w:hint="eastAsia"/>
        </w:rPr>
        <w:t>年的</w:t>
      </w:r>
      <w:r w:rsidR="00CD29F3">
        <w:t>7.1</w:t>
      </w:r>
      <w:r w:rsidR="00CD29F3">
        <w:rPr>
          <w:rFonts w:hint="eastAsia"/>
        </w:rPr>
        <w:t>%</w:t>
      </w:r>
      <w:r w:rsidR="00CD29F3">
        <w:rPr>
          <w:rFonts w:hint="eastAsia"/>
        </w:rPr>
        <w:t>，增长到</w:t>
      </w:r>
      <w:r w:rsidR="00CD29F3">
        <w:rPr>
          <w:rFonts w:hint="eastAsia"/>
        </w:rPr>
        <w:t>2</w:t>
      </w:r>
      <w:r w:rsidR="00CD29F3">
        <w:t>060</w:t>
      </w:r>
      <w:r w:rsidR="00CD29F3">
        <w:rPr>
          <w:rFonts w:hint="eastAsia"/>
        </w:rPr>
        <w:t>年</w:t>
      </w:r>
      <w:r w:rsidR="00CD29F3">
        <w:rPr>
          <w:rFonts w:hint="eastAsia"/>
        </w:rPr>
        <w:t>1</w:t>
      </w:r>
      <w:r w:rsidR="00CD29F3">
        <w:t>6.9</w:t>
      </w:r>
      <w:r w:rsidR="00CD29F3">
        <w:rPr>
          <w:rFonts w:hint="eastAsia"/>
        </w:rPr>
        <w:t>%</w:t>
      </w:r>
      <w:r w:rsidR="00CD29F3">
        <w:rPr>
          <w:rFonts w:hint="eastAsia"/>
        </w:rPr>
        <w:t>，占比增长</w:t>
      </w:r>
      <w:r w:rsidR="00CD29F3">
        <w:rPr>
          <w:rFonts w:hint="eastAsia"/>
        </w:rPr>
        <w:t>1</w:t>
      </w:r>
      <w:r w:rsidR="00CD29F3">
        <w:t>38</w:t>
      </w:r>
      <w:r w:rsidR="00CD29F3">
        <w:rPr>
          <w:rFonts w:hint="eastAsia"/>
        </w:rPr>
        <w:t>%</w:t>
      </w:r>
      <w:r w:rsidR="00CD29F3">
        <w:rPr>
          <w:rFonts w:hint="eastAsia"/>
        </w:rPr>
        <w:t>。</w:t>
      </w:r>
    </w:p>
    <w:p w14:paraId="752B78D9" w14:textId="6B7C55D5" w:rsidR="00B13C98" w:rsidRDefault="00B13C98" w:rsidP="00B13C98">
      <w:pPr>
        <w:ind w:firstLineChars="0" w:firstLine="0"/>
      </w:pPr>
      <w:r>
        <w:rPr>
          <w:noProof/>
        </w:rPr>
        <w:drawing>
          <wp:inline distT="0" distB="0" distL="0" distR="0" wp14:anchorId="1BF5CE75" wp14:editId="2995B023">
            <wp:extent cx="5220000" cy="2743200"/>
            <wp:effectExtent l="0" t="0" r="0" b="0"/>
            <wp:docPr id="19" name="图表 19">
              <a:extLst xmlns:a="http://schemas.openxmlformats.org/drawingml/2006/main">
                <a:ext uri="{FF2B5EF4-FFF2-40B4-BE49-F238E27FC236}">
                  <a16:creationId xmlns:a16="http://schemas.microsoft.com/office/drawing/2014/main" id="{984CB255-4541-47F5-A721-46E6A0539B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113D9FF3" w14:textId="476C451E" w:rsidR="00B13C98" w:rsidRPr="00A8551D" w:rsidRDefault="00061538" w:rsidP="00AB1A75">
      <w:pPr>
        <w:ind w:firstLineChars="0" w:firstLine="0"/>
        <w:jc w:val="center"/>
        <w:rPr>
          <w:rFonts w:eastAsia="黑体"/>
          <w:sz w:val="24"/>
          <w:szCs w:val="21"/>
        </w:rPr>
      </w:pPr>
      <w:r w:rsidRPr="00A8551D">
        <w:rPr>
          <w:rFonts w:eastAsia="黑体" w:hint="eastAsia"/>
          <w:sz w:val="24"/>
          <w:szCs w:val="21"/>
        </w:rPr>
        <w:t>图</w:t>
      </w:r>
      <w:r w:rsidR="00CD32C3" w:rsidRPr="00A8551D">
        <w:rPr>
          <w:rFonts w:eastAsia="黑体" w:hint="eastAsia"/>
          <w:sz w:val="24"/>
          <w:szCs w:val="21"/>
        </w:rPr>
        <w:t>4-</w:t>
      </w:r>
      <w:r w:rsidR="00CD32C3" w:rsidRPr="00A8551D">
        <w:rPr>
          <w:rFonts w:eastAsia="黑体"/>
          <w:sz w:val="24"/>
          <w:szCs w:val="21"/>
        </w:rPr>
        <w:t>18</w:t>
      </w:r>
      <w:r w:rsidRPr="00A8551D">
        <w:rPr>
          <w:rFonts w:eastAsia="黑体" w:hint="eastAsia"/>
          <w:sz w:val="24"/>
          <w:szCs w:val="21"/>
        </w:rPr>
        <w:t xml:space="preserve"> </w:t>
      </w:r>
      <w:r w:rsidRPr="00A8551D">
        <w:rPr>
          <w:rFonts w:eastAsia="黑体" w:hint="eastAsia"/>
          <w:sz w:val="24"/>
          <w:szCs w:val="21"/>
        </w:rPr>
        <w:t>基准情景下不同运输方式碳排放趋势</w:t>
      </w:r>
    </w:p>
    <w:p w14:paraId="7B9C0AC9" w14:textId="77777777" w:rsidR="00FE471F" w:rsidRDefault="00FE471F" w:rsidP="00CD29F3">
      <w:pPr>
        <w:ind w:firstLineChars="0" w:firstLine="564"/>
      </w:pPr>
    </w:p>
    <w:p w14:paraId="6FC82A7A" w14:textId="143CCD48" w:rsidR="00CD29F3" w:rsidRDefault="009926FE" w:rsidP="00CD29F3">
      <w:pPr>
        <w:ind w:firstLineChars="0" w:firstLine="564"/>
      </w:pPr>
      <w:r>
        <w:rPr>
          <w:rFonts w:hint="eastAsia"/>
        </w:rPr>
        <w:t>基准情景下，传统化石燃料仍旧是主要的能源。到</w:t>
      </w:r>
      <w:r>
        <w:rPr>
          <w:rFonts w:hint="eastAsia"/>
        </w:rPr>
        <w:t>2</w:t>
      </w:r>
      <w:r>
        <w:t>040</w:t>
      </w:r>
      <w:r>
        <w:rPr>
          <w:rFonts w:hint="eastAsia"/>
        </w:rPr>
        <w:t>年，汽油、柴油、航空煤油的占比分别为</w:t>
      </w:r>
      <w:r>
        <w:rPr>
          <w:rFonts w:hint="eastAsia"/>
        </w:rPr>
        <w:t>1</w:t>
      </w:r>
      <w:r>
        <w:t>6.</w:t>
      </w:r>
      <w:r>
        <w:rPr>
          <w:rFonts w:hint="eastAsia"/>
        </w:rPr>
        <w:t>1%</w:t>
      </w:r>
      <w:r>
        <w:rPr>
          <w:rFonts w:hint="eastAsia"/>
        </w:rPr>
        <w:t>、</w:t>
      </w:r>
      <w:r>
        <w:rPr>
          <w:rFonts w:hint="eastAsia"/>
        </w:rPr>
        <w:t>4</w:t>
      </w:r>
      <w:r>
        <w:t>1.9</w:t>
      </w:r>
      <w:r>
        <w:rPr>
          <w:rFonts w:hint="eastAsia"/>
        </w:rPr>
        <w:t>%</w:t>
      </w:r>
      <w:r>
        <w:rPr>
          <w:rFonts w:hint="eastAsia"/>
        </w:rPr>
        <w:t>、</w:t>
      </w:r>
      <w:r>
        <w:rPr>
          <w:rFonts w:hint="eastAsia"/>
        </w:rPr>
        <w:t>1</w:t>
      </w:r>
      <w:r>
        <w:t>3.6</w:t>
      </w:r>
      <w:r>
        <w:rPr>
          <w:rFonts w:hint="eastAsia"/>
        </w:rPr>
        <w:t>%</w:t>
      </w:r>
      <w:r>
        <w:rPr>
          <w:rFonts w:hint="eastAsia"/>
        </w:rPr>
        <w:t>，电力等清洁能源占比仅为</w:t>
      </w:r>
      <w:r>
        <w:rPr>
          <w:rFonts w:hint="eastAsia"/>
        </w:rPr>
        <w:t>2</w:t>
      </w:r>
      <w:r>
        <w:t>4.</w:t>
      </w:r>
      <w:r>
        <w:rPr>
          <w:rFonts w:hint="eastAsia"/>
        </w:rPr>
        <w:t>1%</w:t>
      </w:r>
      <w:r>
        <w:rPr>
          <w:rFonts w:hint="eastAsia"/>
        </w:rPr>
        <w:t>。到</w:t>
      </w:r>
      <w:r>
        <w:rPr>
          <w:rFonts w:hint="eastAsia"/>
        </w:rPr>
        <w:t>2</w:t>
      </w:r>
      <w:r>
        <w:t>060</w:t>
      </w:r>
      <w:r>
        <w:rPr>
          <w:rFonts w:hint="eastAsia"/>
        </w:rPr>
        <w:t>年，电力成为最主要的交通运输能源，占比为</w:t>
      </w:r>
      <w:r>
        <w:rPr>
          <w:rFonts w:hint="eastAsia"/>
        </w:rPr>
        <w:t>3</w:t>
      </w:r>
      <w:r>
        <w:t>9.5</w:t>
      </w:r>
      <w:r>
        <w:rPr>
          <w:rFonts w:hint="eastAsia"/>
        </w:rPr>
        <w:t>%</w:t>
      </w:r>
      <w:r>
        <w:rPr>
          <w:rFonts w:hint="eastAsia"/>
        </w:rPr>
        <w:t>，柴油、航空煤油、汽油分别占</w:t>
      </w:r>
      <w:r>
        <w:rPr>
          <w:rFonts w:hint="eastAsia"/>
        </w:rPr>
        <w:t>3</w:t>
      </w:r>
      <w:r>
        <w:t>4.1</w:t>
      </w:r>
      <w:r>
        <w:rPr>
          <w:rFonts w:hint="eastAsia"/>
        </w:rPr>
        <w:t>%</w:t>
      </w:r>
      <w:r>
        <w:rPr>
          <w:rFonts w:hint="eastAsia"/>
        </w:rPr>
        <w:t>、</w:t>
      </w:r>
      <w:r>
        <w:rPr>
          <w:rFonts w:hint="eastAsia"/>
        </w:rPr>
        <w:t>1</w:t>
      </w:r>
      <w:r>
        <w:t>2.2</w:t>
      </w:r>
      <w:r>
        <w:rPr>
          <w:rFonts w:hint="eastAsia"/>
        </w:rPr>
        <w:t>%</w:t>
      </w:r>
      <w:r>
        <w:rPr>
          <w:rFonts w:hint="eastAsia"/>
        </w:rPr>
        <w:t>、</w:t>
      </w:r>
      <w:r>
        <w:rPr>
          <w:rFonts w:hint="eastAsia"/>
        </w:rPr>
        <w:t>4</w:t>
      </w:r>
      <w:r>
        <w:t>.3</w:t>
      </w:r>
      <w:r>
        <w:rPr>
          <w:rFonts w:hint="eastAsia"/>
        </w:rPr>
        <w:t>%</w:t>
      </w:r>
      <w:r>
        <w:rPr>
          <w:rFonts w:hint="eastAsia"/>
        </w:rPr>
        <w:t>，</w:t>
      </w:r>
      <w:r w:rsidR="00454984">
        <w:rPr>
          <w:rFonts w:hint="eastAsia"/>
        </w:rPr>
        <w:t>氢能</w:t>
      </w:r>
      <w:r>
        <w:rPr>
          <w:rFonts w:hint="eastAsia"/>
        </w:rPr>
        <w:t>得到</w:t>
      </w:r>
      <w:r w:rsidR="00454984">
        <w:rPr>
          <w:rFonts w:hint="eastAsia"/>
        </w:rPr>
        <w:t>一定程度应用，占比为</w:t>
      </w:r>
      <w:r w:rsidR="00454984">
        <w:rPr>
          <w:rFonts w:hint="eastAsia"/>
        </w:rPr>
        <w:t>3</w:t>
      </w:r>
      <w:r w:rsidR="00454984">
        <w:t>.3</w:t>
      </w:r>
      <w:r w:rsidR="00454984">
        <w:rPr>
          <w:rFonts w:hint="eastAsia"/>
        </w:rPr>
        <w:t>%</w:t>
      </w:r>
      <w:r w:rsidR="00454984">
        <w:rPr>
          <w:rFonts w:hint="eastAsia"/>
        </w:rPr>
        <w:t>。</w:t>
      </w:r>
    </w:p>
    <w:p w14:paraId="2BA33E88" w14:textId="501C4957" w:rsidR="0081187F" w:rsidRDefault="0081187F" w:rsidP="0081187F">
      <w:pPr>
        <w:ind w:firstLineChars="0" w:firstLine="0"/>
      </w:pPr>
      <w:r>
        <w:rPr>
          <w:noProof/>
        </w:rPr>
        <w:lastRenderedPageBreak/>
        <w:drawing>
          <wp:inline distT="0" distB="0" distL="0" distR="0" wp14:anchorId="6836631F" wp14:editId="1993C312">
            <wp:extent cx="5220000" cy="2743200"/>
            <wp:effectExtent l="0" t="0" r="0" b="0"/>
            <wp:docPr id="21" name="图表 21">
              <a:extLst xmlns:a="http://schemas.openxmlformats.org/drawingml/2006/main">
                <a:ext uri="{FF2B5EF4-FFF2-40B4-BE49-F238E27FC236}">
                  <a16:creationId xmlns:a16="http://schemas.microsoft.com/office/drawing/2014/main" id="{9F0702CA-1F87-41EB-9DC8-C3A80662D2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740A3AF0" w14:textId="3B6E58CA" w:rsidR="0081187F" w:rsidRPr="00A8551D" w:rsidRDefault="0081187F" w:rsidP="00AB1A75">
      <w:pPr>
        <w:ind w:firstLineChars="0" w:firstLine="0"/>
        <w:jc w:val="center"/>
        <w:rPr>
          <w:rFonts w:eastAsia="黑体"/>
          <w:sz w:val="24"/>
          <w:szCs w:val="21"/>
        </w:rPr>
      </w:pPr>
      <w:r w:rsidRPr="00A8551D">
        <w:rPr>
          <w:rFonts w:eastAsia="黑体" w:hint="eastAsia"/>
          <w:sz w:val="24"/>
          <w:szCs w:val="21"/>
        </w:rPr>
        <w:t>图</w:t>
      </w:r>
      <w:r w:rsidR="00CD32C3" w:rsidRPr="00A8551D">
        <w:rPr>
          <w:rFonts w:eastAsia="黑体" w:hint="eastAsia"/>
          <w:sz w:val="24"/>
          <w:szCs w:val="21"/>
        </w:rPr>
        <w:t>4-</w:t>
      </w:r>
      <w:r w:rsidR="00CD32C3" w:rsidRPr="00A8551D">
        <w:rPr>
          <w:rFonts w:eastAsia="黑体"/>
          <w:sz w:val="24"/>
          <w:szCs w:val="21"/>
        </w:rPr>
        <w:t>19</w:t>
      </w:r>
      <w:r w:rsidRPr="00A8551D">
        <w:rPr>
          <w:rFonts w:eastAsia="黑体" w:hint="eastAsia"/>
          <w:sz w:val="24"/>
          <w:szCs w:val="21"/>
        </w:rPr>
        <w:t xml:space="preserve"> </w:t>
      </w:r>
      <w:r w:rsidRPr="00A8551D">
        <w:rPr>
          <w:rFonts w:eastAsia="黑体" w:hint="eastAsia"/>
          <w:sz w:val="24"/>
          <w:szCs w:val="21"/>
        </w:rPr>
        <w:t>基准情景下</w:t>
      </w:r>
      <w:r w:rsidR="009926FE" w:rsidRPr="00A8551D">
        <w:rPr>
          <w:rFonts w:eastAsia="黑体" w:hint="eastAsia"/>
          <w:sz w:val="24"/>
          <w:szCs w:val="21"/>
        </w:rPr>
        <w:t>不同燃料消耗趋势</w:t>
      </w:r>
    </w:p>
    <w:p w14:paraId="153A10BC" w14:textId="77777777" w:rsidR="00FE471F" w:rsidRDefault="00FE471F" w:rsidP="00A83CC7">
      <w:pPr>
        <w:ind w:firstLine="560"/>
      </w:pPr>
    </w:p>
    <w:p w14:paraId="21234E97" w14:textId="2C56B3BC" w:rsidR="0081187F" w:rsidRDefault="00A83CC7" w:rsidP="00A83CC7">
      <w:pPr>
        <w:ind w:firstLine="560"/>
      </w:pPr>
      <w:r>
        <w:rPr>
          <w:rFonts w:hint="eastAsia"/>
        </w:rPr>
        <w:t>总的来说，在基准情景下，</w:t>
      </w:r>
      <w:r w:rsidR="001D6245">
        <w:rPr>
          <w:rFonts w:hint="eastAsia"/>
        </w:rPr>
        <w:t>课题组分析了如果交通部门不采取有效的低碳发展措施，将会造成“公转铁”“公转水”及“绿色出行”</w:t>
      </w:r>
      <w:r w:rsidR="00B430B8">
        <w:rPr>
          <w:rFonts w:hint="eastAsia"/>
        </w:rPr>
        <w:t>效果不显著</w:t>
      </w:r>
      <w:r w:rsidR="001D6245">
        <w:rPr>
          <w:rFonts w:hint="eastAsia"/>
        </w:rPr>
        <w:t>、能效提升幅度有限、新能源运载工具普及率不高，</w:t>
      </w:r>
      <w:r w:rsidR="00B430B8">
        <w:rPr>
          <w:rFonts w:hint="eastAsia"/>
        </w:rPr>
        <w:t>进而</w:t>
      </w:r>
      <w:r w:rsidR="001D6245">
        <w:rPr>
          <w:rFonts w:hint="eastAsia"/>
        </w:rPr>
        <w:t>导致</w:t>
      </w:r>
      <w:r>
        <w:rPr>
          <w:rFonts w:hint="eastAsia"/>
        </w:rPr>
        <w:t>交通运输碳排放将维持在一个较高排放水平上</w:t>
      </w:r>
      <w:r w:rsidR="001D6245">
        <w:rPr>
          <w:rFonts w:hint="eastAsia"/>
        </w:rPr>
        <w:t>。</w:t>
      </w:r>
    </w:p>
    <w:p w14:paraId="7C61F44C" w14:textId="47CE05DD" w:rsidR="0081187F" w:rsidRPr="00D56C6B" w:rsidRDefault="00454984" w:rsidP="005D2FFD">
      <w:pPr>
        <w:ind w:firstLine="562"/>
        <w:outlineLvl w:val="3"/>
        <w:rPr>
          <w:b/>
          <w:bCs/>
        </w:rPr>
      </w:pPr>
      <w:r w:rsidRPr="00D56C6B">
        <w:rPr>
          <w:rFonts w:hint="eastAsia"/>
          <w:b/>
          <w:bCs/>
        </w:rPr>
        <w:t>（</w:t>
      </w:r>
      <w:r w:rsidRPr="00D56C6B">
        <w:rPr>
          <w:rFonts w:hint="eastAsia"/>
          <w:b/>
          <w:bCs/>
        </w:rPr>
        <w:t>2</w:t>
      </w:r>
      <w:r w:rsidRPr="00D56C6B">
        <w:rPr>
          <w:rFonts w:hint="eastAsia"/>
          <w:b/>
          <w:bCs/>
        </w:rPr>
        <w:t>）双碳政策推演情景</w:t>
      </w:r>
    </w:p>
    <w:p w14:paraId="7DFA3E75" w14:textId="7EE0D4E3" w:rsidR="001F5D77" w:rsidRDefault="001F5D77" w:rsidP="004B1381">
      <w:pPr>
        <w:ind w:firstLine="560"/>
      </w:pPr>
      <w:r w:rsidRPr="00B430B8">
        <w:rPr>
          <w:rFonts w:hint="eastAsia"/>
        </w:rPr>
        <w:t>双碳政策推演情景下</w:t>
      </w:r>
      <w:r>
        <w:rPr>
          <w:rFonts w:hint="eastAsia"/>
        </w:rPr>
        <w:t>，课题组通过梳理近期已发布的“双碳”系列政策文件及与之配套的相关“十四规划”（如《绿色交通十四五规划》、</w:t>
      </w:r>
      <w:r w:rsidRPr="00B430B8">
        <w:rPr>
          <w:rFonts w:hint="eastAsia"/>
        </w:rPr>
        <w:t>《综合运输服务“十四五”发展规划》</w:t>
      </w:r>
      <w:r>
        <w:rPr>
          <w:rFonts w:hint="eastAsia"/>
        </w:rPr>
        <w:t>等），总结出</w:t>
      </w:r>
      <w:r>
        <w:rPr>
          <w:rFonts w:hint="eastAsia"/>
        </w:rPr>
        <w:t>2</w:t>
      </w:r>
      <w:r>
        <w:t>035</w:t>
      </w:r>
      <w:r>
        <w:rPr>
          <w:rFonts w:hint="eastAsia"/>
        </w:rPr>
        <w:t>年前低碳相关政策措施，将具体政策措施量化成模型参数。此外，参照行业内外研究机构的研究成果，将相关参数进行推演至</w:t>
      </w:r>
      <w:r>
        <w:rPr>
          <w:rFonts w:hint="eastAsia"/>
        </w:rPr>
        <w:t>2</w:t>
      </w:r>
      <w:r>
        <w:t>060</w:t>
      </w:r>
      <w:r>
        <w:rPr>
          <w:rFonts w:hint="eastAsia"/>
        </w:rPr>
        <w:t>年。得到结论如下：</w:t>
      </w:r>
    </w:p>
    <w:p w14:paraId="11AA7611" w14:textId="6F7DB30C" w:rsidR="004B1381" w:rsidRDefault="004B1381" w:rsidP="004B1381">
      <w:pPr>
        <w:ind w:firstLine="560"/>
      </w:pPr>
      <w:r>
        <w:rPr>
          <w:rFonts w:hint="eastAsia"/>
        </w:rPr>
        <w:t>随着交通运输装备结构的优化、技术的发展以及资源的合理配置，</w:t>
      </w:r>
      <w:r w:rsidR="005D4B29">
        <w:rPr>
          <w:rFonts w:hint="eastAsia"/>
        </w:rPr>
        <w:t>政策措施</w:t>
      </w:r>
      <w:r w:rsidR="00454984">
        <w:rPr>
          <w:rFonts w:hint="eastAsia"/>
        </w:rPr>
        <w:t>采用</w:t>
      </w:r>
      <w:r w:rsidR="005D4B29">
        <w:rPr>
          <w:rFonts w:hint="eastAsia"/>
        </w:rPr>
        <w:t>国家、交通运输部等发布的“</w:t>
      </w:r>
      <w:r w:rsidR="00454984">
        <w:rPr>
          <w:rFonts w:hint="eastAsia"/>
        </w:rPr>
        <w:t>双碳</w:t>
      </w:r>
      <w:r w:rsidR="005D4B29">
        <w:rPr>
          <w:rFonts w:hint="eastAsia"/>
        </w:rPr>
        <w:t>”</w:t>
      </w:r>
      <w:r w:rsidR="00454984">
        <w:rPr>
          <w:rFonts w:hint="eastAsia"/>
        </w:rPr>
        <w:t>政策</w:t>
      </w:r>
      <w:r w:rsidR="005D4B29">
        <w:rPr>
          <w:rFonts w:hint="eastAsia"/>
        </w:rPr>
        <w:t>，并推演相关</w:t>
      </w:r>
      <w:r w:rsidR="005D4B29">
        <w:rPr>
          <w:rFonts w:hint="eastAsia"/>
        </w:rPr>
        <w:lastRenderedPageBreak/>
        <w:t>措施，量化关键参数。模型核算结果显示</w:t>
      </w:r>
      <w:r>
        <w:rPr>
          <w:rFonts w:hint="eastAsia"/>
        </w:rPr>
        <w:t>交通运输</w:t>
      </w:r>
      <w:r w:rsidR="00C3292A">
        <w:rPr>
          <w:rFonts w:hint="eastAsia"/>
        </w:rPr>
        <w:t>碳排放</w:t>
      </w:r>
      <w:r>
        <w:rPr>
          <w:rFonts w:hint="eastAsia"/>
        </w:rPr>
        <w:t>总量将呈现先增长后下降的趋势，约在</w:t>
      </w:r>
      <w:r>
        <w:rPr>
          <w:rFonts w:hint="eastAsia"/>
        </w:rPr>
        <w:t>2035</w:t>
      </w:r>
      <w:r>
        <w:rPr>
          <w:rFonts w:hint="eastAsia"/>
        </w:rPr>
        <w:t>年左右达峰，</w:t>
      </w:r>
      <w:r w:rsidR="00C3292A">
        <w:rPr>
          <w:rFonts w:hint="eastAsia"/>
        </w:rPr>
        <w:t>碳排放</w:t>
      </w:r>
      <w:r>
        <w:rPr>
          <w:rFonts w:hint="eastAsia"/>
        </w:rPr>
        <w:t>峰值为</w:t>
      </w:r>
      <w:r>
        <w:rPr>
          <w:rFonts w:hint="eastAsia"/>
        </w:rPr>
        <w:t>13.</w:t>
      </w:r>
      <w:r w:rsidR="00877BF6">
        <w:t>3</w:t>
      </w:r>
      <w:r>
        <w:rPr>
          <w:rFonts w:hint="eastAsia"/>
        </w:rPr>
        <w:t>亿</w:t>
      </w:r>
      <w:r>
        <w:rPr>
          <w:rFonts w:hint="eastAsia"/>
        </w:rPr>
        <w:t>t</w:t>
      </w:r>
      <w:r>
        <w:rPr>
          <w:rFonts w:hint="eastAsia"/>
        </w:rPr>
        <w:t>；</w:t>
      </w:r>
      <w:r w:rsidR="001F5D77">
        <w:rPr>
          <w:rFonts w:hint="eastAsia"/>
        </w:rPr>
        <w:t>2</w:t>
      </w:r>
      <w:r w:rsidR="001F5D77">
        <w:t>050</w:t>
      </w:r>
      <w:r w:rsidR="001F5D77">
        <w:rPr>
          <w:rFonts w:hint="eastAsia"/>
        </w:rPr>
        <w:t>年、</w:t>
      </w:r>
      <w:r>
        <w:rPr>
          <w:rFonts w:hint="eastAsia"/>
        </w:rPr>
        <w:t>20</w:t>
      </w:r>
      <w:r w:rsidR="00454984">
        <w:t>6</w:t>
      </w:r>
      <w:r>
        <w:rPr>
          <w:rFonts w:hint="eastAsia"/>
        </w:rPr>
        <w:t>0</w:t>
      </w:r>
      <w:r w:rsidR="001F5D77">
        <w:rPr>
          <w:rFonts w:hint="eastAsia"/>
        </w:rPr>
        <w:t>碳排放量分别</w:t>
      </w:r>
      <w:r>
        <w:rPr>
          <w:rFonts w:hint="eastAsia"/>
        </w:rPr>
        <w:t>下降到</w:t>
      </w:r>
      <w:r w:rsidR="001F5D77">
        <w:rPr>
          <w:rFonts w:hint="eastAsia"/>
        </w:rPr>
        <w:t>6</w:t>
      </w:r>
      <w:r w:rsidR="001F5D77">
        <w:t>.8</w:t>
      </w:r>
      <w:r w:rsidR="001F5D77">
        <w:rPr>
          <w:rFonts w:hint="eastAsia"/>
        </w:rPr>
        <w:t>亿</w:t>
      </w:r>
      <w:r w:rsidR="001F5D77">
        <w:rPr>
          <w:rFonts w:hint="eastAsia"/>
        </w:rPr>
        <w:t>t</w:t>
      </w:r>
      <w:r w:rsidR="001F5D77">
        <w:rPr>
          <w:rFonts w:hint="eastAsia"/>
        </w:rPr>
        <w:t>、</w:t>
      </w:r>
      <w:r w:rsidR="00454984">
        <w:t>1</w:t>
      </w:r>
      <w:r>
        <w:rPr>
          <w:rFonts w:hint="eastAsia"/>
        </w:rPr>
        <w:t>.8</w:t>
      </w:r>
      <w:r>
        <w:rPr>
          <w:rFonts w:hint="eastAsia"/>
        </w:rPr>
        <w:t>亿</w:t>
      </w:r>
      <w:r>
        <w:rPr>
          <w:rFonts w:hint="eastAsia"/>
        </w:rPr>
        <w:t>t</w:t>
      </w:r>
      <w:r>
        <w:rPr>
          <w:rFonts w:hint="eastAsia"/>
        </w:rPr>
        <w:t>，</w:t>
      </w:r>
      <w:r w:rsidR="001F5D77">
        <w:rPr>
          <w:rFonts w:hint="eastAsia"/>
        </w:rPr>
        <w:t>分别</w:t>
      </w:r>
      <w:r>
        <w:rPr>
          <w:rFonts w:hint="eastAsia"/>
        </w:rPr>
        <w:t>相比基准情景下降</w:t>
      </w:r>
      <w:r w:rsidR="001F5D77">
        <w:rPr>
          <w:rFonts w:hint="eastAsia"/>
        </w:rPr>
        <w:t>5</w:t>
      </w:r>
      <w:r w:rsidR="001F5D77">
        <w:t>7.3</w:t>
      </w:r>
      <w:r w:rsidR="001F5D77">
        <w:rPr>
          <w:rFonts w:hint="eastAsia"/>
        </w:rPr>
        <w:t>%</w:t>
      </w:r>
      <w:r w:rsidR="001F5D77">
        <w:rPr>
          <w:rFonts w:hint="eastAsia"/>
        </w:rPr>
        <w:t>，</w:t>
      </w:r>
      <w:r w:rsidR="00454984">
        <w:t>83.4</w:t>
      </w:r>
      <w:r>
        <w:rPr>
          <w:rFonts w:hint="eastAsia"/>
        </w:rPr>
        <w:t>%</w:t>
      </w:r>
      <w:r>
        <w:rPr>
          <w:rFonts w:hint="eastAsia"/>
        </w:rPr>
        <w:t>。</w:t>
      </w:r>
    </w:p>
    <w:p w14:paraId="432893C3" w14:textId="7BEC1642" w:rsidR="00197980" w:rsidRDefault="005D4B29" w:rsidP="00454984">
      <w:pPr>
        <w:ind w:firstLineChars="0" w:firstLine="0"/>
      </w:pPr>
      <w:r>
        <w:rPr>
          <w:noProof/>
        </w:rPr>
        <w:drawing>
          <wp:inline distT="0" distB="0" distL="0" distR="0" wp14:anchorId="2B1ED37F" wp14:editId="5C02E236">
            <wp:extent cx="5274310" cy="2901950"/>
            <wp:effectExtent l="0" t="0" r="2540" b="12700"/>
            <wp:docPr id="23" name="图表 23">
              <a:extLst xmlns:a="http://schemas.openxmlformats.org/drawingml/2006/main">
                <a:ext uri="{FF2B5EF4-FFF2-40B4-BE49-F238E27FC236}">
                  <a16:creationId xmlns:a16="http://schemas.microsoft.com/office/drawing/2014/main" id="{687991B8-90DF-462E-BD9E-C9B45F59BF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6FBBF22B" w14:textId="1EAF7FC7" w:rsidR="00454984" w:rsidRPr="00A8551D" w:rsidRDefault="00454984" w:rsidP="00AB1A75">
      <w:pPr>
        <w:ind w:firstLineChars="0" w:firstLine="0"/>
        <w:jc w:val="center"/>
        <w:rPr>
          <w:rFonts w:eastAsia="黑体"/>
          <w:sz w:val="24"/>
          <w:szCs w:val="21"/>
        </w:rPr>
      </w:pPr>
      <w:r w:rsidRPr="00A8551D">
        <w:rPr>
          <w:rFonts w:eastAsia="黑体" w:hint="eastAsia"/>
          <w:sz w:val="24"/>
          <w:szCs w:val="21"/>
        </w:rPr>
        <w:t>图</w:t>
      </w:r>
      <w:r w:rsidR="00CD32C3" w:rsidRPr="00A8551D">
        <w:rPr>
          <w:rFonts w:eastAsia="黑体" w:hint="eastAsia"/>
          <w:sz w:val="24"/>
          <w:szCs w:val="21"/>
        </w:rPr>
        <w:t>4</w:t>
      </w:r>
      <w:r w:rsidR="00CD32C3" w:rsidRPr="00A8551D">
        <w:rPr>
          <w:rFonts w:eastAsia="黑体"/>
          <w:sz w:val="24"/>
          <w:szCs w:val="21"/>
        </w:rPr>
        <w:t>-20</w:t>
      </w:r>
      <w:r w:rsidRPr="00A8551D">
        <w:rPr>
          <w:rFonts w:eastAsia="黑体" w:hint="eastAsia"/>
          <w:sz w:val="24"/>
          <w:szCs w:val="21"/>
        </w:rPr>
        <w:t xml:space="preserve"> </w:t>
      </w:r>
      <w:r w:rsidRPr="00A8551D">
        <w:rPr>
          <w:rFonts w:eastAsia="黑体" w:hint="eastAsia"/>
          <w:sz w:val="24"/>
          <w:szCs w:val="21"/>
        </w:rPr>
        <w:t>双碳政策推演情景</w:t>
      </w:r>
      <w:r w:rsidR="00CD29F3" w:rsidRPr="00A8551D">
        <w:rPr>
          <w:rFonts w:eastAsia="黑体" w:hint="eastAsia"/>
          <w:sz w:val="24"/>
          <w:szCs w:val="21"/>
        </w:rPr>
        <w:t>下</w:t>
      </w:r>
      <w:r w:rsidRPr="00A8551D">
        <w:rPr>
          <w:rFonts w:eastAsia="黑体" w:hint="eastAsia"/>
          <w:sz w:val="24"/>
          <w:szCs w:val="21"/>
        </w:rPr>
        <w:t>采用不同政策措施碳排放趋势图</w:t>
      </w:r>
    </w:p>
    <w:p w14:paraId="056C8F1C" w14:textId="77777777" w:rsidR="00FE471F" w:rsidRDefault="00FE471F" w:rsidP="00877BF6">
      <w:pPr>
        <w:ind w:firstLine="560"/>
      </w:pPr>
    </w:p>
    <w:p w14:paraId="55E3CBBB" w14:textId="6FA0C32D" w:rsidR="0022226F" w:rsidRPr="00877BF6" w:rsidRDefault="006452CE" w:rsidP="00877BF6">
      <w:pPr>
        <w:ind w:firstLine="560"/>
      </w:pPr>
      <w:r>
        <w:rPr>
          <w:rFonts w:hint="eastAsia"/>
        </w:rPr>
        <w:t>到</w:t>
      </w:r>
      <w:r>
        <w:rPr>
          <w:rFonts w:hint="eastAsia"/>
        </w:rPr>
        <w:t>2</w:t>
      </w:r>
      <w:r>
        <w:t>035</w:t>
      </w:r>
      <w:r>
        <w:rPr>
          <w:rFonts w:hint="eastAsia"/>
        </w:rPr>
        <w:t>年，</w:t>
      </w:r>
      <w:r w:rsidR="00877BF6">
        <w:rPr>
          <w:rFonts w:hint="eastAsia"/>
        </w:rPr>
        <w:t>当采取不同的政策措施时</w:t>
      </w:r>
      <w:r w:rsidR="00755DFF">
        <w:rPr>
          <w:rFonts w:hint="eastAsia"/>
        </w:rPr>
        <w:t>，如图</w:t>
      </w:r>
      <w:r w:rsidR="00755DFF">
        <w:rPr>
          <w:rFonts w:hint="eastAsia"/>
        </w:rPr>
        <w:t>4-</w:t>
      </w:r>
      <w:r w:rsidR="00755DFF">
        <w:t>21</w:t>
      </w:r>
      <w:r w:rsidR="00877BF6">
        <w:rPr>
          <w:rFonts w:hint="eastAsia"/>
        </w:rPr>
        <w:t>，能够看出运输结构调整、能效提升、新能源应用三类措施的减排效果依次增强，</w:t>
      </w:r>
      <w:r>
        <w:rPr>
          <w:rFonts w:hint="eastAsia"/>
        </w:rPr>
        <w:t>相比于基准情景，分别能够贡献</w:t>
      </w:r>
      <w:r>
        <w:t>0.55</w:t>
      </w:r>
      <w:r>
        <w:rPr>
          <w:rFonts w:hint="eastAsia"/>
        </w:rPr>
        <w:t>、</w:t>
      </w:r>
      <w:r>
        <w:rPr>
          <w:rFonts w:hint="eastAsia"/>
        </w:rPr>
        <w:t>0</w:t>
      </w:r>
      <w:r>
        <w:t>.66</w:t>
      </w:r>
      <w:r>
        <w:rPr>
          <w:rFonts w:hint="eastAsia"/>
        </w:rPr>
        <w:t>、</w:t>
      </w:r>
      <w:r>
        <w:rPr>
          <w:rFonts w:hint="eastAsia"/>
        </w:rPr>
        <w:t>1</w:t>
      </w:r>
      <w:r>
        <w:t>.42</w:t>
      </w:r>
      <w:r>
        <w:rPr>
          <w:rFonts w:hint="eastAsia"/>
        </w:rPr>
        <w:t>亿</w:t>
      </w:r>
      <w:r>
        <w:rPr>
          <w:rFonts w:hint="eastAsia"/>
        </w:rPr>
        <w:t>t</w:t>
      </w:r>
      <w:r>
        <w:rPr>
          <w:rFonts w:hint="eastAsia"/>
        </w:rPr>
        <w:t>的减排量，减排贡献占比分别为</w:t>
      </w:r>
      <w:r>
        <w:rPr>
          <w:rFonts w:hint="eastAsia"/>
        </w:rPr>
        <w:t>2</w:t>
      </w:r>
      <w:r>
        <w:t>1</w:t>
      </w:r>
      <w:r>
        <w:rPr>
          <w:rFonts w:hint="eastAsia"/>
        </w:rPr>
        <w:t>%</w:t>
      </w:r>
      <w:r>
        <w:rPr>
          <w:rFonts w:hint="eastAsia"/>
        </w:rPr>
        <w:t>，</w:t>
      </w:r>
      <w:r>
        <w:rPr>
          <w:rFonts w:hint="eastAsia"/>
        </w:rPr>
        <w:t>2</w:t>
      </w:r>
      <w:r>
        <w:t>5</w:t>
      </w:r>
      <w:r>
        <w:rPr>
          <w:rFonts w:hint="eastAsia"/>
        </w:rPr>
        <w:t>%</w:t>
      </w:r>
      <w:r>
        <w:rPr>
          <w:rFonts w:hint="eastAsia"/>
        </w:rPr>
        <w:t>，</w:t>
      </w:r>
      <w:r>
        <w:rPr>
          <w:rFonts w:hint="eastAsia"/>
        </w:rPr>
        <w:t>5</w:t>
      </w:r>
      <w:r>
        <w:t>4</w:t>
      </w:r>
      <w:r>
        <w:rPr>
          <w:rFonts w:hint="eastAsia"/>
        </w:rPr>
        <w:t>%</w:t>
      </w:r>
      <w:r>
        <w:rPr>
          <w:rFonts w:hint="eastAsia"/>
        </w:rPr>
        <w:t>。</w:t>
      </w:r>
    </w:p>
    <w:p w14:paraId="34E5F671" w14:textId="66C82746" w:rsidR="0022226F" w:rsidRDefault="00674CEF" w:rsidP="0022226F">
      <w:pPr>
        <w:ind w:firstLineChars="0" w:firstLine="0"/>
      </w:pPr>
      <w:r>
        <w:rPr>
          <w:noProof/>
        </w:rPr>
        <w:lastRenderedPageBreak/>
        <mc:AlternateContent>
          <mc:Choice Requires="cx1">
            <w:drawing>
              <wp:inline distT="0" distB="0" distL="0" distR="0" wp14:anchorId="27978904" wp14:editId="56291895">
                <wp:extent cx="5274310" cy="3388360"/>
                <wp:effectExtent l="0" t="0" r="2540" b="2540"/>
                <wp:docPr id="6158" name="图表 6158">
                  <a:extLst xmlns:a="http://schemas.openxmlformats.org/drawingml/2006/main">
                    <a:ext uri="{FF2B5EF4-FFF2-40B4-BE49-F238E27FC236}">
                      <a16:creationId xmlns:a16="http://schemas.microsoft.com/office/drawing/2014/main" id="{94ADBF76-EBBE-4693-A036-28BDF966657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69"/>
                  </a:graphicData>
                </a:graphic>
              </wp:inline>
            </w:drawing>
          </mc:Choice>
          <mc:Fallback>
            <w:drawing>
              <wp:inline distT="0" distB="0" distL="0" distR="0" wp14:anchorId="27978904" wp14:editId="56291895">
                <wp:extent cx="5274310" cy="3388360"/>
                <wp:effectExtent l="0" t="0" r="2540" b="2540"/>
                <wp:docPr id="6158" name="图表 6158">
                  <a:extLst xmlns:a="http://schemas.openxmlformats.org/drawingml/2006/main">
                    <a:ext uri="{FF2B5EF4-FFF2-40B4-BE49-F238E27FC236}">
                      <a16:creationId xmlns:a16="http://schemas.microsoft.com/office/drawing/2014/main" id="{94ADBF76-EBBE-4693-A036-28BDF966657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158" name="图表 6158">
                          <a:extLst>
                            <a:ext uri="{FF2B5EF4-FFF2-40B4-BE49-F238E27FC236}">
                              <a16:creationId xmlns:a16="http://schemas.microsoft.com/office/drawing/2014/main" id="{94ADBF76-EBBE-4693-A036-28BDF966657F}"/>
                            </a:ext>
                          </a:extLst>
                        </pic:cNvPr>
                        <pic:cNvPicPr>
                          <a:picLocks noGrp="1" noRot="1" noChangeAspect="1" noMove="1" noResize="1" noEditPoints="1" noAdjustHandles="1" noChangeArrowheads="1" noChangeShapeType="1"/>
                        </pic:cNvPicPr>
                      </pic:nvPicPr>
                      <pic:blipFill>
                        <a:blip r:embed="rId70"/>
                        <a:stretch>
                          <a:fillRect/>
                        </a:stretch>
                      </pic:blipFill>
                      <pic:spPr>
                        <a:xfrm>
                          <a:off x="0" y="0"/>
                          <a:ext cx="5274310" cy="3388360"/>
                        </a:xfrm>
                        <a:prstGeom prst="rect">
                          <a:avLst/>
                        </a:prstGeom>
                      </pic:spPr>
                    </pic:pic>
                  </a:graphicData>
                </a:graphic>
              </wp:inline>
            </w:drawing>
          </mc:Fallback>
        </mc:AlternateContent>
      </w:r>
    </w:p>
    <w:p w14:paraId="1FE774CA" w14:textId="3B604D31" w:rsidR="0022226F" w:rsidRPr="00A8551D" w:rsidRDefault="00877BF6" w:rsidP="00877BF6">
      <w:pPr>
        <w:ind w:firstLineChars="0" w:firstLine="0"/>
        <w:jc w:val="center"/>
        <w:rPr>
          <w:rFonts w:eastAsia="黑体"/>
          <w:sz w:val="24"/>
          <w:szCs w:val="21"/>
        </w:rPr>
      </w:pPr>
      <w:r w:rsidRPr="00877BF6">
        <w:rPr>
          <w:rFonts w:eastAsia="黑体" w:hint="eastAsia"/>
          <w:sz w:val="24"/>
          <w:szCs w:val="21"/>
        </w:rPr>
        <w:t>图</w:t>
      </w:r>
      <w:r w:rsidRPr="00877BF6">
        <w:rPr>
          <w:rFonts w:eastAsia="黑体" w:hint="eastAsia"/>
          <w:sz w:val="24"/>
          <w:szCs w:val="21"/>
        </w:rPr>
        <w:t>4</w:t>
      </w:r>
      <w:r w:rsidRPr="00877BF6">
        <w:rPr>
          <w:rFonts w:eastAsia="黑体"/>
          <w:sz w:val="24"/>
          <w:szCs w:val="21"/>
        </w:rPr>
        <w:t>-2</w:t>
      </w:r>
      <w:r w:rsidR="006452CE">
        <w:rPr>
          <w:rFonts w:eastAsia="黑体"/>
          <w:sz w:val="24"/>
          <w:szCs w:val="21"/>
        </w:rPr>
        <w:t>1</w:t>
      </w:r>
      <w:r w:rsidRPr="00877BF6">
        <w:rPr>
          <w:rFonts w:eastAsia="黑体" w:hint="eastAsia"/>
          <w:sz w:val="24"/>
          <w:szCs w:val="21"/>
        </w:rPr>
        <w:t xml:space="preserve"> </w:t>
      </w:r>
      <w:r>
        <w:rPr>
          <w:rFonts w:eastAsia="黑体"/>
          <w:sz w:val="24"/>
          <w:szCs w:val="21"/>
        </w:rPr>
        <w:t>2035</w:t>
      </w:r>
      <w:r>
        <w:rPr>
          <w:rFonts w:eastAsia="黑体" w:hint="eastAsia"/>
          <w:sz w:val="24"/>
          <w:szCs w:val="21"/>
        </w:rPr>
        <w:t>年</w:t>
      </w:r>
      <w:r w:rsidRPr="00877BF6">
        <w:rPr>
          <w:rFonts w:eastAsia="黑体" w:hint="eastAsia"/>
          <w:sz w:val="24"/>
          <w:szCs w:val="21"/>
        </w:rPr>
        <w:t>双碳政策推演情景下碳排放解构</w:t>
      </w:r>
    </w:p>
    <w:p w14:paraId="548D6EDE" w14:textId="08D96A22" w:rsidR="0022226F" w:rsidRDefault="006452CE" w:rsidP="006452CE">
      <w:pPr>
        <w:ind w:firstLine="560"/>
      </w:pPr>
      <w:r>
        <w:rPr>
          <w:rFonts w:hint="eastAsia"/>
        </w:rPr>
        <w:t>到</w:t>
      </w:r>
      <w:r>
        <w:rPr>
          <w:rFonts w:hint="eastAsia"/>
        </w:rPr>
        <w:t>2</w:t>
      </w:r>
      <w:r>
        <w:t>060</w:t>
      </w:r>
      <w:r>
        <w:rPr>
          <w:rFonts w:hint="eastAsia"/>
        </w:rPr>
        <w:t>年，</w:t>
      </w:r>
      <w:r w:rsidR="00755DFF">
        <w:rPr>
          <w:rFonts w:hint="eastAsia"/>
        </w:rPr>
        <w:t>如图</w:t>
      </w:r>
      <w:r w:rsidR="00755DFF">
        <w:rPr>
          <w:rFonts w:hint="eastAsia"/>
        </w:rPr>
        <w:t>4-</w:t>
      </w:r>
      <w:r w:rsidR="00755DFF">
        <w:t>22</w:t>
      </w:r>
      <w:r w:rsidR="00755DFF">
        <w:rPr>
          <w:rFonts w:hint="eastAsia"/>
        </w:rPr>
        <w:t>，</w:t>
      </w:r>
      <w:r>
        <w:rPr>
          <w:rFonts w:hint="eastAsia"/>
        </w:rPr>
        <w:t>运输结构调整、能效提升等政策</w:t>
      </w:r>
      <w:r w:rsidR="00755DFF">
        <w:rPr>
          <w:rFonts w:hint="eastAsia"/>
        </w:rPr>
        <w:t>减排效果进一步减弱，</w:t>
      </w:r>
      <w:r>
        <w:rPr>
          <w:rFonts w:hint="eastAsia"/>
        </w:rPr>
        <w:t>新能源应用减排效果</w:t>
      </w:r>
      <w:r w:rsidR="00755DFF">
        <w:rPr>
          <w:rFonts w:hint="eastAsia"/>
        </w:rPr>
        <w:t>最为突出</w:t>
      </w:r>
      <w:r>
        <w:rPr>
          <w:rFonts w:hint="eastAsia"/>
        </w:rPr>
        <w:t>，相比于基准情景，分别能够贡献</w:t>
      </w:r>
      <w:r>
        <w:t>0.</w:t>
      </w:r>
      <w:r w:rsidR="00755DFF">
        <w:t>97</w:t>
      </w:r>
      <w:r>
        <w:rPr>
          <w:rFonts w:hint="eastAsia"/>
        </w:rPr>
        <w:t>、</w:t>
      </w:r>
      <w:r w:rsidR="00755DFF">
        <w:t>1.39</w:t>
      </w:r>
      <w:r>
        <w:rPr>
          <w:rFonts w:hint="eastAsia"/>
        </w:rPr>
        <w:t>、</w:t>
      </w:r>
      <w:r w:rsidR="00755DFF">
        <w:t>6.94</w:t>
      </w:r>
      <w:r>
        <w:rPr>
          <w:rFonts w:hint="eastAsia"/>
        </w:rPr>
        <w:t>亿</w:t>
      </w:r>
      <w:r>
        <w:rPr>
          <w:rFonts w:hint="eastAsia"/>
        </w:rPr>
        <w:t>t</w:t>
      </w:r>
      <w:r>
        <w:rPr>
          <w:rFonts w:hint="eastAsia"/>
        </w:rPr>
        <w:t>的减排量，减排贡献占比分别为</w:t>
      </w:r>
      <w:r w:rsidR="00755DFF">
        <w:t>10</w:t>
      </w:r>
      <w:r>
        <w:rPr>
          <w:rFonts w:hint="eastAsia"/>
        </w:rPr>
        <w:t>%</w:t>
      </w:r>
      <w:r>
        <w:rPr>
          <w:rFonts w:hint="eastAsia"/>
        </w:rPr>
        <w:t>，</w:t>
      </w:r>
      <w:r w:rsidR="00755DFF">
        <w:t>1</w:t>
      </w:r>
      <w:r>
        <w:t>5</w:t>
      </w:r>
      <w:r>
        <w:rPr>
          <w:rFonts w:hint="eastAsia"/>
        </w:rPr>
        <w:t>%</w:t>
      </w:r>
      <w:r>
        <w:rPr>
          <w:rFonts w:hint="eastAsia"/>
        </w:rPr>
        <w:t>，</w:t>
      </w:r>
      <w:r w:rsidR="00755DFF">
        <w:t>75</w:t>
      </w:r>
      <w:r>
        <w:rPr>
          <w:rFonts w:hint="eastAsia"/>
        </w:rPr>
        <w:t>%</w:t>
      </w:r>
      <w:r>
        <w:rPr>
          <w:rFonts w:hint="eastAsia"/>
        </w:rPr>
        <w:t>。</w:t>
      </w:r>
      <w:r>
        <w:t xml:space="preserve"> </w:t>
      </w:r>
    </w:p>
    <w:p w14:paraId="2DB233B7" w14:textId="607CCB04" w:rsidR="00877BF6" w:rsidRDefault="00674CEF" w:rsidP="00877BF6">
      <w:pPr>
        <w:ind w:firstLineChars="0" w:firstLine="0"/>
      </w:pPr>
      <w:r>
        <w:rPr>
          <w:noProof/>
        </w:rPr>
        <mc:AlternateContent>
          <mc:Choice Requires="cx1">
            <w:drawing>
              <wp:inline distT="0" distB="0" distL="0" distR="0" wp14:anchorId="2E85384A" wp14:editId="01A0F8DB">
                <wp:extent cx="5274310" cy="3014133"/>
                <wp:effectExtent l="0" t="0" r="2540" b="15240"/>
                <wp:docPr id="6160" name="图表 6160">
                  <a:extLst xmlns:a="http://schemas.openxmlformats.org/drawingml/2006/main">
                    <a:ext uri="{FF2B5EF4-FFF2-40B4-BE49-F238E27FC236}">
                      <a16:creationId xmlns:a16="http://schemas.microsoft.com/office/drawing/2014/main" id="{958E7057-E6D9-4A70-A9BB-F2AA72D84F38}"/>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71"/>
                  </a:graphicData>
                </a:graphic>
              </wp:inline>
            </w:drawing>
          </mc:Choice>
          <mc:Fallback>
            <w:drawing>
              <wp:inline distT="0" distB="0" distL="0" distR="0" wp14:anchorId="2E85384A" wp14:editId="01A0F8DB">
                <wp:extent cx="5274310" cy="3014133"/>
                <wp:effectExtent l="0" t="0" r="2540" b="15240"/>
                <wp:docPr id="6160" name="图表 6160">
                  <a:extLst xmlns:a="http://schemas.openxmlformats.org/drawingml/2006/main">
                    <a:ext uri="{FF2B5EF4-FFF2-40B4-BE49-F238E27FC236}">
                      <a16:creationId xmlns:a16="http://schemas.microsoft.com/office/drawing/2014/main" id="{958E7057-E6D9-4A70-A9BB-F2AA72D84F38}"/>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160" name="图表 6160">
                          <a:extLst>
                            <a:ext uri="{FF2B5EF4-FFF2-40B4-BE49-F238E27FC236}">
                              <a16:creationId xmlns:a16="http://schemas.microsoft.com/office/drawing/2014/main" id="{958E7057-E6D9-4A70-A9BB-F2AA72D84F38}"/>
                            </a:ext>
                          </a:extLst>
                        </pic:cNvPr>
                        <pic:cNvPicPr>
                          <a:picLocks noGrp="1" noRot="1" noChangeAspect="1" noMove="1" noResize="1" noEditPoints="1" noAdjustHandles="1" noChangeArrowheads="1" noChangeShapeType="1"/>
                        </pic:cNvPicPr>
                      </pic:nvPicPr>
                      <pic:blipFill>
                        <a:blip r:embed="rId72"/>
                        <a:stretch>
                          <a:fillRect/>
                        </a:stretch>
                      </pic:blipFill>
                      <pic:spPr>
                        <a:xfrm>
                          <a:off x="0" y="0"/>
                          <a:ext cx="5274310" cy="3013710"/>
                        </a:xfrm>
                        <a:prstGeom prst="rect">
                          <a:avLst/>
                        </a:prstGeom>
                      </pic:spPr>
                    </pic:pic>
                  </a:graphicData>
                </a:graphic>
              </wp:inline>
            </w:drawing>
          </mc:Fallback>
        </mc:AlternateContent>
      </w:r>
    </w:p>
    <w:p w14:paraId="1F6AB8F7" w14:textId="26043C09" w:rsidR="00877BF6" w:rsidRPr="00877BF6" w:rsidRDefault="00877BF6" w:rsidP="00877BF6">
      <w:pPr>
        <w:ind w:firstLineChars="0" w:firstLine="0"/>
        <w:jc w:val="center"/>
        <w:rPr>
          <w:sz w:val="24"/>
          <w:szCs w:val="21"/>
        </w:rPr>
      </w:pPr>
      <w:r w:rsidRPr="00877BF6">
        <w:rPr>
          <w:rFonts w:eastAsia="黑体" w:hint="eastAsia"/>
          <w:sz w:val="24"/>
          <w:szCs w:val="21"/>
        </w:rPr>
        <w:lastRenderedPageBreak/>
        <w:t>图</w:t>
      </w:r>
      <w:r w:rsidRPr="00877BF6">
        <w:rPr>
          <w:rFonts w:eastAsia="黑体" w:hint="eastAsia"/>
          <w:sz w:val="24"/>
          <w:szCs w:val="21"/>
        </w:rPr>
        <w:t>4</w:t>
      </w:r>
      <w:r w:rsidRPr="00877BF6">
        <w:rPr>
          <w:rFonts w:eastAsia="黑体"/>
          <w:sz w:val="24"/>
          <w:szCs w:val="21"/>
        </w:rPr>
        <w:t>-2</w:t>
      </w:r>
      <w:r w:rsidR="006452CE">
        <w:rPr>
          <w:rFonts w:eastAsia="黑体"/>
          <w:sz w:val="24"/>
          <w:szCs w:val="21"/>
        </w:rPr>
        <w:t>2</w:t>
      </w:r>
      <w:r w:rsidRPr="00877BF6">
        <w:rPr>
          <w:rFonts w:eastAsia="黑体" w:hint="eastAsia"/>
          <w:sz w:val="24"/>
          <w:szCs w:val="21"/>
        </w:rPr>
        <w:t xml:space="preserve"> </w:t>
      </w:r>
      <w:r>
        <w:rPr>
          <w:rFonts w:eastAsia="黑体"/>
          <w:sz w:val="24"/>
          <w:szCs w:val="21"/>
        </w:rPr>
        <w:t>2060</w:t>
      </w:r>
      <w:r>
        <w:rPr>
          <w:rFonts w:eastAsia="黑体" w:hint="eastAsia"/>
          <w:sz w:val="24"/>
          <w:szCs w:val="21"/>
        </w:rPr>
        <w:t>年</w:t>
      </w:r>
      <w:r w:rsidRPr="00877BF6">
        <w:rPr>
          <w:rFonts w:eastAsia="黑体" w:hint="eastAsia"/>
          <w:sz w:val="24"/>
          <w:szCs w:val="21"/>
        </w:rPr>
        <w:t>双碳政策推演情景下碳排放解构</w:t>
      </w:r>
    </w:p>
    <w:p w14:paraId="673AA3A1" w14:textId="77777777" w:rsidR="00877BF6" w:rsidRPr="00877BF6" w:rsidRDefault="00877BF6" w:rsidP="00877BF6">
      <w:pPr>
        <w:ind w:firstLineChars="0" w:firstLine="0"/>
      </w:pPr>
    </w:p>
    <w:p w14:paraId="00238B96" w14:textId="1D4C84F4" w:rsidR="00485D67" w:rsidRDefault="00485D67" w:rsidP="00485D67">
      <w:pPr>
        <w:ind w:firstLineChars="0" w:firstLine="564"/>
      </w:pPr>
      <w:r>
        <w:rPr>
          <w:rFonts w:hint="eastAsia"/>
        </w:rPr>
        <w:t>不同运输方式碳排放量呈现出不同的趋势。铁路运输将在</w:t>
      </w:r>
      <w:r>
        <w:rPr>
          <w:rFonts w:hint="eastAsia"/>
        </w:rPr>
        <w:t>2</w:t>
      </w:r>
      <w:r>
        <w:t>025</w:t>
      </w:r>
      <w:r>
        <w:rPr>
          <w:rFonts w:hint="eastAsia"/>
        </w:rPr>
        <w:t>年达峰（由于大幅度的货物运输结构调整，相对缓慢的货运铁路电气</w:t>
      </w:r>
      <w:r w:rsidR="00116736">
        <w:rPr>
          <w:rFonts w:hint="eastAsia"/>
        </w:rPr>
        <w:t>化</w:t>
      </w:r>
      <w:r>
        <w:rPr>
          <w:rFonts w:hint="eastAsia"/>
        </w:rPr>
        <w:t>进程，导致铁路运输碳排放还将小幅增长）。公路运输碳排放将持续增长到</w:t>
      </w:r>
      <w:r>
        <w:rPr>
          <w:rFonts w:hint="eastAsia"/>
        </w:rPr>
        <w:t>2</w:t>
      </w:r>
      <w:r>
        <w:t>035</w:t>
      </w:r>
      <w:r>
        <w:rPr>
          <w:rFonts w:hint="eastAsia"/>
        </w:rPr>
        <w:t>年，峰值为</w:t>
      </w:r>
      <w:r>
        <w:rPr>
          <w:rFonts w:hint="eastAsia"/>
        </w:rPr>
        <w:t>1</w:t>
      </w:r>
      <w:r>
        <w:t>0.5</w:t>
      </w:r>
      <w:r w:rsidR="008102C6">
        <w:rPr>
          <w:rFonts w:hint="eastAsia"/>
        </w:rPr>
        <w:t>亿</w:t>
      </w:r>
      <w:r w:rsidR="008102C6">
        <w:rPr>
          <w:rFonts w:hint="eastAsia"/>
        </w:rPr>
        <w:t>t</w:t>
      </w:r>
      <w:r>
        <w:rPr>
          <w:rFonts w:hint="eastAsia"/>
        </w:rPr>
        <w:t>，较</w:t>
      </w:r>
      <w:r>
        <w:rPr>
          <w:rFonts w:hint="eastAsia"/>
        </w:rPr>
        <w:t>2</w:t>
      </w:r>
      <w:r>
        <w:t>020</w:t>
      </w:r>
      <w:r>
        <w:rPr>
          <w:rFonts w:hint="eastAsia"/>
        </w:rPr>
        <w:t>年</w:t>
      </w:r>
      <w:r w:rsidRPr="00D56C6B">
        <w:rPr>
          <w:rFonts w:hint="eastAsia"/>
        </w:rPr>
        <w:t>增长</w:t>
      </w:r>
      <w:r w:rsidRPr="00D56C6B">
        <w:rPr>
          <w:rFonts w:hint="eastAsia"/>
        </w:rPr>
        <w:t>1</w:t>
      </w:r>
      <w:r w:rsidRPr="00D56C6B">
        <w:t>3</w:t>
      </w:r>
      <w:r w:rsidRPr="00D56C6B">
        <w:rPr>
          <w:rFonts w:hint="eastAsia"/>
        </w:rPr>
        <w:t>%</w:t>
      </w:r>
      <w:r w:rsidR="0087740E" w:rsidRPr="00D56C6B">
        <w:rPr>
          <w:rFonts w:hint="eastAsia"/>
        </w:rPr>
        <w:t>，占比</w:t>
      </w:r>
      <w:r w:rsidR="00D56C6B" w:rsidRPr="00D56C6B">
        <w:t>79.5</w:t>
      </w:r>
      <w:r w:rsidR="00D56C6B" w:rsidRPr="00D56C6B">
        <w:rPr>
          <w:rFonts w:hint="eastAsia"/>
        </w:rPr>
        <w:t>%</w:t>
      </w:r>
      <w:r w:rsidRPr="00D56C6B">
        <w:rPr>
          <w:rFonts w:hint="eastAsia"/>
        </w:rPr>
        <w:t>；</w:t>
      </w:r>
      <w:r>
        <w:t>2035</w:t>
      </w:r>
      <w:r>
        <w:rPr>
          <w:rFonts w:hint="eastAsia"/>
        </w:rPr>
        <w:t>年后，随着新能源车辆技术成熟，尤其是在重卡领域的应用，公路运输碳排放降幅较快</w:t>
      </w:r>
      <w:r w:rsidR="00116736">
        <w:rPr>
          <w:rFonts w:hint="eastAsia"/>
        </w:rPr>
        <w:t>大</w:t>
      </w:r>
      <w:r>
        <w:rPr>
          <w:rFonts w:hint="eastAsia"/>
        </w:rPr>
        <w:t>，</w:t>
      </w:r>
      <w:r w:rsidR="0087740E">
        <w:rPr>
          <w:rFonts w:hint="eastAsia"/>
        </w:rPr>
        <w:t>到</w:t>
      </w:r>
      <w:r>
        <w:rPr>
          <w:rFonts w:hint="eastAsia"/>
        </w:rPr>
        <w:t>2</w:t>
      </w:r>
      <w:r>
        <w:t>060</w:t>
      </w:r>
      <w:r>
        <w:rPr>
          <w:rFonts w:hint="eastAsia"/>
        </w:rPr>
        <w:t>年，碳排放仅为</w:t>
      </w:r>
      <w:r>
        <w:rPr>
          <w:rFonts w:hint="eastAsia"/>
        </w:rPr>
        <w:t>0</w:t>
      </w:r>
      <w:r>
        <w:t>.56</w:t>
      </w:r>
      <w:r w:rsidR="008102C6">
        <w:rPr>
          <w:rFonts w:hint="eastAsia"/>
        </w:rPr>
        <w:t>亿</w:t>
      </w:r>
      <w:r w:rsidR="008102C6">
        <w:rPr>
          <w:rFonts w:hint="eastAsia"/>
        </w:rPr>
        <w:t>t</w:t>
      </w:r>
      <w:r>
        <w:rPr>
          <w:rFonts w:hint="eastAsia"/>
        </w:rPr>
        <w:t>，占比仅为</w:t>
      </w:r>
      <w:r>
        <w:rPr>
          <w:rFonts w:hint="eastAsia"/>
        </w:rPr>
        <w:t>3</w:t>
      </w:r>
      <w:r>
        <w:t>0.6</w:t>
      </w:r>
      <w:r>
        <w:rPr>
          <w:rFonts w:hint="eastAsia"/>
        </w:rPr>
        <w:t>%</w:t>
      </w:r>
      <w:r>
        <w:rPr>
          <w:rFonts w:hint="eastAsia"/>
        </w:rPr>
        <w:t>。水路运输</w:t>
      </w:r>
      <w:r w:rsidR="00116736">
        <w:rPr>
          <w:rFonts w:hint="eastAsia"/>
        </w:rPr>
        <w:t>碳排放</w:t>
      </w:r>
      <w:r>
        <w:rPr>
          <w:rFonts w:hint="eastAsia"/>
        </w:rPr>
        <w:t>也将持续增长到</w:t>
      </w:r>
      <w:r>
        <w:rPr>
          <w:rFonts w:hint="eastAsia"/>
        </w:rPr>
        <w:t>2</w:t>
      </w:r>
      <w:r>
        <w:t>035</w:t>
      </w:r>
      <w:r>
        <w:rPr>
          <w:rFonts w:hint="eastAsia"/>
        </w:rPr>
        <w:t>年，峰值为</w:t>
      </w:r>
      <w:r>
        <w:rPr>
          <w:rFonts w:hint="eastAsia"/>
        </w:rPr>
        <w:t>0</w:t>
      </w:r>
      <w:r>
        <w:t>.8</w:t>
      </w:r>
      <w:r w:rsidR="008102C6">
        <w:rPr>
          <w:rFonts w:hint="eastAsia"/>
        </w:rPr>
        <w:t>亿</w:t>
      </w:r>
      <w:r w:rsidR="008102C6">
        <w:rPr>
          <w:rFonts w:hint="eastAsia"/>
        </w:rPr>
        <w:t>t</w:t>
      </w:r>
      <w:r>
        <w:rPr>
          <w:rFonts w:hint="eastAsia"/>
        </w:rPr>
        <w:t>，随着新能源船舶技术突破，水路运输碳排放将缓慢下降（考虑到船舶使用寿命通常为</w:t>
      </w:r>
      <w:r>
        <w:rPr>
          <w:rFonts w:hint="eastAsia"/>
        </w:rPr>
        <w:t>2</w:t>
      </w:r>
      <w:r>
        <w:t>0</w:t>
      </w:r>
      <w:r>
        <w:rPr>
          <w:rFonts w:hint="eastAsia"/>
        </w:rPr>
        <w:t>-</w:t>
      </w:r>
      <w:r>
        <w:t>30</w:t>
      </w:r>
      <w:r>
        <w:rPr>
          <w:rFonts w:hint="eastAsia"/>
        </w:rPr>
        <w:t>年，</w:t>
      </w:r>
      <w:r w:rsidR="00116736" w:rsidRPr="00116736">
        <w:rPr>
          <w:rFonts w:hint="eastAsia"/>
        </w:rPr>
        <w:t>因此</w:t>
      </w:r>
      <w:r>
        <w:rPr>
          <w:rFonts w:hint="eastAsia"/>
        </w:rPr>
        <w:t>新能源应用速率较缓），到</w:t>
      </w:r>
      <w:r>
        <w:rPr>
          <w:rFonts w:hint="eastAsia"/>
        </w:rPr>
        <w:t>2</w:t>
      </w:r>
      <w:r>
        <w:t>060</w:t>
      </w:r>
      <w:r>
        <w:rPr>
          <w:rFonts w:hint="eastAsia"/>
        </w:rPr>
        <w:t>年排放量为</w:t>
      </w:r>
      <w:r>
        <w:t>0.45</w:t>
      </w:r>
      <w:r w:rsidR="008102C6">
        <w:rPr>
          <w:rFonts w:hint="eastAsia"/>
        </w:rPr>
        <w:t>亿</w:t>
      </w:r>
      <w:r w:rsidR="008102C6">
        <w:rPr>
          <w:rFonts w:hint="eastAsia"/>
        </w:rPr>
        <w:t>t</w:t>
      </w:r>
      <w:r>
        <w:rPr>
          <w:rFonts w:hint="eastAsia"/>
        </w:rPr>
        <w:t>，占比为</w:t>
      </w:r>
      <w:r>
        <w:rPr>
          <w:rFonts w:hint="eastAsia"/>
        </w:rPr>
        <w:t>2</w:t>
      </w:r>
      <w:r>
        <w:t>5</w:t>
      </w:r>
      <w:r>
        <w:rPr>
          <w:rFonts w:hint="eastAsia"/>
        </w:rPr>
        <w:t>%</w:t>
      </w:r>
      <w:r>
        <w:rPr>
          <w:rFonts w:hint="eastAsia"/>
        </w:rPr>
        <w:t>。民航运输碳排放将持续增加到</w:t>
      </w:r>
      <w:r>
        <w:rPr>
          <w:rFonts w:hint="eastAsia"/>
        </w:rPr>
        <w:t>2</w:t>
      </w:r>
      <w:r>
        <w:t>040</w:t>
      </w:r>
      <w:r>
        <w:rPr>
          <w:rFonts w:hint="eastAsia"/>
        </w:rPr>
        <w:t>年，峰值为</w:t>
      </w:r>
      <w:r>
        <w:rPr>
          <w:rFonts w:hint="eastAsia"/>
        </w:rPr>
        <w:t>1</w:t>
      </w:r>
      <w:r>
        <w:t>.8</w:t>
      </w:r>
      <w:r w:rsidR="008102C6">
        <w:rPr>
          <w:rFonts w:hint="eastAsia"/>
        </w:rPr>
        <w:t>亿</w:t>
      </w:r>
      <w:r w:rsidR="008102C6">
        <w:rPr>
          <w:rFonts w:hint="eastAsia"/>
        </w:rPr>
        <w:t>t</w:t>
      </w:r>
      <w:r>
        <w:rPr>
          <w:rFonts w:hint="eastAsia"/>
        </w:rPr>
        <w:t>，随着生物质能等新能源的应用，碳排放将一定程度内下降，到</w:t>
      </w:r>
      <w:r>
        <w:rPr>
          <w:rFonts w:hint="eastAsia"/>
        </w:rPr>
        <w:t>2</w:t>
      </w:r>
      <w:r>
        <w:t>060</w:t>
      </w:r>
      <w:r>
        <w:rPr>
          <w:rFonts w:hint="eastAsia"/>
        </w:rPr>
        <w:t>年，民航运输将成为最主要的碳排放源，排放量为</w:t>
      </w:r>
      <w:r>
        <w:rPr>
          <w:rFonts w:hint="eastAsia"/>
        </w:rPr>
        <w:t>0</w:t>
      </w:r>
      <w:r>
        <w:t>.81</w:t>
      </w:r>
      <w:r w:rsidR="008102C6">
        <w:rPr>
          <w:rFonts w:hint="eastAsia"/>
        </w:rPr>
        <w:t>亿</w:t>
      </w:r>
      <w:r w:rsidR="008102C6">
        <w:rPr>
          <w:rFonts w:hint="eastAsia"/>
        </w:rPr>
        <w:t>t</w:t>
      </w:r>
      <w:r>
        <w:rPr>
          <w:rFonts w:hint="eastAsia"/>
        </w:rPr>
        <w:t>，占比达</w:t>
      </w:r>
      <w:r>
        <w:t>44.5</w:t>
      </w:r>
      <w:r>
        <w:rPr>
          <w:rFonts w:hint="eastAsia"/>
        </w:rPr>
        <w:t>%</w:t>
      </w:r>
      <w:r>
        <w:rPr>
          <w:rFonts w:hint="eastAsia"/>
        </w:rPr>
        <w:t>。</w:t>
      </w:r>
    </w:p>
    <w:p w14:paraId="4D4D3DE9" w14:textId="5F8388F5" w:rsidR="005D4B29" w:rsidRDefault="005D4B29" w:rsidP="005D4B29">
      <w:pPr>
        <w:ind w:firstLineChars="0" w:firstLine="0"/>
      </w:pPr>
      <w:r>
        <w:rPr>
          <w:noProof/>
        </w:rPr>
        <w:drawing>
          <wp:inline distT="0" distB="0" distL="0" distR="0" wp14:anchorId="542A03DB" wp14:editId="3968BCE2">
            <wp:extent cx="5220000" cy="2743200"/>
            <wp:effectExtent l="0" t="0" r="0" b="0"/>
            <wp:docPr id="24" name="图表 24">
              <a:extLst xmlns:a="http://schemas.openxmlformats.org/drawingml/2006/main">
                <a:ext uri="{FF2B5EF4-FFF2-40B4-BE49-F238E27FC236}">
                  <a16:creationId xmlns:a16="http://schemas.microsoft.com/office/drawing/2014/main" id="{3947F420-7CAE-4144-9176-D71DE945A8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14:paraId="6ED6788C" w14:textId="6125BB44" w:rsidR="005D4B29" w:rsidRPr="00A8551D" w:rsidRDefault="005D4B29" w:rsidP="00AB1A75">
      <w:pPr>
        <w:ind w:firstLineChars="0" w:firstLine="0"/>
        <w:jc w:val="center"/>
        <w:rPr>
          <w:rFonts w:eastAsia="黑体"/>
          <w:sz w:val="24"/>
          <w:szCs w:val="21"/>
        </w:rPr>
      </w:pPr>
      <w:r w:rsidRPr="00A8551D">
        <w:rPr>
          <w:rFonts w:eastAsia="黑体" w:hint="eastAsia"/>
          <w:sz w:val="24"/>
          <w:szCs w:val="21"/>
        </w:rPr>
        <w:lastRenderedPageBreak/>
        <w:t>图</w:t>
      </w:r>
      <w:r w:rsidR="00CD32C3" w:rsidRPr="00A8551D">
        <w:rPr>
          <w:rFonts w:eastAsia="黑体" w:hint="eastAsia"/>
          <w:sz w:val="24"/>
          <w:szCs w:val="21"/>
        </w:rPr>
        <w:t>4</w:t>
      </w:r>
      <w:r w:rsidR="00CD32C3" w:rsidRPr="00A8551D">
        <w:rPr>
          <w:rFonts w:eastAsia="黑体"/>
          <w:sz w:val="24"/>
          <w:szCs w:val="21"/>
        </w:rPr>
        <w:t>-2</w:t>
      </w:r>
      <w:r w:rsidR="00755DFF">
        <w:rPr>
          <w:rFonts w:eastAsia="黑体"/>
          <w:sz w:val="24"/>
          <w:szCs w:val="21"/>
        </w:rPr>
        <w:t>3</w:t>
      </w:r>
      <w:r w:rsidRPr="00A8551D">
        <w:rPr>
          <w:rFonts w:eastAsia="黑体" w:hint="eastAsia"/>
          <w:sz w:val="24"/>
          <w:szCs w:val="21"/>
        </w:rPr>
        <w:t xml:space="preserve"> </w:t>
      </w:r>
      <w:r w:rsidRPr="00A8551D">
        <w:rPr>
          <w:rFonts w:eastAsia="黑体" w:hint="eastAsia"/>
          <w:sz w:val="24"/>
          <w:szCs w:val="21"/>
        </w:rPr>
        <w:t>双碳政策推演情景下不同运输方式碳排放趋势</w:t>
      </w:r>
    </w:p>
    <w:p w14:paraId="75B70E49" w14:textId="1B9542D5" w:rsidR="005D4B29" w:rsidRPr="00BC7D46" w:rsidRDefault="00D51E10" w:rsidP="00BC7D46">
      <w:pPr>
        <w:ind w:firstLineChars="0" w:firstLine="564"/>
      </w:pPr>
      <w:r w:rsidRPr="00454984">
        <w:rPr>
          <w:rFonts w:hint="eastAsia"/>
        </w:rPr>
        <w:t>双碳政策推演</w:t>
      </w:r>
      <w:r w:rsidR="00BC7D46">
        <w:rPr>
          <w:rFonts w:hint="eastAsia"/>
        </w:rPr>
        <w:t>情景下，</w:t>
      </w:r>
      <w:r>
        <w:rPr>
          <w:rFonts w:hint="eastAsia"/>
        </w:rPr>
        <w:t>电力逐步成为最</w:t>
      </w:r>
      <w:r w:rsidR="00BC7D46">
        <w:rPr>
          <w:rFonts w:hint="eastAsia"/>
        </w:rPr>
        <w:t>主要的能源。到</w:t>
      </w:r>
      <w:r w:rsidR="00BC7D46">
        <w:rPr>
          <w:rFonts w:hint="eastAsia"/>
        </w:rPr>
        <w:t>2</w:t>
      </w:r>
      <w:r w:rsidR="00BC7D46">
        <w:t>0</w:t>
      </w:r>
      <w:r>
        <w:t>35</w:t>
      </w:r>
      <w:r w:rsidR="00BC7D46">
        <w:rPr>
          <w:rFonts w:hint="eastAsia"/>
        </w:rPr>
        <w:t>年，汽油、柴油、航空煤油的占比分别为</w:t>
      </w:r>
      <w:r w:rsidR="00BC7D46">
        <w:rPr>
          <w:rFonts w:hint="eastAsia"/>
        </w:rPr>
        <w:t>1</w:t>
      </w:r>
      <w:r w:rsidR="00BC7D46">
        <w:t>6.</w:t>
      </w:r>
      <w:r>
        <w:t>6</w:t>
      </w:r>
      <w:r w:rsidR="00BC7D46">
        <w:rPr>
          <w:rFonts w:hint="eastAsia"/>
        </w:rPr>
        <w:t>%</w:t>
      </w:r>
      <w:r w:rsidR="00BC7D46">
        <w:rPr>
          <w:rFonts w:hint="eastAsia"/>
        </w:rPr>
        <w:t>、</w:t>
      </w:r>
      <w:r>
        <w:t>35</w:t>
      </w:r>
      <w:r w:rsidR="00BC7D46">
        <w:t>.</w:t>
      </w:r>
      <w:r>
        <w:t>2</w:t>
      </w:r>
      <w:r w:rsidR="00BC7D46">
        <w:rPr>
          <w:rFonts w:hint="eastAsia"/>
        </w:rPr>
        <w:t>%</w:t>
      </w:r>
      <w:r w:rsidR="00BC7D46">
        <w:rPr>
          <w:rFonts w:hint="eastAsia"/>
        </w:rPr>
        <w:t>、</w:t>
      </w:r>
      <w:r w:rsidR="00BC7D46">
        <w:rPr>
          <w:rFonts w:hint="eastAsia"/>
        </w:rPr>
        <w:t>1</w:t>
      </w:r>
      <w:r w:rsidR="00BC7D46">
        <w:t>3.</w:t>
      </w:r>
      <w:r>
        <w:t>1</w:t>
      </w:r>
      <w:r w:rsidR="00BC7D46">
        <w:rPr>
          <w:rFonts w:hint="eastAsia"/>
        </w:rPr>
        <w:t>%</w:t>
      </w:r>
      <w:r w:rsidR="00BC7D46">
        <w:rPr>
          <w:rFonts w:hint="eastAsia"/>
        </w:rPr>
        <w:t>，电力等清洁能源占比</w:t>
      </w:r>
      <w:r>
        <w:rPr>
          <w:rFonts w:hint="eastAsia"/>
        </w:rPr>
        <w:t>逐步增长</w:t>
      </w:r>
      <w:r>
        <w:rPr>
          <w:rFonts w:hint="eastAsia"/>
        </w:rPr>
        <w:t>3</w:t>
      </w:r>
      <w:r>
        <w:t>4.2</w:t>
      </w:r>
      <w:r>
        <w:rPr>
          <w:rFonts w:hint="eastAsia"/>
        </w:rPr>
        <w:t>%</w:t>
      </w:r>
      <w:r w:rsidR="00BC7D46">
        <w:rPr>
          <w:rFonts w:hint="eastAsia"/>
        </w:rPr>
        <w:t>。到</w:t>
      </w:r>
      <w:r w:rsidR="00BC7D46">
        <w:rPr>
          <w:rFonts w:hint="eastAsia"/>
        </w:rPr>
        <w:t>2</w:t>
      </w:r>
      <w:r w:rsidR="00BC7D46">
        <w:t>0</w:t>
      </w:r>
      <w:r>
        <w:t>4</w:t>
      </w:r>
      <w:r w:rsidR="00BC7D46">
        <w:t>0</w:t>
      </w:r>
      <w:r w:rsidR="00BC7D46">
        <w:rPr>
          <w:rFonts w:hint="eastAsia"/>
        </w:rPr>
        <w:t>年，电力</w:t>
      </w:r>
      <w:r>
        <w:rPr>
          <w:rFonts w:hint="eastAsia"/>
        </w:rPr>
        <w:t>成为</w:t>
      </w:r>
      <w:r w:rsidR="00BC7D46">
        <w:rPr>
          <w:rFonts w:hint="eastAsia"/>
        </w:rPr>
        <w:t>最主要的交通运输能源，占比为</w:t>
      </w:r>
      <w:r>
        <w:t>41</w:t>
      </w:r>
      <w:r w:rsidR="00BC7D46">
        <w:t>.5</w:t>
      </w:r>
      <w:r w:rsidR="00BC7D46">
        <w:rPr>
          <w:rFonts w:hint="eastAsia"/>
        </w:rPr>
        <w:t>%</w:t>
      </w:r>
      <w:r w:rsidR="00BC7D46">
        <w:rPr>
          <w:rFonts w:hint="eastAsia"/>
        </w:rPr>
        <w:t>，</w:t>
      </w:r>
      <w:r>
        <w:rPr>
          <w:rFonts w:hint="eastAsia"/>
        </w:rPr>
        <w:t>并持续增加，到</w:t>
      </w:r>
      <w:r>
        <w:rPr>
          <w:rFonts w:hint="eastAsia"/>
        </w:rPr>
        <w:t>2</w:t>
      </w:r>
      <w:r>
        <w:t>060</w:t>
      </w:r>
      <w:r>
        <w:rPr>
          <w:rFonts w:hint="eastAsia"/>
        </w:rPr>
        <w:t>年，占比达</w:t>
      </w:r>
      <w:r>
        <w:rPr>
          <w:rFonts w:hint="eastAsia"/>
        </w:rPr>
        <w:t>7</w:t>
      </w:r>
      <w:r>
        <w:t>2.8</w:t>
      </w:r>
      <w:r>
        <w:rPr>
          <w:rFonts w:hint="eastAsia"/>
        </w:rPr>
        <w:t>%</w:t>
      </w:r>
      <w:r>
        <w:rPr>
          <w:rFonts w:hint="eastAsia"/>
        </w:rPr>
        <w:t>，氢能、生物质燃料占比逐步增长到</w:t>
      </w:r>
      <w:r>
        <w:rPr>
          <w:rFonts w:hint="eastAsia"/>
        </w:rPr>
        <w:t>5</w:t>
      </w:r>
      <w:r>
        <w:t>.9</w:t>
      </w:r>
      <w:r>
        <w:rPr>
          <w:rFonts w:hint="eastAsia"/>
        </w:rPr>
        <w:t>%</w:t>
      </w:r>
      <w:r>
        <w:rPr>
          <w:rFonts w:hint="eastAsia"/>
        </w:rPr>
        <w:t>和</w:t>
      </w:r>
      <w:r>
        <w:rPr>
          <w:rFonts w:hint="eastAsia"/>
        </w:rPr>
        <w:t>6</w:t>
      </w:r>
      <w:r>
        <w:t>.8</w:t>
      </w:r>
      <w:r>
        <w:rPr>
          <w:rFonts w:hint="eastAsia"/>
        </w:rPr>
        <w:t>%</w:t>
      </w:r>
      <w:r w:rsidR="00BC7D46">
        <w:rPr>
          <w:rFonts w:hint="eastAsia"/>
        </w:rPr>
        <w:t>。</w:t>
      </w:r>
    </w:p>
    <w:p w14:paraId="497961BB" w14:textId="67934CE5" w:rsidR="00BC7D46" w:rsidRDefault="00BC7D46" w:rsidP="00BC7D46">
      <w:pPr>
        <w:ind w:firstLineChars="0" w:firstLine="0"/>
      </w:pPr>
      <w:r>
        <w:rPr>
          <w:noProof/>
        </w:rPr>
        <w:drawing>
          <wp:inline distT="0" distB="0" distL="0" distR="0" wp14:anchorId="18F9DB0A" wp14:editId="6F4908BD">
            <wp:extent cx="5220000" cy="2743200"/>
            <wp:effectExtent l="0" t="0" r="0" b="0"/>
            <wp:docPr id="25" name="图表 25">
              <a:extLst xmlns:a="http://schemas.openxmlformats.org/drawingml/2006/main">
                <a:ext uri="{FF2B5EF4-FFF2-40B4-BE49-F238E27FC236}">
                  <a16:creationId xmlns:a16="http://schemas.microsoft.com/office/drawing/2014/main" id="{E35714C7-766A-4C56-B3F3-51854C3A45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75BB5C79" w14:textId="0817D3BA" w:rsidR="00BC7D46" w:rsidRPr="00A8551D" w:rsidRDefault="00BC7D46" w:rsidP="00AB1A75">
      <w:pPr>
        <w:ind w:firstLineChars="0" w:firstLine="0"/>
        <w:jc w:val="center"/>
        <w:rPr>
          <w:rFonts w:eastAsia="黑体"/>
          <w:sz w:val="24"/>
          <w:szCs w:val="21"/>
        </w:rPr>
      </w:pPr>
      <w:r w:rsidRPr="00A8551D">
        <w:rPr>
          <w:rFonts w:eastAsia="黑体" w:hint="eastAsia"/>
          <w:sz w:val="24"/>
          <w:szCs w:val="21"/>
        </w:rPr>
        <w:t>图</w:t>
      </w:r>
      <w:r w:rsidR="00CD32C3" w:rsidRPr="00A8551D">
        <w:rPr>
          <w:rFonts w:eastAsia="黑体" w:hint="eastAsia"/>
          <w:sz w:val="24"/>
          <w:szCs w:val="21"/>
        </w:rPr>
        <w:t>4</w:t>
      </w:r>
      <w:r w:rsidR="00CD32C3" w:rsidRPr="00A8551D">
        <w:rPr>
          <w:rFonts w:eastAsia="黑体"/>
          <w:sz w:val="24"/>
          <w:szCs w:val="21"/>
        </w:rPr>
        <w:t>-2</w:t>
      </w:r>
      <w:r w:rsidR="00755DFF">
        <w:rPr>
          <w:rFonts w:eastAsia="黑体"/>
          <w:sz w:val="24"/>
          <w:szCs w:val="21"/>
        </w:rPr>
        <w:t>4</w:t>
      </w:r>
      <w:r w:rsidRPr="00A8551D">
        <w:rPr>
          <w:rFonts w:eastAsia="黑体" w:hint="eastAsia"/>
          <w:sz w:val="24"/>
          <w:szCs w:val="21"/>
        </w:rPr>
        <w:t xml:space="preserve"> </w:t>
      </w:r>
      <w:bookmarkStart w:id="54" w:name="_Hlk93435756"/>
      <w:r w:rsidRPr="00A8551D">
        <w:rPr>
          <w:rFonts w:eastAsia="黑体" w:hint="eastAsia"/>
          <w:sz w:val="24"/>
          <w:szCs w:val="21"/>
        </w:rPr>
        <w:t>双碳政策推演情景下</w:t>
      </w:r>
      <w:bookmarkEnd w:id="54"/>
      <w:r w:rsidRPr="00A8551D">
        <w:rPr>
          <w:rFonts w:eastAsia="黑体" w:hint="eastAsia"/>
          <w:sz w:val="24"/>
          <w:szCs w:val="21"/>
        </w:rPr>
        <w:t>不同燃料消耗趋势</w:t>
      </w:r>
    </w:p>
    <w:p w14:paraId="5E672107" w14:textId="77777777" w:rsidR="00755DFF" w:rsidRDefault="00755DFF" w:rsidP="00065AE0">
      <w:pPr>
        <w:ind w:firstLine="560"/>
      </w:pPr>
    </w:p>
    <w:p w14:paraId="6302E2C2" w14:textId="3702C7C0" w:rsidR="00B430B8" w:rsidRDefault="004E604F" w:rsidP="00065AE0">
      <w:pPr>
        <w:ind w:firstLine="560"/>
      </w:pPr>
      <w:r w:rsidRPr="004E604F">
        <w:rPr>
          <w:rFonts w:hint="eastAsia"/>
        </w:rPr>
        <w:t>双碳政策推演情景下</w:t>
      </w:r>
      <w:r>
        <w:rPr>
          <w:rFonts w:hint="eastAsia"/>
        </w:rPr>
        <w:t>，</w:t>
      </w:r>
      <w:r w:rsidRPr="000661BA">
        <w:rPr>
          <w:rFonts w:hint="eastAsia"/>
          <w:b/>
          <w:bCs/>
        </w:rPr>
        <w:t>到</w:t>
      </w:r>
      <w:r w:rsidRPr="000661BA">
        <w:rPr>
          <w:rFonts w:hint="eastAsia"/>
          <w:b/>
          <w:bCs/>
        </w:rPr>
        <w:t>2</w:t>
      </w:r>
      <w:r w:rsidRPr="000661BA">
        <w:rPr>
          <w:b/>
          <w:bCs/>
        </w:rPr>
        <w:t>060</w:t>
      </w:r>
      <w:r w:rsidRPr="000661BA">
        <w:rPr>
          <w:rFonts w:hint="eastAsia"/>
          <w:b/>
          <w:bCs/>
        </w:rPr>
        <w:t>年交通部门基本</w:t>
      </w:r>
      <w:r w:rsidR="000661BA" w:rsidRPr="000661BA">
        <w:rPr>
          <w:rFonts w:hint="eastAsia"/>
          <w:b/>
          <w:bCs/>
        </w:rPr>
        <w:t>实现“近零排放”。</w:t>
      </w:r>
      <w:r w:rsidR="001F5D77">
        <w:rPr>
          <w:rFonts w:hint="eastAsia"/>
        </w:rPr>
        <w:t>结合</w:t>
      </w:r>
      <w:r w:rsidR="00457D2F">
        <w:rPr>
          <w:rFonts w:hint="eastAsia"/>
        </w:rPr>
        <w:t>上文分析</w:t>
      </w:r>
      <w:r w:rsidR="000661BA">
        <w:rPr>
          <w:rFonts w:hint="eastAsia"/>
        </w:rPr>
        <w:t>预计到</w:t>
      </w:r>
      <w:r w:rsidR="000661BA">
        <w:rPr>
          <w:rFonts w:hint="eastAsia"/>
        </w:rPr>
        <w:t>2</w:t>
      </w:r>
      <w:r w:rsidR="000661BA">
        <w:t>060</w:t>
      </w:r>
      <w:r w:rsidR="000661BA">
        <w:rPr>
          <w:rFonts w:hint="eastAsia"/>
        </w:rPr>
        <w:t>年中国交通部门</w:t>
      </w:r>
      <w:r w:rsidR="00575327">
        <w:rPr>
          <w:rFonts w:hint="eastAsia"/>
        </w:rPr>
        <w:t>碳</w:t>
      </w:r>
      <w:r w:rsidR="000661BA">
        <w:rPr>
          <w:rFonts w:hint="eastAsia"/>
        </w:rPr>
        <w:t>排放</w:t>
      </w:r>
      <w:r w:rsidR="00575327">
        <w:rPr>
          <w:rFonts w:hint="eastAsia"/>
        </w:rPr>
        <w:t>达</w:t>
      </w:r>
      <w:r w:rsidR="000661BA">
        <w:rPr>
          <w:rFonts w:hint="eastAsia"/>
        </w:rPr>
        <w:t>2</w:t>
      </w:r>
      <w:r w:rsidR="008102C6">
        <w:rPr>
          <w:rFonts w:hint="eastAsia"/>
        </w:rPr>
        <w:t>亿</w:t>
      </w:r>
      <w:r w:rsidR="008102C6">
        <w:rPr>
          <w:rFonts w:hint="eastAsia"/>
        </w:rPr>
        <w:t>t</w:t>
      </w:r>
      <w:r w:rsidR="000661BA">
        <w:rPr>
          <w:rFonts w:hint="eastAsia"/>
        </w:rPr>
        <w:t>左右就能够保障国家碳排放目标的实现。</w:t>
      </w:r>
      <w:r w:rsidR="00015E87">
        <w:rPr>
          <w:rFonts w:hint="eastAsia"/>
        </w:rPr>
        <w:t>为依照</w:t>
      </w:r>
      <w:r w:rsidR="001F5D77">
        <w:rPr>
          <w:rFonts w:hint="eastAsia"/>
        </w:rPr>
        <w:t>前文影响因素设置的分析，</w:t>
      </w:r>
      <w:r w:rsidR="00015E87">
        <w:rPr>
          <w:rFonts w:hint="eastAsia"/>
        </w:rPr>
        <w:t>为确保</w:t>
      </w:r>
      <w:r w:rsidR="00015E87">
        <w:rPr>
          <w:rFonts w:hint="eastAsia"/>
        </w:rPr>
        <w:t>2</w:t>
      </w:r>
      <w:r w:rsidR="00015E87">
        <w:t>060</w:t>
      </w:r>
      <w:r w:rsidR="00015E87">
        <w:rPr>
          <w:rFonts w:hint="eastAsia"/>
        </w:rPr>
        <w:t>年交通部门实现“近零排放”，需要采取</w:t>
      </w:r>
      <w:r w:rsidR="005E5087">
        <w:rPr>
          <w:rFonts w:hint="eastAsia"/>
        </w:rPr>
        <w:t>实施强有力的低碳减排措施，</w:t>
      </w:r>
      <w:r w:rsidR="00015E87">
        <w:rPr>
          <w:rFonts w:hint="eastAsia"/>
        </w:rPr>
        <w:t>尤其是</w:t>
      </w:r>
      <w:r w:rsidR="00015E87">
        <w:rPr>
          <w:rFonts w:hint="eastAsia"/>
        </w:rPr>
        <w:t>2</w:t>
      </w:r>
      <w:r w:rsidR="00015E87">
        <w:t>03</w:t>
      </w:r>
      <w:r w:rsidR="00065AE0">
        <w:t>0</w:t>
      </w:r>
      <w:r w:rsidR="00015E87">
        <w:rPr>
          <w:rFonts w:hint="eastAsia"/>
        </w:rPr>
        <w:t>年后需要进一步加快运输</w:t>
      </w:r>
      <w:r w:rsidR="00DC6733">
        <w:rPr>
          <w:rFonts w:hint="eastAsia"/>
        </w:rPr>
        <w:t>结构调整力度</w:t>
      </w:r>
      <w:r w:rsidR="00BA5AAB">
        <w:rPr>
          <w:rFonts w:hint="eastAsia"/>
        </w:rPr>
        <w:t>、提供更多公共交通供给、</w:t>
      </w:r>
      <w:r w:rsidR="00065AE0">
        <w:rPr>
          <w:rFonts w:hint="eastAsia"/>
        </w:rPr>
        <w:t>推动</w:t>
      </w:r>
      <w:r w:rsidR="00BA5AAB">
        <w:rPr>
          <w:rFonts w:hint="eastAsia"/>
        </w:rPr>
        <w:t>自动驾驶等</w:t>
      </w:r>
      <w:r w:rsidR="00065AE0">
        <w:rPr>
          <w:rFonts w:hint="eastAsia"/>
        </w:rPr>
        <w:t>节能低碳</w:t>
      </w:r>
      <w:r w:rsidR="00BA5AAB">
        <w:rPr>
          <w:rFonts w:hint="eastAsia"/>
        </w:rPr>
        <w:t>新技术的应用，</w:t>
      </w:r>
      <w:r w:rsidR="00065AE0">
        <w:rPr>
          <w:rFonts w:hint="eastAsia"/>
        </w:rPr>
        <w:t>加块新能源运载工具的普及，具体对比如表</w:t>
      </w:r>
      <w:r w:rsidR="00755DFF">
        <w:rPr>
          <w:rFonts w:hint="eastAsia"/>
        </w:rPr>
        <w:t>4-</w:t>
      </w:r>
      <w:r w:rsidR="00755DFF">
        <w:t>6</w:t>
      </w:r>
      <w:r w:rsidR="00065AE0">
        <w:rPr>
          <w:rFonts w:hint="eastAsia"/>
        </w:rPr>
        <w:t>所示。</w:t>
      </w:r>
    </w:p>
    <w:p w14:paraId="2D3AE0FB" w14:textId="77777777" w:rsidR="007A5571" w:rsidRDefault="007A5571" w:rsidP="007A5571">
      <w:pPr>
        <w:ind w:firstLineChars="0" w:firstLine="0"/>
        <w:sectPr w:rsidR="007A5571" w:rsidSect="00B01D38">
          <w:pgSz w:w="11906" w:h="16838"/>
          <w:pgMar w:top="1440" w:right="1800" w:bottom="1440" w:left="1800" w:header="851" w:footer="992" w:gutter="0"/>
          <w:pgNumType w:fmt="numberInDash"/>
          <w:cols w:space="425"/>
          <w:docGrid w:type="lines" w:linePitch="312"/>
        </w:sectPr>
      </w:pPr>
    </w:p>
    <w:p w14:paraId="7DA5B542" w14:textId="10CA0F65" w:rsidR="00065AE0" w:rsidRPr="00755DFF" w:rsidRDefault="007A5571" w:rsidP="007A5571">
      <w:pPr>
        <w:ind w:firstLineChars="0" w:firstLine="0"/>
        <w:jc w:val="center"/>
        <w:rPr>
          <w:rFonts w:eastAsia="黑体"/>
          <w:sz w:val="24"/>
          <w:szCs w:val="21"/>
        </w:rPr>
      </w:pPr>
      <w:r w:rsidRPr="00755DFF">
        <w:rPr>
          <w:rFonts w:eastAsia="黑体"/>
          <w:sz w:val="24"/>
          <w:szCs w:val="21"/>
        </w:rPr>
        <w:lastRenderedPageBreak/>
        <w:t>表</w:t>
      </w:r>
      <w:r w:rsidRPr="00755DFF">
        <w:rPr>
          <w:rFonts w:eastAsia="黑体"/>
          <w:sz w:val="24"/>
          <w:szCs w:val="21"/>
        </w:rPr>
        <w:t xml:space="preserve"> 4-6 </w:t>
      </w:r>
      <w:r w:rsidRPr="00755DFF">
        <w:rPr>
          <w:rFonts w:eastAsia="黑体"/>
          <w:sz w:val="24"/>
          <w:szCs w:val="21"/>
        </w:rPr>
        <w:t>双碳政策推演情景下</w:t>
      </w:r>
      <w:r w:rsidR="00C41219" w:rsidRPr="00755DFF">
        <w:rPr>
          <w:rFonts w:eastAsia="黑体" w:hint="eastAsia"/>
          <w:sz w:val="24"/>
          <w:szCs w:val="21"/>
        </w:rPr>
        <w:t>不同时间节点政策对比</w:t>
      </w:r>
    </w:p>
    <w:tbl>
      <w:tblPr>
        <w:tblW w:w="5000" w:type="pct"/>
        <w:tblLook w:val="04A0" w:firstRow="1" w:lastRow="0" w:firstColumn="1" w:lastColumn="0" w:noHBand="0" w:noVBand="1"/>
      </w:tblPr>
      <w:tblGrid>
        <w:gridCol w:w="1100"/>
        <w:gridCol w:w="786"/>
        <w:gridCol w:w="3077"/>
        <w:gridCol w:w="4391"/>
        <w:gridCol w:w="4594"/>
      </w:tblGrid>
      <w:tr w:rsidR="00C41219" w:rsidRPr="007A5571" w14:paraId="1D209CDC" w14:textId="77777777" w:rsidTr="00C41219">
        <w:trPr>
          <w:trHeight w:val="288"/>
          <w:tblHeader/>
        </w:trPr>
        <w:tc>
          <w:tcPr>
            <w:tcW w:w="1778"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5A61C6C" w14:textId="77777777" w:rsidR="007A5571" w:rsidRPr="007A5571" w:rsidRDefault="007A5571" w:rsidP="007A5571">
            <w:pPr>
              <w:widowControl/>
              <w:spacing w:line="240" w:lineRule="auto"/>
              <w:ind w:firstLineChars="0" w:firstLine="0"/>
              <w:jc w:val="center"/>
              <w:rPr>
                <w:rFonts w:ascii="楷体" w:eastAsia="楷体" w:hAnsi="楷体"/>
                <w:b/>
                <w:bCs/>
                <w:color w:val="000000"/>
                <w:kern w:val="0"/>
                <w:sz w:val="22"/>
              </w:rPr>
            </w:pPr>
            <w:r w:rsidRPr="007A5571">
              <w:rPr>
                <w:rFonts w:ascii="楷体" w:eastAsia="楷体" w:hAnsi="楷体" w:hint="eastAsia"/>
                <w:b/>
                <w:bCs/>
                <w:color w:val="000000"/>
                <w:kern w:val="0"/>
                <w:sz w:val="22"/>
              </w:rPr>
              <w:t>具体参数</w:t>
            </w:r>
          </w:p>
        </w:tc>
        <w:tc>
          <w:tcPr>
            <w:tcW w:w="1574" w:type="pct"/>
            <w:tcBorders>
              <w:top w:val="single" w:sz="4" w:space="0" w:color="auto"/>
              <w:left w:val="nil"/>
              <w:bottom w:val="single" w:sz="4" w:space="0" w:color="auto"/>
              <w:right w:val="single" w:sz="4" w:space="0" w:color="auto"/>
            </w:tcBorders>
            <w:shd w:val="clear" w:color="auto" w:fill="auto"/>
            <w:noWrap/>
            <w:vAlign w:val="center"/>
            <w:hideMark/>
          </w:tcPr>
          <w:p w14:paraId="309D3C91" w14:textId="77777777" w:rsidR="007A5571" w:rsidRPr="007A5571" w:rsidRDefault="007A5571" w:rsidP="007A5571">
            <w:pPr>
              <w:widowControl/>
              <w:spacing w:line="240" w:lineRule="auto"/>
              <w:ind w:firstLineChars="0" w:firstLine="0"/>
              <w:jc w:val="center"/>
              <w:rPr>
                <w:rFonts w:eastAsia="宋体"/>
                <w:b/>
                <w:bCs/>
                <w:color w:val="000000"/>
                <w:kern w:val="0"/>
                <w:sz w:val="22"/>
              </w:rPr>
            </w:pPr>
            <w:r w:rsidRPr="007A5571">
              <w:rPr>
                <w:rFonts w:eastAsia="宋体"/>
                <w:b/>
                <w:bCs/>
                <w:color w:val="000000"/>
                <w:kern w:val="0"/>
                <w:sz w:val="22"/>
              </w:rPr>
              <w:t>2030</w:t>
            </w:r>
            <w:r w:rsidRPr="007A5571">
              <w:rPr>
                <w:rFonts w:ascii="楷体" w:eastAsia="楷体" w:hAnsi="楷体" w:hint="eastAsia"/>
                <w:b/>
                <w:bCs/>
                <w:color w:val="000000"/>
                <w:kern w:val="0"/>
                <w:sz w:val="22"/>
              </w:rPr>
              <w:t>年前</w:t>
            </w:r>
          </w:p>
        </w:tc>
        <w:tc>
          <w:tcPr>
            <w:tcW w:w="1648" w:type="pct"/>
            <w:tcBorders>
              <w:top w:val="single" w:sz="4" w:space="0" w:color="auto"/>
              <w:left w:val="nil"/>
              <w:bottom w:val="single" w:sz="4" w:space="0" w:color="auto"/>
              <w:right w:val="single" w:sz="4" w:space="0" w:color="auto"/>
            </w:tcBorders>
            <w:shd w:val="clear" w:color="auto" w:fill="auto"/>
            <w:noWrap/>
            <w:vAlign w:val="center"/>
            <w:hideMark/>
          </w:tcPr>
          <w:p w14:paraId="1B295EA5" w14:textId="77777777" w:rsidR="007A5571" w:rsidRPr="007A5571" w:rsidRDefault="007A5571" w:rsidP="007A5571">
            <w:pPr>
              <w:widowControl/>
              <w:spacing w:line="240" w:lineRule="auto"/>
              <w:ind w:firstLineChars="0" w:firstLine="0"/>
              <w:jc w:val="center"/>
              <w:rPr>
                <w:rFonts w:eastAsia="宋体"/>
                <w:b/>
                <w:bCs/>
                <w:color w:val="000000"/>
                <w:kern w:val="0"/>
                <w:sz w:val="22"/>
              </w:rPr>
            </w:pPr>
            <w:r w:rsidRPr="007A5571">
              <w:rPr>
                <w:rFonts w:eastAsia="宋体"/>
                <w:b/>
                <w:bCs/>
                <w:color w:val="000000"/>
                <w:kern w:val="0"/>
                <w:sz w:val="22"/>
              </w:rPr>
              <w:t>2031-2060</w:t>
            </w:r>
            <w:r w:rsidRPr="007A5571">
              <w:rPr>
                <w:rFonts w:ascii="楷体" w:eastAsia="楷体" w:hAnsi="楷体" w:hint="eastAsia"/>
                <w:b/>
                <w:bCs/>
                <w:color w:val="000000"/>
                <w:kern w:val="0"/>
                <w:sz w:val="22"/>
              </w:rPr>
              <w:t>年</w:t>
            </w:r>
          </w:p>
        </w:tc>
      </w:tr>
      <w:tr w:rsidR="00C41219" w:rsidRPr="007A5571" w14:paraId="6A98D11A" w14:textId="77777777" w:rsidTr="00C41219">
        <w:trPr>
          <w:trHeight w:val="288"/>
        </w:trPr>
        <w:tc>
          <w:tcPr>
            <w:tcW w:w="39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72E7140" w14:textId="77777777" w:rsidR="007A5571" w:rsidRPr="007A5571" w:rsidRDefault="007A5571" w:rsidP="007A5571">
            <w:pPr>
              <w:widowControl/>
              <w:spacing w:line="240" w:lineRule="auto"/>
              <w:ind w:firstLineChars="0" w:firstLine="0"/>
              <w:jc w:val="center"/>
              <w:rPr>
                <w:rFonts w:eastAsia="宋体"/>
                <w:b/>
                <w:bCs/>
                <w:color w:val="000000"/>
                <w:kern w:val="0"/>
                <w:sz w:val="22"/>
              </w:rPr>
            </w:pPr>
            <w:r w:rsidRPr="007A5571">
              <w:rPr>
                <w:rFonts w:ascii="楷体" w:eastAsia="楷体" w:hAnsi="楷体" w:hint="eastAsia"/>
                <w:b/>
                <w:bCs/>
                <w:color w:val="000000"/>
                <w:kern w:val="0"/>
                <w:sz w:val="22"/>
              </w:rPr>
              <w:t>结构因素</w:t>
            </w:r>
          </w:p>
        </w:tc>
        <w:tc>
          <w:tcPr>
            <w:tcW w:w="281" w:type="pct"/>
            <w:vMerge w:val="restart"/>
            <w:tcBorders>
              <w:top w:val="nil"/>
              <w:left w:val="single" w:sz="4" w:space="0" w:color="auto"/>
              <w:bottom w:val="single" w:sz="4" w:space="0" w:color="000000"/>
              <w:right w:val="single" w:sz="4" w:space="0" w:color="auto"/>
            </w:tcBorders>
            <w:shd w:val="clear" w:color="auto" w:fill="auto"/>
            <w:vAlign w:val="center"/>
            <w:hideMark/>
          </w:tcPr>
          <w:p w14:paraId="1BBB691D" w14:textId="77777777" w:rsidR="007A5571" w:rsidRPr="007A5571" w:rsidRDefault="007A5571" w:rsidP="007A5571">
            <w:pPr>
              <w:widowControl/>
              <w:spacing w:line="240" w:lineRule="auto"/>
              <w:ind w:firstLineChars="0" w:firstLine="0"/>
              <w:jc w:val="center"/>
              <w:rPr>
                <w:rFonts w:eastAsia="宋体"/>
                <w:b/>
                <w:bCs/>
                <w:color w:val="000000"/>
                <w:kern w:val="0"/>
                <w:sz w:val="22"/>
              </w:rPr>
            </w:pPr>
            <w:r w:rsidRPr="007A5571">
              <w:rPr>
                <w:rFonts w:ascii="楷体" w:eastAsia="楷体" w:hAnsi="楷体" w:hint="eastAsia"/>
                <w:b/>
                <w:bCs/>
                <w:color w:val="000000"/>
                <w:kern w:val="0"/>
                <w:sz w:val="22"/>
              </w:rPr>
              <w:t>货物运输结构优化</w:t>
            </w:r>
          </w:p>
        </w:tc>
        <w:tc>
          <w:tcPr>
            <w:tcW w:w="1103" w:type="pct"/>
            <w:tcBorders>
              <w:top w:val="nil"/>
              <w:left w:val="nil"/>
              <w:bottom w:val="single" w:sz="4" w:space="0" w:color="auto"/>
              <w:right w:val="single" w:sz="4" w:space="0" w:color="auto"/>
            </w:tcBorders>
            <w:shd w:val="clear" w:color="auto" w:fill="auto"/>
            <w:noWrap/>
            <w:vAlign w:val="center"/>
            <w:hideMark/>
          </w:tcPr>
          <w:p w14:paraId="7FBC2E3C" w14:textId="5F5723F6"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公路到铁路货运的模式转变</w:t>
            </w:r>
          </w:p>
        </w:tc>
        <w:tc>
          <w:tcPr>
            <w:tcW w:w="1574" w:type="pct"/>
            <w:tcBorders>
              <w:top w:val="nil"/>
              <w:left w:val="nil"/>
              <w:bottom w:val="single" w:sz="4" w:space="0" w:color="auto"/>
              <w:right w:val="single" w:sz="4" w:space="0" w:color="auto"/>
            </w:tcBorders>
            <w:shd w:val="clear" w:color="auto" w:fill="auto"/>
            <w:noWrap/>
            <w:vAlign w:val="center"/>
            <w:hideMark/>
          </w:tcPr>
          <w:p w14:paraId="7146B68B" w14:textId="729BCDCD"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相比于</w:t>
            </w:r>
            <w:r w:rsidRPr="007A5571">
              <w:rPr>
                <w:rFonts w:eastAsia="宋体"/>
                <w:color w:val="000000"/>
                <w:kern w:val="0"/>
                <w:sz w:val="22"/>
              </w:rPr>
              <w:t>2020</w:t>
            </w:r>
            <w:r w:rsidRPr="007A5571">
              <w:rPr>
                <w:rFonts w:ascii="楷体" w:eastAsia="楷体" w:hAnsi="楷体" w:hint="eastAsia"/>
                <w:color w:val="000000"/>
                <w:kern w:val="0"/>
                <w:sz w:val="22"/>
              </w:rPr>
              <w:t>年增长</w:t>
            </w:r>
            <w:r w:rsidRPr="007A5571">
              <w:rPr>
                <w:rFonts w:eastAsia="宋体"/>
                <w:color w:val="000000"/>
                <w:kern w:val="0"/>
                <w:sz w:val="22"/>
              </w:rPr>
              <w:t>10</w:t>
            </w:r>
            <w:r w:rsidR="008102C6">
              <w:rPr>
                <w:rFonts w:ascii="楷体" w:eastAsia="楷体" w:hAnsi="楷体" w:hint="eastAsia"/>
                <w:color w:val="000000"/>
                <w:kern w:val="0"/>
                <w:sz w:val="22"/>
              </w:rPr>
              <w:t>亿t</w:t>
            </w:r>
          </w:p>
        </w:tc>
        <w:tc>
          <w:tcPr>
            <w:tcW w:w="1648" w:type="pct"/>
            <w:tcBorders>
              <w:top w:val="nil"/>
              <w:left w:val="nil"/>
              <w:bottom w:val="single" w:sz="4" w:space="0" w:color="auto"/>
              <w:right w:val="single" w:sz="4" w:space="0" w:color="auto"/>
            </w:tcBorders>
            <w:shd w:val="clear" w:color="auto" w:fill="auto"/>
            <w:noWrap/>
            <w:vAlign w:val="center"/>
            <w:hideMark/>
          </w:tcPr>
          <w:p w14:paraId="40D5F15A" w14:textId="69CF7094"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eastAsia="宋体"/>
                <w:color w:val="000000"/>
                <w:kern w:val="0"/>
                <w:sz w:val="22"/>
              </w:rPr>
              <w:t>2030</w:t>
            </w:r>
            <w:r w:rsidRPr="007A5571">
              <w:rPr>
                <w:rFonts w:ascii="楷体" w:eastAsia="楷体" w:hAnsi="楷体" w:hint="eastAsia"/>
                <w:color w:val="000000"/>
                <w:kern w:val="0"/>
                <w:sz w:val="22"/>
              </w:rPr>
              <w:t>年后仍需增长</w:t>
            </w:r>
            <w:r w:rsidRPr="007A5571">
              <w:rPr>
                <w:rFonts w:eastAsia="宋体"/>
                <w:color w:val="000000"/>
                <w:kern w:val="0"/>
                <w:sz w:val="22"/>
              </w:rPr>
              <w:t>15</w:t>
            </w:r>
            <w:r w:rsidR="008102C6">
              <w:rPr>
                <w:rFonts w:ascii="楷体" w:eastAsia="楷体" w:hAnsi="楷体" w:hint="eastAsia"/>
                <w:color w:val="000000"/>
                <w:kern w:val="0"/>
                <w:sz w:val="22"/>
              </w:rPr>
              <w:t>亿t</w:t>
            </w:r>
          </w:p>
        </w:tc>
      </w:tr>
      <w:tr w:rsidR="00C41219" w:rsidRPr="007A5571" w14:paraId="69DCEAA0" w14:textId="77777777" w:rsidTr="00C41219">
        <w:trPr>
          <w:trHeight w:val="288"/>
        </w:trPr>
        <w:tc>
          <w:tcPr>
            <w:tcW w:w="394" w:type="pct"/>
            <w:vMerge/>
            <w:tcBorders>
              <w:top w:val="nil"/>
              <w:left w:val="single" w:sz="4" w:space="0" w:color="auto"/>
              <w:bottom w:val="single" w:sz="4" w:space="0" w:color="000000"/>
              <w:right w:val="single" w:sz="4" w:space="0" w:color="auto"/>
            </w:tcBorders>
            <w:vAlign w:val="center"/>
            <w:hideMark/>
          </w:tcPr>
          <w:p w14:paraId="039AB042" w14:textId="77777777" w:rsidR="007A5571" w:rsidRPr="007A5571" w:rsidRDefault="007A5571" w:rsidP="007A5571">
            <w:pPr>
              <w:widowControl/>
              <w:spacing w:line="240" w:lineRule="auto"/>
              <w:ind w:firstLineChars="0" w:firstLine="0"/>
              <w:jc w:val="left"/>
              <w:rPr>
                <w:rFonts w:eastAsia="宋体"/>
                <w:b/>
                <w:bCs/>
                <w:color w:val="000000"/>
                <w:kern w:val="0"/>
                <w:sz w:val="22"/>
              </w:rPr>
            </w:pPr>
          </w:p>
        </w:tc>
        <w:tc>
          <w:tcPr>
            <w:tcW w:w="281" w:type="pct"/>
            <w:vMerge/>
            <w:tcBorders>
              <w:top w:val="nil"/>
              <w:left w:val="single" w:sz="4" w:space="0" w:color="auto"/>
              <w:bottom w:val="single" w:sz="4" w:space="0" w:color="000000"/>
              <w:right w:val="single" w:sz="4" w:space="0" w:color="auto"/>
            </w:tcBorders>
            <w:vAlign w:val="center"/>
            <w:hideMark/>
          </w:tcPr>
          <w:p w14:paraId="60689756" w14:textId="77777777" w:rsidR="007A5571" w:rsidRPr="007A5571" w:rsidRDefault="007A5571" w:rsidP="007A5571">
            <w:pPr>
              <w:widowControl/>
              <w:spacing w:line="240" w:lineRule="auto"/>
              <w:ind w:firstLineChars="0" w:firstLine="0"/>
              <w:jc w:val="left"/>
              <w:rPr>
                <w:rFonts w:eastAsia="宋体"/>
                <w:b/>
                <w:bCs/>
                <w:color w:val="000000"/>
                <w:kern w:val="0"/>
                <w:sz w:val="22"/>
              </w:rPr>
            </w:pPr>
          </w:p>
        </w:tc>
        <w:tc>
          <w:tcPr>
            <w:tcW w:w="1103" w:type="pct"/>
            <w:tcBorders>
              <w:top w:val="nil"/>
              <w:left w:val="nil"/>
              <w:bottom w:val="single" w:sz="4" w:space="0" w:color="auto"/>
              <w:right w:val="single" w:sz="4" w:space="0" w:color="auto"/>
            </w:tcBorders>
            <w:shd w:val="clear" w:color="auto" w:fill="auto"/>
            <w:noWrap/>
            <w:vAlign w:val="center"/>
            <w:hideMark/>
          </w:tcPr>
          <w:p w14:paraId="2782A366" w14:textId="2D0B6DE8"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公路到内河货运的模式转变</w:t>
            </w:r>
          </w:p>
        </w:tc>
        <w:tc>
          <w:tcPr>
            <w:tcW w:w="1574" w:type="pct"/>
            <w:tcBorders>
              <w:top w:val="nil"/>
              <w:left w:val="nil"/>
              <w:bottom w:val="single" w:sz="4" w:space="0" w:color="auto"/>
              <w:right w:val="single" w:sz="4" w:space="0" w:color="auto"/>
            </w:tcBorders>
            <w:shd w:val="clear" w:color="auto" w:fill="auto"/>
            <w:noWrap/>
            <w:vAlign w:val="center"/>
            <w:hideMark/>
          </w:tcPr>
          <w:p w14:paraId="59C33BC5" w14:textId="78982BE0"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相比于</w:t>
            </w:r>
            <w:r w:rsidRPr="007A5571">
              <w:rPr>
                <w:rFonts w:eastAsia="宋体"/>
                <w:color w:val="000000"/>
                <w:kern w:val="0"/>
                <w:sz w:val="22"/>
              </w:rPr>
              <w:t>2020</w:t>
            </w:r>
            <w:r w:rsidRPr="007A5571">
              <w:rPr>
                <w:rFonts w:ascii="楷体" w:eastAsia="楷体" w:hAnsi="楷体" w:hint="eastAsia"/>
                <w:color w:val="000000"/>
                <w:kern w:val="0"/>
                <w:sz w:val="22"/>
              </w:rPr>
              <w:t>年增长</w:t>
            </w:r>
            <w:r w:rsidRPr="007A5571">
              <w:rPr>
                <w:rFonts w:eastAsia="宋体"/>
                <w:color w:val="000000"/>
                <w:kern w:val="0"/>
                <w:sz w:val="22"/>
              </w:rPr>
              <w:t>8</w:t>
            </w:r>
            <w:r w:rsidR="008102C6">
              <w:rPr>
                <w:rFonts w:ascii="楷体" w:eastAsia="楷体" w:hAnsi="楷体" w:hint="eastAsia"/>
                <w:color w:val="000000"/>
                <w:kern w:val="0"/>
                <w:sz w:val="22"/>
              </w:rPr>
              <w:t>亿t</w:t>
            </w:r>
          </w:p>
        </w:tc>
        <w:tc>
          <w:tcPr>
            <w:tcW w:w="1648" w:type="pct"/>
            <w:tcBorders>
              <w:top w:val="nil"/>
              <w:left w:val="nil"/>
              <w:bottom w:val="single" w:sz="4" w:space="0" w:color="auto"/>
              <w:right w:val="single" w:sz="4" w:space="0" w:color="auto"/>
            </w:tcBorders>
            <w:shd w:val="clear" w:color="auto" w:fill="auto"/>
            <w:noWrap/>
            <w:vAlign w:val="center"/>
            <w:hideMark/>
          </w:tcPr>
          <w:p w14:paraId="31D8EBDA" w14:textId="00341672"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eastAsia="宋体"/>
                <w:color w:val="000000"/>
                <w:kern w:val="0"/>
                <w:sz w:val="22"/>
              </w:rPr>
              <w:t>2030</w:t>
            </w:r>
            <w:r w:rsidRPr="007A5571">
              <w:rPr>
                <w:rFonts w:ascii="楷体" w:eastAsia="楷体" w:hAnsi="楷体" w:hint="eastAsia"/>
                <w:color w:val="000000"/>
                <w:kern w:val="0"/>
                <w:sz w:val="22"/>
              </w:rPr>
              <w:t>年后仍需增长</w:t>
            </w:r>
            <w:r w:rsidRPr="007A5571">
              <w:rPr>
                <w:rFonts w:eastAsia="宋体"/>
                <w:color w:val="000000"/>
                <w:kern w:val="0"/>
                <w:sz w:val="22"/>
              </w:rPr>
              <w:t>12</w:t>
            </w:r>
            <w:r w:rsidR="008102C6">
              <w:rPr>
                <w:rFonts w:ascii="楷体" w:eastAsia="楷体" w:hAnsi="楷体" w:hint="eastAsia"/>
                <w:color w:val="000000"/>
                <w:kern w:val="0"/>
                <w:sz w:val="22"/>
              </w:rPr>
              <w:t>亿t</w:t>
            </w:r>
          </w:p>
        </w:tc>
      </w:tr>
      <w:tr w:rsidR="00C41219" w:rsidRPr="007A5571" w14:paraId="6F7E8A96" w14:textId="77777777" w:rsidTr="00C41219">
        <w:trPr>
          <w:trHeight w:val="288"/>
        </w:trPr>
        <w:tc>
          <w:tcPr>
            <w:tcW w:w="394" w:type="pct"/>
            <w:vMerge/>
            <w:tcBorders>
              <w:top w:val="nil"/>
              <w:left w:val="single" w:sz="4" w:space="0" w:color="auto"/>
              <w:bottom w:val="single" w:sz="4" w:space="0" w:color="000000"/>
              <w:right w:val="single" w:sz="4" w:space="0" w:color="auto"/>
            </w:tcBorders>
            <w:vAlign w:val="center"/>
            <w:hideMark/>
          </w:tcPr>
          <w:p w14:paraId="5B21F38F" w14:textId="77777777" w:rsidR="007A5571" w:rsidRPr="007A5571" w:rsidRDefault="007A5571" w:rsidP="007A5571">
            <w:pPr>
              <w:widowControl/>
              <w:spacing w:line="240" w:lineRule="auto"/>
              <w:ind w:firstLineChars="0" w:firstLine="0"/>
              <w:jc w:val="left"/>
              <w:rPr>
                <w:rFonts w:eastAsia="宋体"/>
                <w:b/>
                <w:bCs/>
                <w:color w:val="000000"/>
                <w:kern w:val="0"/>
                <w:sz w:val="22"/>
              </w:rPr>
            </w:pPr>
          </w:p>
        </w:tc>
        <w:tc>
          <w:tcPr>
            <w:tcW w:w="281" w:type="pct"/>
            <w:vMerge/>
            <w:tcBorders>
              <w:top w:val="nil"/>
              <w:left w:val="single" w:sz="4" w:space="0" w:color="auto"/>
              <w:bottom w:val="single" w:sz="4" w:space="0" w:color="000000"/>
              <w:right w:val="single" w:sz="4" w:space="0" w:color="auto"/>
            </w:tcBorders>
            <w:vAlign w:val="center"/>
            <w:hideMark/>
          </w:tcPr>
          <w:p w14:paraId="4089A352" w14:textId="77777777" w:rsidR="007A5571" w:rsidRPr="007A5571" w:rsidRDefault="007A5571" w:rsidP="007A5571">
            <w:pPr>
              <w:widowControl/>
              <w:spacing w:line="240" w:lineRule="auto"/>
              <w:ind w:firstLineChars="0" w:firstLine="0"/>
              <w:jc w:val="left"/>
              <w:rPr>
                <w:rFonts w:eastAsia="宋体"/>
                <w:b/>
                <w:bCs/>
                <w:color w:val="000000"/>
                <w:kern w:val="0"/>
                <w:sz w:val="22"/>
              </w:rPr>
            </w:pPr>
          </w:p>
        </w:tc>
        <w:tc>
          <w:tcPr>
            <w:tcW w:w="1103" w:type="pct"/>
            <w:tcBorders>
              <w:top w:val="nil"/>
              <w:left w:val="nil"/>
              <w:bottom w:val="single" w:sz="4" w:space="0" w:color="auto"/>
              <w:right w:val="single" w:sz="4" w:space="0" w:color="auto"/>
            </w:tcBorders>
            <w:shd w:val="clear" w:color="auto" w:fill="auto"/>
            <w:noWrap/>
            <w:vAlign w:val="center"/>
            <w:hideMark/>
          </w:tcPr>
          <w:p w14:paraId="7B4B499E" w14:textId="2A843972"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公路到沿海货运的模式转变</w:t>
            </w:r>
          </w:p>
        </w:tc>
        <w:tc>
          <w:tcPr>
            <w:tcW w:w="1574" w:type="pct"/>
            <w:tcBorders>
              <w:top w:val="nil"/>
              <w:left w:val="nil"/>
              <w:bottom w:val="single" w:sz="4" w:space="0" w:color="auto"/>
              <w:right w:val="single" w:sz="4" w:space="0" w:color="auto"/>
            </w:tcBorders>
            <w:shd w:val="clear" w:color="auto" w:fill="auto"/>
            <w:noWrap/>
            <w:vAlign w:val="center"/>
            <w:hideMark/>
          </w:tcPr>
          <w:p w14:paraId="12542185" w14:textId="68161306"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相比于</w:t>
            </w:r>
            <w:r w:rsidRPr="007A5571">
              <w:rPr>
                <w:rFonts w:eastAsia="宋体"/>
                <w:color w:val="000000"/>
                <w:kern w:val="0"/>
                <w:sz w:val="22"/>
              </w:rPr>
              <w:t>2020</w:t>
            </w:r>
            <w:r w:rsidRPr="007A5571">
              <w:rPr>
                <w:rFonts w:ascii="楷体" w:eastAsia="楷体" w:hAnsi="楷体" w:hint="eastAsia"/>
                <w:color w:val="000000"/>
                <w:kern w:val="0"/>
                <w:sz w:val="22"/>
              </w:rPr>
              <w:t>年增长</w:t>
            </w:r>
            <w:r w:rsidRPr="007A5571">
              <w:rPr>
                <w:rFonts w:eastAsia="宋体"/>
                <w:color w:val="000000"/>
                <w:kern w:val="0"/>
                <w:sz w:val="22"/>
              </w:rPr>
              <w:t>5</w:t>
            </w:r>
            <w:r w:rsidR="008102C6">
              <w:rPr>
                <w:rFonts w:ascii="楷体" w:eastAsia="楷体" w:hAnsi="楷体" w:hint="eastAsia"/>
                <w:color w:val="000000"/>
                <w:kern w:val="0"/>
                <w:sz w:val="22"/>
              </w:rPr>
              <w:t>亿t</w:t>
            </w:r>
          </w:p>
        </w:tc>
        <w:tc>
          <w:tcPr>
            <w:tcW w:w="1648" w:type="pct"/>
            <w:tcBorders>
              <w:top w:val="nil"/>
              <w:left w:val="nil"/>
              <w:bottom w:val="single" w:sz="4" w:space="0" w:color="auto"/>
              <w:right w:val="single" w:sz="4" w:space="0" w:color="auto"/>
            </w:tcBorders>
            <w:shd w:val="clear" w:color="auto" w:fill="auto"/>
            <w:noWrap/>
            <w:vAlign w:val="center"/>
            <w:hideMark/>
          </w:tcPr>
          <w:p w14:paraId="4096AD2E" w14:textId="2E1023A9"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eastAsia="宋体"/>
                <w:color w:val="000000"/>
                <w:kern w:val="0"/>
                <w:sz w:val="22"/>
              </w:rPr>
              <w:t>2030</w:t>
            </w:r>
            <w:r w:rsidRPr="007A5571">
              <w:rPr>
                <w:rFonts w:ascii="楷体" w:eastAsia="楷体" w:hAnsi="楷体" w:hint="eastAsia"/>
                <w:color w:val="000000"/>
                <w:kern w:val="0"/>
                <w:sz w:val="22"/>
              </w:rPr>
              <w:t>年后仍需增长</w:t>
            </w:r>
            <w:r w:rsidRPr="007A5571">
              <w:rPr>
                <w:rFonts w:eastAsia="宋体"/>
                <w:color w:val="000000"/>
                <w:kern w:val="0"/>
                <w:sz w:val="22"/>
              </w:rPr>
              <w:t>7</w:t>
            </w:r>
            <w:r w:rsidR="008102C6">
              <w:rPr>
                <w:rFonts w:ascii="楷体" w:eastAsia="楷体" w:hAnsi="楷体" w:hint="eastAsia"/>
                <w:color w:val="000000"/>
                <w:kern w:val="0"/>
                <w:sz w:val="22"/>
              </w:rPr>
              <w:t>亿t</w:t>
            </w:r>
          </w:p>
        </w:tc>
      </w:tr>
      <w:tr w:rsidR="00C41219" w:rsidRPr="007A5571" w14:paraId="5C2E61D0" w14:textId="77777777" w:rsidTr="00C41219">
        <w:trPr>
          <w:trHeight w:val="564"/>
        </w:trPr>
        <w:tc>
          <w:tcPr>
            <w:tcW w:w="394" w:type="pct"/>
            <w:vMerge/>
            <w:tcBorders>
              <w:top w:val="nil"/>
              <w:left w:val="single" w:sz="4" w:space="0" w:color="auto"/>
              <w:bottom w:val="single" w:sz="4" w:space="0" w:color="000000"/>
              <w:right w:val="single" w:sz="4" w:space="0" w:color="auto"/>
            </w:tcBorders>
            <w:vAlign w:val="center"/>
            <w:hideMark/>
          </w:tcPr>
          <w:p w14:paraId="64978444" w14:textId="77777777" w:rsidR="007A5571" w:rsidRPr="007A5571" w:rsidRDefault="007A5571" w:rsidP="007A5571">
            <w:pPr>
              <w:widowControl/>
              <w:spacing w:line="240" w:lineRule="auto"/>
              <w:ind w:firstLineChars="0" w:firstLine="0"/>
              <w:jc w:val="left"/>
              <w:rPr>
                <w:rFonts w:eastAsia="宋体"/>
                <w:b/>
                <w:bCs/>
                <w:color w:val="000000"/>
                <w:kern w:val="0"/>
                <w:sz w:val="22"/>
              </w:rPr>
            </w:pPr>
          </w:p>
        </w:tc>
        <w:tc>
          <w:tcPr>
            <w:tcW w:w="281" w:type="pct"/>
            <w:vMerge w:val="restart"/>
            <w:tcBorders>
              <w:top w:val="nil"/>
              <w:left w:val="single" w:sz="4" w:space="0" w:color="auto"/>
              <w:bottom w:val="single" w:sz="4" w:space="0" w:color="000000"/>
              <w:right w:val="single" w:sz="4" w:space="0" w:color="auto"/>
            </w:tcBorders>
            <w:shd w:val="clear" w:color="auto" w:fill="auto"/>
            <w:vAlign w:val="center"/>
            <w:hideMark/>
          </w:tcPr>
          <w:p w14:paraId="23BA1493" w14:textId="77777777" w:rsidR="007A5571" w:rsidRPr="007A5571" w:rsidRDefault="007A5571" w:rsidP="007A5571">
            <w:pPr>
              <w:widowControl/>
              <w:spacing w:line="240" w:lineRule="auto"/>
              <w:ind w:firstLineChars="0" w:firstLine="0"/>
              <w:jc w:val="center"/>
              <w:rPr>
                <w:rFonts w:eastAsia="宋体"/>
                <w:b/>
                <w:bCs/>
                <w:color w:val="000000"/>
                <w:kern w:val="0"/>
                <w:sz w:val="22"/>
              </w:rPr>
            </w:pPr>
            <w:r w:rsidRPr="007A5571">
              <w:rPr>
                <w:rFonts w:ascii="楷体" w:eastAsia="楷体" w:hAnsi="楷体" w:hint="eastAsia"/>
                <w:b/>
                <w:bCs/>
                <w:color w:val="000000"/>
                <w:kern w:val="0"/>
                <w:sz w:val="22"/>
              </w:rPr>
              <w:t>公共交通供给增长</w:t>
            </w:r>
          </w:p>
        </w:tc>
        <w:tc>
          <w:tcPr>
            <w:tcW w:w="1103" w:type="pct"/>
            <w:tcBorders>
              <w:top w:val="nil"/>
              <w:left w:val="nil"/>
              <w:bottom w:val="single" w:sz="4" w:space="0" w:color="auto"/>
              <w:right w:val="single" w:sz="4" w:space="0" w:color="auto"/>
            </w:tcBorders>
            <w:shd w:val="clear" w:color="auto" w:fill="auto"/>
            <w:vAlign w:val="center"/>
            <w:hideMark/>
          </w:tcPr>
          <w:p w14:paraId="34B40626"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eastAsia="宋体"/>
                <w:color w:val="000000"/>
                <w:kern w:val="0"/>
                <w:sz w:val="22"/>
              </w:rPr>
              <w:t>BRT</w:t>
            </w:r>
            <w:r w:rsidRPr="007A5571">
              <w:rPr>
                <w:rFonts w:ascii="楷体" w:eastAsia="楷体" w:hAnsi="楷体" w:hint="eastAsia"/>
                <w:color w:val="000000"/>
                <w:kern w:val="0"/>
                <w:sz w:val="22"/>
              </w:rPr>
              <w:t>系统的扩展</w:t>
            </w:r>
          </w:p>
        </w:tc>
        <w:tc>
          <w:tcPr>
            <w:tcW w:w="1574" w:type="pct"/>
            <w:tcBorders>
              <w:top w:val="nil"/>
              <w:left w:val="nil"/>
              <w:bottom w:val="single" w:sz="4" w:space="0" w:color="auto"/>
              <w:right w:val="single" w:sz="4" w:space="0" w:color="auto"/>
            </w:tcBorders>
            <w:shd w:val="clear" w:color="auto" w:fill="auto"/>
            <w:vAlign w:val="center"/>
            <w:hideMark/>
          </w:tcPr>
          <w:p w14:paraId="795CA2DD"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到</w:t>
            </w:r>
            <w:r w:rsidRPr="007A5571">
              <w:rPr>
                <w:rFonts w:eastAsia="宋体"/>
                <w:color w:val="000000"/>
                <w:kern w:val="0"/>
                <w:sz w:val="22"/>
              </w:rPr>
              <w:t>2030</w:t>
            </w:r>
            <w:r w:rsidRPr="007A5571">
              <w:rPr>
                <w:rFonts w:ascii="楷体" w:eastAsia="楷体" w:hAnsi="楷体" w:hint="eastAsia"/>
                <w:color w:val="000000"/>
                <w:kern w:val="0"/>
                <w:sz w:val="22"/>
              </w:rPr>
              <w:t>年，</w:t>
            </w:r>
            <w:r w:rsidRPr="007A5571">
              <w:rPr>
                <w:rFonts w:eastAsia="宋体"/>
                <w:color w:val="000000"/>
                <w:kern w:val="0"/>
                <w:sz w:val="22"/>
              </w:rPr>
              <w:t>BRT</w:t>
            </w:r>
            <w:r w:rsidRPr="007A5571">
              <w:rPr>
                <w:rFonts w:ascii="楷体" w:eastAsia="楷体" w:hAnsi="楷体" w:hint="eastAsia"/>
                <w:color w:val="000000"/>
                <w:kern w:val="0"/>
                <w:sz w:val="22"/>
              </w:rPr>
              <w:t>线路长度增长到</w:t>
            </w:r>
            <w:r w:rsidRPr="007A5571">
              <w:rPr>
                <w:rFonts w:eastAsia="宋体"/>
                <w:color w:val="000000"/>
                <w:kern w:val="0"/>
                <w:sz w:val="22"/>
              </w:rPr>
              <w:t>6500km</w:t>
            </w:r>
          </w:p>
        </w:tc>
        <w:tc>
          <w:tcPr>
            <w:tcW w:w="1648" w:type="pct"/>
            <w:tcBorders>
              <w:top w:val="nil"/>
              <w:left w:val="nil"/>
              <w:bottom w:val="single" w:sz="4" w:space="0" w:color="auto"/>
              <w:right w:val="single" w:sz="4" w:space="0" w:color="auto"/>
            </w:tcBorders>
            <w:shd w:val="clear" w:color="auto" w:fill="auto"/>
            <w:vAlign w:val="center"/>
            <w:hideMark/>
          </w:tcPr>
          <w:p w14:paraId="71E0E7ED"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eastAsia="宋体"/>
                <w:color w:val="000000"/>
                <w:kern w:val="0"/>
                <w:sz w:val="22"/>
              </w:rPr>
              <w:t>2030</w:t>
            </w:r>
            <w:r w:rsidRPr="007A5571">
              <w:rPr>
                <w:rFonts w:ascii="楷体" w:eastAsia="楷体" w:hAnsi="楷体" w:hint="eastAsia"/>
                <w:color w:val="000000"/>
                <w:kern w:val="0"/>
                <w:sz w:val="22"/>
              </w:rPr>
              <w:t>年后</w:t>
            </w:r>
            <w:r w:rsidRPr="007A5571">
              <w:rPr>
                <w:rFonts w:eastAsia="宋体"/>
                <w:color w:val="000000"/>
                <w:kern w:val="0"/>
                <w:sz w:val="22"/>
              </w:rPr>
              <w:t>BRT</w:t>
            </w:r>
            <w:r w:rsidRPr="007A5571">
              <w:rPr>
                <w:rFonts w:ascii="楷体" w:eastAsia="楷体" w:hAnsi="楷体" w:hint="eastAsia"/>
                <w:color w:val="000000"/>
                <w:kern w:val="0"/>
                <w:sz w:val="22"/>
              </w:rPr>
              <w:t>线路长度仍需增长到</w:t>
            </w:r>
            <w:r w:rsidRPr="007A5571">
              <w:rPr>
                <w:rFonts w:eastAsia="宋体"/>
                <w:color w:val="000000"/>
                <w:kern w:val="0"/>
                <w:sz w:val="22"/>
              </w:rPr>
              <w:t>7000km</w:t>
            </w:r>
          </w:p>
        </w:tc>
      </w:tr>
      <w:tr w:rsidR="00C41219" w:rsidRPr="007A5571" w14:paraId="5C5B2571" w14:textId="77777777" w:rsidTr="00C41219">
        <w:trPr>
          <w:trHeight w:val="564"/>
        </w:trPr>
        <w:tc>
          <w:tcPr>
            <w:tcW w:w="394" w:type="pct"/>
            <w:vMerge/>
            <w:tcBorders>
              <w:top w:val="nil"/>
              <w:left w:val="single" w:sz="4" w:space="0" w:color="auto"/>
              <w:bottom w:val="single" w:sz="4" w:space="0" w:color="000000"/>
              <w:right w:val="single" w:sz="4" w:space="0" w:color="auto"/>
            </w:tcBorders>
            <w:vAlign w:val="center"/>
            <w:hideMark/>
          </w:tcPr>
          <w:p w14:paraId="7A6B45FF" w14:textId="77777777" w:rsidR="007A5571" w:rsidRPr="007A5571" w:rsidRDefault="007A5571" w:rsidP="007A5571">
            <w:pPr>
              <w:widowControl/>
              <w:spacing w:line="240" w:lineRule="auto"/>
              <w:ind w:firstLineChars="0" w:firstLine="0"/>
              <w:jc w:val="left"/>
              <w:rPr>
                <w:rFonts w:eastAsia="宋体"/>
                <w:b/>
                <w:bCs/>
                <w:color w:val="000000"/>
                <w:kern w:val="0"/>
                <w:sz w:val="22"/>
              </w:rPr>
            </w:pPr>
          </w:p>
        </w:tc>
        <w:tc>
          <w:tcPr>
            <w:tcW w:w="281" w:type="pct"/>
            <w:vMerge/>
            <w:tcBorders>
              <w:top w:val="nil"/>
              <w:left w:val="single" w:sz="4" w:space="0" w:color="auto"/>
              <w:bottom w:val="single" w:sz="4" w:space="0" w:color="000000"/>
              <w:right w:val="single" w:sz="4" w:space="0" w:color="auto"/>
            </w:tcBorders>
            <w:vAlign w:val="center"/>
            <w:hideMark/>
          </w:tcPr>
          <w:p w14:paraId="006934E3" w14:textId="77777777" w:rsidR="007A5571" w:rsidRPr="007A5571" w:rsidRDefault="007A5571" w:rsidP="007A5571">
            <w:pPr>
              <w:widowControl/>
              <w:spacing w:line="240" w:lineRule="auto"/>
              <w:ind w:firstLineChars="0" w:firstLine="0"/>
              <w:jc w:val="left"/>
              <w:rPr>
                <w:rFonts w:eastAsia="宋体"/>
                <w:b/>
                <w:bCs/>
                <w:color w:val="000000"/>
                <w:kern w:val="0"/>
                <w:sz w:val="22"/>
              </w:rPr>
            </w:pPr>
          </w:p>
        </w:tc>
        <w:tc>
          <w:tcPr>
            <w:tcW w:w="1103" w:type="pct"/>
            <w:tcBorders>
              <w:top w:val="nil"/>
              <w:left w:val="nil"/>
              <w:bottom w:val="single" w:sz="4" w:space="0" w:color="auto"/>
              <w:right w:val="single" w:sz="4" w:space="0" w:color="auto"/>
            </w:tcBorders>
            <w:shd w:val="clear" w:color="auto" w:fill="auto"/>
            <w:noWrap/>
            <w:vAlign w:val="center"/>
            <w:hideMark/>
          </w:tcPr>
          <w:p w14:paraId="5F1E95A5"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城市轨道交通的发展</w:t>
            </w:r>
          </w:p>
        </w:tc>
        <w:tc>
          <w:tcPr>
            <w:tcW w:w="1574" w:type="pct"/>
            <w:tcBorders>
              <w:top w:val="nil"/>
              <w:left w:val="nil"/>
              <w:bottom w:val="single" w:sz="4" w:space="0" w:color="auto"/>
              <w:right w:val="single" w:sz="4" w:space="0" w:color="auto"/>
            </w:tcBorders>
            <w:shd w:val="clear" w:color="auto" w:fill="auto"/>
            <w:vAlign w:val="center"/>
            <w:hideMark/>
          </w:tcPr>
          <w:p w14:paraId="335FC917"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到</w:t>
            </w:r>
            <w:r w:rsidRPr="007A5571">
              <w:rPr>
                <w:rFonts w:eastAsia="宋体"/>
                <w:color w:val="000000"/>
                <w:kern w:val="0"/>
                <w:sz w:val="22"/>
              </w:rPr>
              <w:t>2030</w:t>
            </w:r>
            <w:r w:rsidRPr="007A5571">
              <w:rPr>
                <w:rFonts w:ascii="楷体" w:eastAsia="楷体" w:hAnsi="楷体" w:hint="eastAsia"/>
                <w:color w:val="000000"/>
                <w:kern w:val="0"/>
                <w:sz w:val="22"/>
              </w:rPr>
              <w:t>年，地铁线路长度增长到</w:t>
            </w:r>
            <w:r w:rsidRPr="007A5571">
              <w:rPr>
                <w:rFonts w:eastAsia="宋体"/>
                <w:color w:val="000000"/>
                <w:kern w:val="0"/>
                <w:sz w:val="22"/>
              </w:rPr>
              <w:t>8000km</w:t>
            </w:r>
          </w:p>
        </w:tc>
        <w:tc>
          <w:tcPr>
            <w:tcW w:w="1648" w:type="pct"/>
            <w:tcBorders>
              <w:top w:val="nil"/>
              <w:left w:val="nil"/>
              <w:bottom w:val="single" w:sz="4" w:space="0" w:color="auto"/>
              <w:right w:val="single" w:sz="4" w:space="0" w:color="auto"/>
            </w:tcBorders>
            <w:shd w:val="clear" w:color="auto" w:fill="auto"/>
            <w:vAlign w:val="center"/>
            <w:hideMark/>
          </w:tcPr>
          <w:p w14:paraId="7CB239AA"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eastAsia="宋体"/>
                <w:color w:val="000000"/>
                <w:kern w:val="0"/>
                <w:sz w:val="22"/>
              </w:rPr>
              <w:t>2030</w:t>
            </w:r>
            <w:r w:rsidRPr="007A5571">
              <w:rPr>
                <w:rFonts w:ascii="楷体" w:eastAsia="楷体" w:hAnsi="楷体" w:hint="eastAsia"/>
                <w:color w:val="000000"/>
                <w:kern w:val="0"/>
                <w:sz w:val="22"/>
              </w:rPr>
              <w:t>年后地铁线路长度仍需增长到</w:t>
            </w:r>
            <w:r w:rsidRPr="007A5571">
              <w:rPr>
                <w:rFonts w:eastAsia="宋体"/>
                <w:color w:val="000000"/>
                <w:kern w:val="0"/>
                <w:sz w:val="22"/>
              </w:rPr>
              <w:t>11000km</w:t>
            </w:r>
          </w:p>
        </w:tc>
      </w:tr>
      <w:tr w:rsidR="00C41219" w:rsidRPr="007A5571" w14:paraId="25652AA8" w14:textId="77777777" w:rsidTr="00C41219">
        <w:trPr>
          <w:trHeight w:val="576"/>
        </w:trPr>
        <w:tc>
          <w:tcPr>
            <w:tcW w:w="394" w:type="pct"/>
            <w:vMerge/>
            <w:tcBorders>
              <w:top w:val="nil"/>
              <w:left w:val="single" w:sz="4" w:space="0" w:color="auto"/>
              <w:bottom w:val="single" w:sz="4" w:space="0" w:color="000000"/>
              <w:right w:val="single" w:sz="4" w:space="0" w:color="auto"/>
            </w:tcBorders>
            <w:vAlign w:val="center"/>
            <w:hideMark/>
          </w:tcPr>
          <w:p w14:paraId="2FB85577" w14:textId="77777777" w:rsidR="007A5571" w:rsidRPr="007A5571" w:rsidRDefault="007A5571" w:rsidP="007A5571">
            <w:pPr>
              <w:widowControl/>
              <w:spacing w:line="240" w:lineRule="auto"/>
              <w:ind w:firstLineChars="0" w:firstLine="0"/>
              <w:jc w:val="left"/>
              <w:rPr>
                <w:rFonts w:eastAsia="宋体"/>
                <w:b/>
                <w:bCs/>
                <w:color w:val="000000"/>
                <w:kern w:val="0"/>
                <w:sz w:val="22"/>
              </w:rPr>
            </w:pPr>
          </w:p>
        </w:tc>
        <w:tc>
          <w:tcPr>
            <w:tcW w:w="281" w:type="pct"/>
            <w:vMerge/>
            <w:tcBorders>
              <w:top w:val="nil"/>
              <w:left w:val="single" w:sz="4" w:space="0" w:color="auto"/>
              <w:bottom w:val="single" w:sz="4" w:space="0" w:color="000000"/>
              <w:right w:val="single" w:sz="4" w:space="0" w:color="auto"/>
            </w:tcBorders>
            <w:vAlign w:val="center"/>
            <w:hideMark/>
          </w:tcPr>
          <w:p w14:paraId="4DB381E8" w14:textId="77777777" w:rsidR="007A5571" w:rsidRPr="007A5571" w:rsidRDefault="007A5571" w:rsidP="007A5571">
            <w:pPr>
              <w:widowControl/>
              <w:spacing w:line="240" w:lineRule="auto"/>
              <w:ind w:firstLineChars="0" w:firstLine="0"/>
              <w:jc w:val="left"/>
              <w:rPr>
                <w:rFonts w:eastAsia="宋体"/>
                <w:b/>
                <w:bCs/>
                <w:color w:val="000000"/>
                <w:kern w:val="0"/>
                <w:sz w:val="22"/>
              </w:rPr>
            </w:pPr>
          </w:p>
        </w:tc>
        <w:tc>
          <w:tcPr>
            <w:tcW w:w="1103" w:type="pct"/>
            <w:tcBorders>
              <w:top w:val="nil"/>
              <w:left w:val="nil"/>
              <w:bottom w:val="single" w:sz="4" w:space="0" w:color="auto"/>
              <w:right w:val="single" w:sz="4" w:space="0" w:color="auto"/>
            </w:tcBorders>
            <w:shd w:val="clear" w:color="auto" w:fill="auto"/>
            <w:noWrap/>
            <w:vAlign w:val="center"/>
            <w:hideMark/>
          </w:tcPr>
          <w:p w14:paraId="7A8B8CA6"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共享单车的普及</w:t>
            </w:r>
          </w:p>
        </w:tc>
        <w:tc>
          <w:tcPr>
            <w:tcW w:w="1574" w:type="pct"/>
            <w:tcBorders>
              <w:top w:val="nil"/>
              <w:left w:val="nil"/>
              <w:bottom w:val="single" w:sz="4" w:space="0" w:color="auto"/>
              <w:right w:val="single" w:sz="4" w:space="0" w:color="auto"/>
            </w:tcBorders>
            <w:shd w:val="clear" w:color="auto" w:fill="auto"/>
            <w:vAlign w:val="center"/>
            <w:hideMark/>
          </w:tcPr>
          <w:p w14:paraId="569FC7AC"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相比于</w:t>
            </w:r>
            <w:r w:rsidRPr="007A5571">
              <w:rPr>
                <w:rFonts w:eastAsia="宋体"/>
                <w:color w:val="000000"/>
                <w:kern w:val="0"/>
                <w:sz w:val="22"/>
              </w:rPr>
              <w:t>2020</w:t>
            </w:r>
            <w:r w:rsidRPr="007A5571">
              <w:rPr>
                <w:rFonts w:ascii="楷体" w:eastAsia="楷体" w:hAnsi="楷体" w:hint="eastAsia"/>
                <w:color w:val="000000"/>
                <w:kern w:val="0"/>
                <w:sz w:val="22"/>
              </w:rPr>
              <w:t>年共享单车数量增长</w:t>
            </w:r>
            <w:r w:rsidRPr="007A5571">
              <w:rPr>
                <w:rFonts w:eastAsia="宋体"/>
                <w:color w:val="000000"/>
                <w:kern w:val="0"/>
                <w:sz w:val="22"/>
              </w:rPr>
              <w:t>700</w:t>
            </w:r>
            <w:r w:rsidRPr="007A5571">
              <w:rPr>
                <w:rFonts w:ascii="楷体" w:eastAsia="楷体" w:hAnsi="楷体" w:hint="eastAsia"/>
                <w:color w:val="000000"/>
                <w:kern w:val="0"/>
                <w:sz w:val="22"/>
              </w:rPr>
              <w:t>万辆</w:t>
            </w:r>
          </w:p>
        </w:tc>
        <w:tc>
          <w:tcPr>
            <w:tcW w:w="1648" w:type="pct"/>
            <w:tcBorders>
              <w:top w:val="nil"/>
              <w:left w:val="nil"/>
              <w:bottom w:val="single" w:sz="4" w:space="0" w:color="auto"/>
              <w:right w:val="single" w:sz="4" w:space="0" w:color="auto"/>
            </w:tcBorders>
            <w:shd w:val="clear" w:color="auto" w:fill="auto"/>
            <w:vAlign w:val="center"/>
            <w:hideMark/>
          </w:tcPr>
          <w:p w14:paraId="4ABBE5A1"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eastAsia="宋体"/>
                <w:color w:val="000000"/>
                <w:kern w:val="0"/>
                <w:sz w:val="22"/>
              </w:rPr>
              <w:t>2030</w:t>
            </w:r>
            <w:r w:rsidRPr="007A5571">
              <w:rPr>
                <w:rFonts w:ascii="楷体" w:eastAsia="楷体" w:hAnsi="楷体" w:hint="eastAsia"/>
                <w:color w:val="000000"/>
                <w:kern w:val="0"/>
                <w:sz w:val="22"/>
              </w:rPr>
              <w:t>年后共享单车数量新增</w:t>
            </w:r>
            <w:r w:rsidRPr="007A5571">
              <w:rPr>
                <w:rFonts w:eastAsia="宋体"/>
                <w:color w:val="000000"/>
                <w:kern w:val="0"/>
                <w:sz w:val="22"/>
              </w:rPr>
              <w:t>2500</w:t>
            </w:r>
            <w:r w:rsidRPr="007A5571">
              <w:rPr>
                <w:rFonts w:ascii="楷体" w:eastAsia="楷体" w:hAnsi="楷体" w:hint="eastAsia"/>
                <w:color w:val="000000"/>
                <w:kern w:val="0"/>
                <w:sz w:val="22"/>
              </w:rPr>
              <w:t>万辆</w:t>
            </w:r>
          </w:p>
        </w:tc>
      </w:tr>
      <w:tr w:rsidR="00C41219" w:rsidRPr="007A5571" w14:paraId="0359477D" w14:textId="77777777" w:rsidTr="00C41219">
        <w:trPr>
          <w:trHeight w:val="576"/>
        </w:trPr>
        <w:tc>
          <w:tcPr>
            <w:tcW w:w="676" w:type="pct"/>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3522285A" w14:textId="77777777" w:rsidR="007A5571" w:rsidRPr="007A5571" w:rsidRDefault="007A5571" w:rsidP="007A5571">
            <w:pPr>
              <w:widowControl/>
              <w:spacing w:line="240" w:lineRule="auto"/>
              <w:ind w:firstLineChars="0" w:firstLine="0"/>
              <w:jc w:val="center"/>
              <w:rPr>
                <w:rFonts w:eastAsia="宋体"/>
                <w:b/>
                <w:bCs/>
                <w:color w:val="000000"/>
                <w:kern w:val="0"/>
                <w:sz w:val="22"/>
              </w:rPr>
            </w:pPr>
            <w:r w:rsidRPr="007A5571">
              <w:rPr>
                <w:rFonts w:ascii="楷体" w:eastAsia="楷体" w:hAnsi="楷体" w:hint="eastAsia"/>
                <w:b/>
                <w:bCs/>
                <w:color w:val="000000"/>
                <w:kern w:val="0"/>
                <w:sz w:val="22"/>
              </w:rPr>
              <w:t>能效提升</w:t>
            </w:r>
          </w:p>
        </w:tc>
        <w:tc>
          <w:tcPr>
            <w:tcW w:w="1103" w:type="pct"/>
            <w:tcBorders>
              <w:top w:val="nil"/>
              <w:left w:val="nil"/>
              <w:bottom w:val="single" w:sz="4" w:space="0" w:color="auto"/>
              <w:right w:val="single" w:sz="4" w:space="0" w:color="auto"/>
            </w:tcBorders>
            <w:shd w:val="clear" w:color="auto" w:fill="auto"/>
            <w:noWrap/>
            <w:vAlign w:val="center"/>
            <w:hideMark/>
          </w:tcPr>
          <w:p w14:paraId="7A72DCCF"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自动驾驶普及率</w:t>
            </w:r>
          </w:p>
        </w:tc>
        <w:tc>
          <w:tcPr>
            <w:tcW w:w="1574" w:type="pct"/>
            <w:tcBorders>
              <w:top w:val="nil"/>
              <w:left w:val="nil"/>
              <w:bottom w:val="single" w:sz="4" w:space="0" w:color="auto"/>
              <w:right w:val="single" w:sz="4" w:space="0" w:color="auto"/>
            </w:tcBorders>
            <w:shd w:val="clear" w:color="auto" w:fill="auto"/>
            <w:vAlign w:val="center"/>
            <w:hideMark/>
          </w:tcPr>
          <w:p w14:paraId="238DE26B"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eastAsia="宋体"/>
                <w:color w:val="000000"/>
                <w:kern w:val="0"/>
                <w:sz w:val="22"/>
              </w:rPr>
              <w:t>2030</w:t>
            </w:r>
            <w:r w:rsidRPr="007A5571">
              <w:rPr>
                <w:rFonts w:ascii="楷体" w:eastAsia="楷体" w:hAnsi="楷体" w:hint="eastAsia"/>
                <w:color w:val="000000"/>
                <w:kern w:val="0"/>
                <w:sz w:val="22"/>
              </w:rPr>
              <w:t>年，</w:t>
            </w:r>
            <w:r w:rsidRPr="007A5571">
              <w:rPr>
                <w:rFonts w:eastAsia="宋体"/>
                <w:color w:val="000000"/>
                <w:kern w:val="0"/>
                <w:sz w:val="22"/>
              </w:rPr>
              <w:t>L4</w:t>
            </w:r>
            <w:r w:rsidRPr="007A5571">
              <w:rPr>
                <w:rFonts w:ascii="楷体" w:eastAsia="楷体" w:hAnsi="楷体" w:hint="eastAsia"/>
                <w:color w:val="000000"/>
                <w:kern w:val="0"/>
                <w:sz w:val="22"/>
              </w:rPr>
              <w:t>级自动驾驶仅能在有限情景下应用</w:t>
            </w:r>
          </w:p>
        </w:tc>
        <w:tc>
          <w:tcPr>
            <w:tcW w:w="1648" w:type="pct"/>
            <w:tcBorders>
              <w:top w:val="nil"/>
              <w:left w:val="nil"/>
              <w:bottom w:val="single" w:sz="4" w:space="0" w:color="auto"/>
              <w:right w:val="single" w:sz="4" w:space="0" w:color="auto"/>
            </w:tcBorders>
            <w:shd w:val="clear" w:color="auto" w:fill="auto"/>
            <w:vAlign w:val="center"/>
            <w:hideMark/>
          </w:tcPr>
          <w:p w14:paraId="1533E808"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eastAsia="宋体"/>
                <w:color w:val="000000"/>
                <w:kern w:val="0"/>
                <w:sz w:val="22"/>
              </w:rPr>
              <w:t>2030</w:t>
            </w:r>
            <w:r w:rsidRPr="007A5571">
              <w:rPr>
                <w:rFonts w:ascii="楷体" w:eastAsia="楷体" w:hAnsi="楷体" w:hint="eastAsia"/>
                <w:color w:val="000000"/>
                <w:kern w:val="0"/>
                <w:sz w:val="22"/>
              </w:rPr>
              <w:t>年后，完全自动驾驶逐步应用</w:t>
            </w:r>
          </w:p>
        </w:tc>
      </w:tr>
      <w:tr w:rsidR="00C41219" w:rsidRPr="007A5571" w14:paraId="1B696B64" w14:textId="77777777" w:rsidTr="00C41219">
        <w:trPr>
          <w:trHeight w:val="576"/>
        </w:trPr>
        <w:tc>
          <w:tcPr>
            <w:tcW w:w="676" w:type="pct"/>
            <w:gridSpan w:val="2"/>
            <w:vMerge/>
            <w:tcBorders>
              <w:top w:val="single" w:sz="4" w:space="0" w:color="auto"/>
              <w:left w:val="single" w:sz="4" w:space="0" w:color="auto"/>
              <w:bottom w:val="single" w:sz="4" w:space="0" w:color="000000"/>
              <w:right w:val="single" w:sz="4" w:space="0" w:color="000000"/>
            </w:tcBorders>
            <w:vAlign w:val="center"/>
            <w:hideMark/>
          </w:tcPr>
          <w:p w14:paraId="13182BF4" w14:textId="77777777" w:rsidR="007A5571" w:rsidRPr="007A5571" w:rsidRDefault="007A5571" w:rsidP="007A5571">
            <w:pPr>
              <w:widowControl/>
              <w:spacing w:line="240" w:lineRule="auto"/>
              <w:ind w:firstLineChars="0" w:firstLine="0"/>
              <w:jc w:val="left"/>
              <w:rPr>
                <w:rFonts w:eastAsia="宋体"/>
                <w:b/>
                <w:bCs/>
                <w:color w:val="000000"/>
                <w:kern w:val="0"/>
                <w:sz w:val="22"/>
              </w:rPr>
            </w:pPr>
          </w:p>
        </w:tc>
        <w:tc>
          <w:tcPr>
            <w:tcW w:w="1103" w:type="pct"/>
            <w:tcBorders>
              <w:top w:val="nil"/>
              <w:left w:val="nil"/>
              <w:bottom w:val="single" w:sz="4" w:space="0" w:color="auto"/>
              <w:right w:val="single" w:sz="4" w:space="0" w:color="auto"/>
            </w:tcBorders>
            <w:shd w:val="clear" w:color="auto" w:fill="auto"/>
            <w:vAlign w:val="center"/>
            <w:hideMark/>
          </w:tcPr>
          <w:p w14:paraId="215AE332"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网络货运品台普及</w:t>
            </w:r>
          </w:p>
        </w:tc>
        <w:tc>
          <w:tcPr>
            <w:tcW w:w="1574" w:type="pct"/>
            <w:tcBorders>
              <w:top w:val="nil"/>
              <w:left w:val="nil"/>
              <w:bottom w:val="single" w:sz="4" w:space="0" w:color="auto"/>
              <w:right w:val="single" w:sz="4" w:space="0" w:color="auto"/>
            </w:tcBorders>
            <w:shd w:val="clear" w:color="auto" w:fill="auto"/>
            <w:vAlign w:val="center"/>
            <w:hideMark/>
          </w:tcPr>
          <w:p w14:paraId="36CAA771"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eastAsia="宋体"/>
                <w:color w:val="000000"/>
                <w:kern w:val="0"/>
                <w:sz w:val="22"/>
              </w:rPr>
              <w:t>2030</w:t>
            </w:r>
            <w:r w:rsidRPr="007A5571">
              <w:rPr>
                <w:rFonts w:ascii="楷体" w:eastAsia="楷体" w:hAnsi="楷体" w:hint="eastAsia"/>
                <w:color w:val="000000"/>
                <w:kern w:val="0"/>
                <w:sz w:val="22"/>
              </w:rPr>
              <w:t>年，网络货运普及部分货运车辆</w:t>
            </w:r>
          </w:p>
        </w:tc>
        <w:tc>
          <w:tcPr>
            <w:tcW w:w="1648" w:type="pct"/>
            <w:tcBorders>
              <w:top w:val="nil"/>
              <w:left w:val="nil"/>
              <w:bottom w:val="single" w:sz="4" w:space="0" w:color="auto"/>
              <w:right w:val="single" w:sz="4" w:space="0" w:color="auto"/>
            </w:tcBorders>
            <w:shd w:val="clear" w:color="auto" w:fill="auto"/>
            <w:vAlign w:val="center"/>
            <w:hideMark/>
          </w:tcPr>
          <w:p w14:paraId="17866F52"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eastAsia="宋体"/>
                <w:color w:val="000000"/>
                <w:kern w:val="0"/>
                <w:sz w:val="22"/>
              </w:rPr>
              <w:t>2030</w:t>
            </w:r>
            <w:r w:rsidRPr="007A5571">
              <w:rPr>
                <w:rFonts w:ascii="楷体" w:eastAsia="楷体" w:hAnsi="楷体" w:hint="eastAsia"/>
                <w:color w:val="000000"/>
                <w:kern w:val="0"/>
                <w:sz w:val="22"/>
              </w:rPr>
              <w:t>年，网络货运基本普及全部货运车辆</w:t>
            </w:r>
          </w:p>
        </w:tc>
      </w:tr>
      <w:tr w:rsidR="00C41219" w:rsidRPr="007A5571" w14:paraId="479FD017" w14:textId="77777777" w:rsidTr="00C41219">
        <w:trPr>
          <w:trHeight w:val="576"/>
        </w:trPr>
        <w:tc>
          <w:tcPr>
            <w:tcW w:w="676" w:type="pct"/>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3649A38F" w14:textId="77777777" w:rsidR="007A5571" w:rsidRPr="007A5571" w:rsidRDefault="007A5571" w:rsidP="007A5571">
            <w:pPr>
              <w:widowControl/>
              <w:spacing w:line="240" w:lineRule="auto"/>
              <w:ind w:firstLineChars="0" w:firstLine="0"/>
              <w:jc w:val="center"/>
              <w:rPr>
                <w:rFonts w:eastAsia="宋体"/>
                <w:b/>
                <w:bCs/>
                <w:color w:val="000000"/>
                <w:kern w:val="0"/>
                <w:sz w:val="22"/>
              </w:rPr>
            </w:pPr>
            <w:r w:rsidRPr="007A5571">
              <w:rPr>
                <w:rFonts w:ascii="楷体" w:eastAsia="楷体" w:hAnsi="楷体" w:hint="eastAsia"/>
                <w:b/>
                <w:bCs/>
                <w:color w:val="000000"/>
                <w:kern w:val="0"/>
                <w:sz w:val="22"/>
              </w:rPr>
              <w:t>新能源应用</w:t>
            </w:r>
          </w:p>
        </w:tc>
        <w:tc>
          <w:tcPr>
            <w:tcW w:w="1103" w:type="pct"/>
            <w:tcBorders>
              <w:top w:val="nil"/>
              <w:left w:val="nil"/>
              <w:bottom w:val="single" w:sz="4" w:space="0" w:color="auto"/>
              <w:right w:val="single" w:sz="4" w:space="0" w:color="auto"/>
            </w:tcBorders>
            <w:shd w:val="clear" w:color="auto" w:fill="auto"/>
            <w:noWrap/>
            <w:vAlign w:val="center"/>
            <w:hideMark/>
          </w:tcPr>
          <w:p w14:paraId="421482AF"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电气化机车应用</w:t>
            </w:r>
          </w:p>
        </w:tc>
        <w:tc>
          <w:tcPr>
            <w:tcW w:w="1574" w:type="pct"/>
            <w:tcBorders>
              <w:top w:val="nil"/>
              <w:left w:val="nil"/>
              <w:bottom w:val="single" w:sz="4" w:space="0" w:color="auto"/>
              <w:right w:val="single" w:sz="4" w:space="0" w:color="auto"/>
            </w:tcBorders>
            <w:shd w:val="clear" w:color="auto" w:fill="auto"/>
            <w:vAlign w:val="center"/>
            <w:hideMark/>
          </w:tcPr>
          <w:p w14:paraId="27E65655"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电气化机车应用比例</w:t>
            </w:r>
            <w:r w:rsidRPr="007A5571">
              <w:rPr>
                <w:rFonts w:eastAsia="宋体"/>
                <w:color w:val="000000"/>
                <w:kern w:val="0"/>
                <w:sz w:val="22"/>
              </w:rPr>
              <w:t>:</w:t>
            </w:r>
            <w:r w:rsidRPr="007A5571">
              <w:rPr>
                <w:rFonts w:ascii="楷体" w:eastAsia="楷体" w:hAnsi="楷体" w:hint="eastAsia"/>
                <w:color w:val="000000"/>
                <w:kern w:val="0"/>
                <w:sz w:val="22"/>
              </w:rPr>
              <w:t>到</w:t>
            </w:r>
            <w:r w:rsidRPr="007A5571">
              <w:rPr>
                <w:rFonts w:eastAsia="宋体"/>
                <w:color w:val="000000"/>
                <w:kern w:val="0"/>
                <w:sz w:val="22"/>
              </w:rPr>
              <w:t xml:space="preserve"> 2030</w:t>
            </w:r>
            <w:r w:rsidRPr="007A5571">
              <w:rPr>
                <w:rFonts w:ascii="楷体" w:eastAsia="楷体" w:hAnsi="楷体" w:hint="eastAsia"/>
                <w:color w:val="000000"/>
                <w:kern w:val="0"/>
                <w:sz w:val="22"/>
              </w:rPr>
              <w:t>货运</w:t>
            </w:r>
            <w:r w:rsidRPr="007A5571">
              <w:rPr>
                <w:rFonts w:eastAsia="宋体"/>
                <w:color w:val="000000"/>
                <w:kern w:val="0"/>
                <w:sz w:val="22"/>
              </w:rPr>
              <w:t>58%</w:t>
            </w:r>
            <w:r w:rsidRPr="007A5571">
              <w:rPr>
                <w:rFonts w:ascii="楷体" w:eastAsia="楷体" w:hAnsi="楷体" w:hint="eastAsia"/>
                <w:color w:val="000000"/>
                <w:kern w:val="0"/>
                <w:sz w:val="22"/>
              </w:rPr>
              <w:t>，客运</w:t>
            </w:r>
            <w:r w:rsidRPr="007A5571">
              <w:rPr>
                <w:rFonts w:eastAsia="宋体"/>
                <w:color w:val="000000"/>
                <w:kern w:val="0"/>
                <w:sz w:val="22"/>
              </w:rPr>
              <w:t>88%</w:t>
            </w:r>
          </w:p>
        </w:tc>
        <w:tc>
          <w:tcPr>
            <w:tcW w:w="1648" w:type="pct"/>
            <w:tcBorders>
              <w:top w:val="nil"/>
              <w:left w:val="nil"/>
              <w:bottom w:val="single" w:sz="4" w:space="0" w:color="auto"/>
              <w:right w:val="single" w:sz="4" w:space="0" w:color="auto"/>
            </w:tcBorders>
            <w:shd w:val="clear" w:color="auto" w:fill="auto"/>
            <w:vAlign w:val="center"/>
            <w:hideMark/>
          </w:tcPr>
          <w:p w14:paraId="4A8ABDCA"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电气化机车应用比例到</w:t>
            </w:r>
            <w:r w:rsidRPr="007A5571">
              <w:rPr>
                <w:rFonts w:eastAsia="宋体"/>
                <w:color w:val="000000"/>
                <w:kern w:val="0"/>
                <w:sz w:val="22"/>
              </w:rPr>
              <w:t>2060</w:t>
            </w:r>
            <w:r w:rsidRPr="007A5571">
              <w:rPr>
                <w:rFonts w:ascii="楷体" w:eastAsia="楷体" w:hAnsi="楷体" w:hint="eastAsia"/>
                <w:color w:val="000000"/>
                <w:kern w:val="0"/>
                <w:sz w:val="22"/>
              </w:rPr>
              <w:t>货运</w:t>
            </w:r>
            <w:r w:rsidRPr="007A5571">
              <w:rPr>
                <w:rFonts w:eastAsia="宋体"/>
                <w:color w:val="000000"/>
                <w:kern w:val="0"/>
                <w:sz w:val="22"/>
              </w:rPr>
              <w:t>80%</w:t>
            </w:r>
            <w:r w:rsidRPr="007A5571">
              <w:rPr>
                <w:rFonts w:ascii="楷体" w:eastAsia="楷体" w:hAnsi="楷体" w:hint="eastAsia"/>
                <w:color w:val="000000"/>
                <w:kern w:val="0"/>
                <w:sz w:val="22"/>
              </w:rPr>
              <w:t>，客运</w:t>
            </w:r>
            <w:r w:rsidRPr="007A5571">
              <w:rPr>
                <w:rFonts w:eastAsia="宋体"/>
                <w:color w:val="000000"/>
                <w:kern w:val="0"/>
                <w:sz w:val="22"/>
              </w:rPr>
              <w:t>95%</w:t>
            </w:r>
            <w:r w:rsidRPr="007A5571">
              <w:rPr>
                <w:rFonts w:ascii="楷体" w:eastAsia="楷体" w:hAnsi="楷体" w:hint="eastAsia"/>
                <w:color w:val="000000"/>
                <w:kern w:val="0"/>
                <w:sz w:val="22"/>
              </w:rPr>
              <w:t>。</w:t>
            </w:r>
          </w:p>
        </w:tc>
      </w:tr>
      <w:tr w:rsidR="00C41219" w:rsidRPr="007A5571" w14:paraId="45019EF3" w14:textId="77777777" w:rsidTr="00C41219">
        <w:trPr>
          <w:trHeight w:val="288"/>
        </w:trPr>
        <w:tc>
          <w:tcPr>
            <w:tcW w:w="676" w:type="pct"/>
            <w:gridSpan w:val="2"/>
            <w:vMerge/>
            <w:tcBorders>
              <w:top w:val="single" w:sz="4" w:space="0" w:color="auto"/>
              <w:left w:val="single" w:sz="4" w:space="0" w:color="auto"/>
              <w:bottom w:val="single" w:sz="4" w:space="0" w:color="000000"/>
              <w:right w:val="single" w:sz="4" w:space="0" w:color="000000"/>
            </w:tcBorders>
            <w:vAlign w:val="center"/>
            <w:hideMark/>
          </w:tcPr>
          <w:p w14:paraId="58FED6CC" w14:textId="77777777" w:rsidR="007A5571" w:rsidRPr="007A5571" w:rsidRDefault="007A5571" w:rsidP="007A5571">
            <w:pPr>
              <w:widowControl/>
              <w:spacing w:line="240" w:lineRule="auto"/>
              <w:ind w:firstLineChars="0" w:firstLine="0"/>
              <w:jc w:val="left"/>
              <w:rPr>
                <w:rFonts w:eastAsia="宋体"/>
                <w:b/>
                <w:bCs/>
                <w:color w:val="000000"/>
                <w:kern w:val="0"/>
                <w:sz w:val="22"/>
              </w:rPr>
            </w:pPr>
          </w:p>
        </w:tc>
        <w:tc>
          <w:tcPr>
            <w:tcW w:w="1103" w:type="pct"/>
            <w:tcBorders>
              <w:top w:val="nil"/>
              <w:left w:val="nil"/>
              <w:bottom w:val="single" w:sz="4" w:space="0" w:color="auto"/>
              <w:right w:val="single" w:sz="4" w:space="0" w:color="auto"/>
            </w:tcBorders>
            <w:shd w:val="clear" w:color="auto" w:fill="auto"/>
            <w:vAlign w:val="center"/>
            <w:hideMark/>
          </w:tcPr>
          <w:p w14:paraId="43834526"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水路运输新能源利用比例</w:t>
            </w:r>
          </w:p>
        </w:tc>
        <w:tc>
          <w:tcPr>
            <w:tcW w:w="1574" w:type="pct"/>
            <w:tcBorders>
              <w:top w:val="nil"/>
              <w:left w:val="nil"/>
              <w:bottom w:val="single" w:sz="4" w:space="0" w:color="auto"/>
              <w:right w:val="single" w:sz="4" w:space="0" w:color="auto"/>
            </w:tcBorders>
            <w:shd w:val="clear" w:color="auto" w:fill="auto"/>
            <w:noWrap/>
            <w:vAlign w:val="center"/>
            <w:hideMark/>
          </w:tcPr>
          <w:p w14:paraId="1E009202"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到</w:t>
            </w:r>
            <w:r w:rsidRPr="007A5571">
              <w:rPr>
                <w:rFonts w:eastAsia="宋体"/>
                <w:color w:val="000000"/>
                <w:kern w:val="0"/>
                <w:sz w:val="22"/>
              </w:rPr>
              <w:t>2030</w:t>
            </w:r>
            <w:r w:rsidRPr="007A5571">
              <w:rPr>
                <w:rFonts w:ascii="楷体" w:eastAsia="楷体" w:hAnsi="楷体" w:hint="eastAsia"/>
                <w:color w:val="000000"/>
                <w:kern w:val="0"/>
                <w:sz w:val="22"/>
              </w:rPr>
              <w:t>内河</w:t>
            </w:r>
            <w:r w:rsidRPr="007A5571">
              <w:rPr>
                <w:rFonts w:eastAsia="宋体"/>
                <w:color w:val="000000"/>
                <w:kern w:val="0"/>
                <w:sz w:val="22"/>
              </w:rPr>
              <w:t xml:space="preserve">1% </w:t>
            </w:r>
            <w:r w:rsidRPr="007A5571">
              <w:rPr>
                <w:rFonts w:ascii="楷体" w:eastAsia="楷体" w:hAnsi="楷体" w:hint="eastAsia"/>
                <w:color w:val="000000"/>
                <w:kern w:val="0"/>
                <w:sz w:val="22"/>
              </w:rPr>
              <w:t>，沿海</w:t>
            </w:r>
            <w:r w:rsidRPr="007A5571">
              <w:rPr>
                <w:rFonts w:eastAsia="宋体"/>
                <w:color w:val="000000"/>
                <w:kern w:val="0"/>
                <w:sz w:val="22"/>
              </w:rPr>
              <w:t>0%</w:t>
            </w:r>
          </w:p>
        </w:tc>
        <w:tc>
          <w:tcPr>
            <w:tcW w:w="1648" w:type="pct"/>
            <w:tcBorders>
              <w:top w:val="nil"/>
              <w:left w:val="nil"/>
              <w:bottom w:val="single" w:sz="4" w:space="0" w:color="auto"/>
              <w:right w:val="single" w:sz="4" w:space="0" w:color="auto"/>
            </w:tcBorders>
            <w:shd w:val="clear" w:color="auto" w:fill="auto"/>
            <w:noWrap/>
            <w:vAlign w:val="center"/>
            <w:hideMark/>
          </w:tcPr>
          <w:p w14:paraId="16EE09FB"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到</w:t>
            </w:r>
            <w:r w:rsidRPr="007A5571">
              <w:rPr>
                <w:rFonts w:eastAsia="宋体"/>
                <w:color w:val="000000"/>
                <w:kern w:val="0"/>
                <w:sz w:val="22"/>
              </w:rPr>
              <w:t>2060</w:t>
            </w:r>
            <w:r w:rsidRPr="007A5571">
              <w:rPr>
                <w:rFonts w:ascii="楷体" w:eastAsia="楷体" w:hAnsi="楷体" w:hint="eastAsia"/>
                <w:color w:val="000000"/>
                <w:kern w:val="0"/>
                <w:sz w:val="22"/>
              </w:rPr>
              <w:t>内河</w:t>
            </w:r>
            <w:r w:rsidRPr="007A5571">
              <w:rPr>
                <w:rFonts w:eastAsia="宋体"/>
                <w:color w:val="000000"/>
                <w:kern w:val="0"/>
                <w:sz w:val="22"/>
              </w:rPr>
              <w:t>30%</w:t>
            </w:r>
            <w:r w:rsidRPr="007A5571">
              <w:rPr>
                <w:rFonts w:ascii="楷体" w:eastAsia="楷体" w:hAnsi="楷体" w:hint="eastAsia"/>
                <w:color w:val="000000"/>
                <w:kern w:val="0"/>
                <w:sz w:val="22"/>
              </w:rPr>
              <w:t>，沿海</w:t>
            </w:r>
            <w:r w:rsidRPr="007A5571">
              <w:rPr>
                <w:rFonts w:eastAsia="宋体"/>
                <w:color w:val="000000"/>
                <w:kern w:val="0"/>
                <w:sz w:val="22"/>
              </w:rPr>
              <w:t>10%.</w:t>
            </w:r>
          </w:p>
        </w:tc>
      </w:tr>
      <w:tr w:rsidR="00C41219" w:rsidRPr="007A5571" w14:paraId="1D2206DD" w14:textId="77777777" w:rsidTr="00C41219">
        <w:trPr>
          <w:trHeight w:val="288"/>
        </w:trPr>
        <w:tc>
          <w:tcPr>
            <w:tcW w:w="676" w:type="pct"/>
            <w:gridSpan w:val="2"/>
            <w:vMerge/>
            <w:tcBorders>
              <w:top w:val="single" w:sz="4" w:space="0" w:color="auto"/>
              <w:left w:val="single" w:sz="4" w:space="0" w:color="auto"/>
              <w:bottom w:val="single" w:sz="4" w:space="0" w:color="000000"/>
              <w:right w:val="single" w:sz="4" w:space="0" w:color="000000"/>
            </w:tcBorders>
            <w:vAlign w:val="center"/>
            <w:hideMark/>
          </w:tcPr>
          <w:p w14:paraId="6A3BB607" w14:textId="77777777" w:rsidR="007A5571" w:rsidRPr="007A5571" w:rsidRDefault="007A5571" w:rsidP="007A5571">
            <w:pPr>
              <w:widowControl/>
              <w:spacing w:line="240" w:lineRule="auto"/>
              <w:ind w:firstLineChars="0" w:firstLine="0"/>
              <w:jc w:val="left"/>
              <w:rPr>
                <w:rFonts w:eastAsia="宋体"/>
                <w:b/>
                <w:bCs/>
                <w:color w:val="000000"/>
                <w:kern w:val="0"/>
                <w:sz w:val="22"/>
              </w:rPr>
            </w:pPr>
          </w:p>
        </w:tc>
        <w:tc>
          <w:tcPr>
            <w:tcW w:w="1103" w:type="pct"/>
            <w:tcBorders>
              <w:top w:val="nil"/>
              <w:left w:val="nil"/>
              <w:bottom w:val="single" w:sz="4" w:space="0" w:color="auto"/>
              <w:right w:val="single" w:sz="4" w:space="0" w:color="auto"/>
            </w:tcBorders>
            <w:shd w:val="clear" w:color="auto" w:fill="auto"/>
            <w:noWrap/>
            <w:vAlign w:val="center"/>
            <w:hideMark/>
          </w:tcPr>
          <w:p w14:paraId="0FC31E03"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民航运输生物质燃料应用比例</w:t>
            </w:r>
          </w:p>
        </w:tc>
        <w:tc>
          <w:tcPr>
            <w:tcW w:w="1574" w:type="pct"/>
            <w:tcBorders>
              <w:top w:val="nil"/>
              <w:left w:val="nil"/>
              <w:bottom w:val="single" w:sz="4" w:space="0" w:color="auto"/>
              <w:right w:val="single" w:sz="4" w:space="0" w:color="auto"/>
            </w:tcBorders>
            <w:shd w:val="clear" w:color="auto" w:fill="auto"/>
            <w:noWrap/>
            <w:vAlign w:val="center"/>
            <w:hideMark/>
          </w:tcPr>
          <w:p w14:paraId="4B63090B"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到</w:t>
            </w:r>
            <w:r w:rsidRPr="007A5571">
              <w:rPr>
                <w:rFonts w:eastAsia="宋体"/>
                <w:color w:val="000000"/>
                <w:kern w:val="0"/>
                <w:sz w:val="22"/>
              </w:rPr>
              <w:t>2030</w:t>
            </w:r>
            <w:r w:rsidRPr="007A5571">
              <w:rPr>
                <w:rFonts w:ascii="楷体" w:eastAsia="楷体" w:hAnsi="楷体" w:hint="eastAsia"/>
                <w:color w:val="000000"/>
                <w:kern w:val="0"/>
                <w:sz w:val="22"/>
              </w:rPr>
              <w:t>年</w:t>
            </w:r>
            <w:r w:rsidRPr="007A5571">
              <w:rPr>
                <w:rFonts w:eastAsia="宋体"/>
                <w:color w:val="000000"/>
                <w:kern w:val="0"/>
                <w:sz w:val="22"/>
              </w:rPr>
              <w:t xml:space="preserve"> 3%</w:t>
            </w:r>
          </w:p>
        </w:tc>
        <w:tc>
          <w:tcPr>
            <w:tcW w:w="1648" w:type="pct"/>
            <w:tcBorders>
              <w:top w:val="nil"/>
              <w:left w:val="nil"/>
              <w:bottom w:val="single" w:sz="4" w:space="0" w:color="auto"/>
              <w:right w:val="single" w:sz="4" w:space="0" w:color="auto"/>
            </w:tcBorders>
            <w:shd w:val="clear" w:color="auto" w:fill="auto"/>
            <w:noWrap/>
            <w:vAlign w:val="center"/>
            <w:hideMark/>
          </w:tcPr>
          <w:p w14:paraId="315ECE6D"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到</w:t>
            </w:r>
            <w:r w:rsidRPr="007A5571">
              <w:rPr>
                <w:rFonts w:eastAsia="宋体"/>
                <w:color w:val="000000"/>
                <w:kern w:val="0"/>
                <w:sz w:val="22"/>
              </w:rPr>
              <w:t>2060</w:t>
            </w:r>
            <w:r w:rsidRPr="007A5571">
              <w:rPr>
                <w:rFonts w:ascii="楷体" w:eastAsia="楷体" w:hAnsi="楷体" w:hint="eastAsia"/>
                <w:color w:val="000000"/>
                <w:kern w:val="0"/>
                <w:sz w:val="22"/>
              </w:rPr>
              <w:t>年增长</w:t>
            </w:r>
            <w:r w:rsidRPr="007A5571">
              <w:rPr>
                <w:rFonts w:eastAsia="宋体"/>
                <w:color w:val="000000"/>
                <w:kern w:val="0"/>
                <w:sz w:val="22"/>
              </w:rPr>
              <w:t>35%</w:t>
            </w:r>
          </w:p>
        </w:tc>
      </w:tr>
      <w:tr w:rsidR="00C41219" w:rsidRPr="007A5571" w14:paraId="53903510" w14:textId="77777777" w:rsidTr="00C41219">
        <w:trPr>
          <w:trHeight w:val="576"/>
        </w:trPr>
        <w:tc>
          <w:tcPr>
            <w:tcW w:w="676" w:type="pct"/>
            <w:gridSpan w:val="2"/>
            <w:vMerge/>
            <w:tcBorders>
              <w:top w:val="single" w:sz="4" w:space="0" w:color="auto"/>
              <w:left w:val="single" w:sz="4" w:space="0" w:color="auto"/>
              <w:bottom w:val="single" w:sz="4" w:space="0" w:color="000000"/>
              <w:right w:val="single" w:sz="4" w:space="0" w:color="000000"/>
            </w:tcBorders>
            <w:vAlign w:val="center"/>
            <w:hideMark/>
          </w:tcPr>
          <w:p w14:paraId="3D6E08E7" w14:textId="77777777" w:rsidR="007A5571" w:rsidRPr="007A5571" w:rsidRDefault="007A5571" w:rsidP="007A5571">
            <w:pPr>
              <w:widowControl/>
              <w:spacing w:line="240" w:lineRule="auto"/>
              <w:ind w:firstLineChars="0" w:firstLine="0"/>
              <w:jc w:val="left"/>
              <w:rPr>
                <w:rFonts w:eastAsia="宋体"/>
                <w:b/>
                <w:bCs/>
                <w:color w:val="000000"/>
                <w:kern w:val="0"/>
                <w:sz w:val="22"/>
              </w:rPr>
            </w:pPr>
          </w:p>
        </w:tc>
        <w:tc>
          <w:tcPr>
            <w:tcW w:w="1103" w:type="pct"/>
            <w:tcBorders>
              <w:top w:val="nil"/>
              <w:left w:val="nil"/>
              <w:bottom w:val="single" w:sz="4" w:space="0" w:color="auto"/>
              <w:right w:val="single" w:sz="4" w:space="0" w:color="auto"/>
            </w:tcBorders>
            <w:shd w:val="clear" w:color="auto" w:fill="auto"/>
            <w:noWrap/>
            <w:vAlign w:val="center"/>
            <w:hideMark/>
          </w:tcPr>
          <w:p w14:paraId="41585DBC"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公路货运领域新能源应用比例</w:t>
            </w:r>
          </w:p>
        </w:tc>
        <w:tc>
          <w:tcPr>
            <w:tcW w:w="1574" w:type="pct"/>
            <w:tcBorders>
              <w:top w:val="nil"/>
              <w:left w:val="nil"/>
              <w:bottom w:val="single" w:sz="4" w:space="0" w:color="auto"/>
              <w:right w:val="single" w:sz="4" w:space="0" w:color="auto"/>
            </w:tcBorders>
            <w:shd w:val="clear" w:color="auto" w:fill="auto"/>
            <w:vAlign w:val="center"/>
            <w:hideMark/>
          </w:tcPr>
          <w:p w14:paraId="7610CAA3"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到</w:t>
            </w:r>
            <w:r w:rsidRPr="007A5571">
              <w:rPr>
                <w:rFonts w:eastAsia="宋体"/>
                <w:color w:val="000000"/>
                <w:kern w:val="0"/>
                <w:sz w:val="22"/>
              </w:rPr>
              <w:t>2030</w:t>
            </w:r>
            <w:r w:rsidRPr="007A5571">
              <w:rPr>
                <w:rFonts w:ascii="楷体" w:eastAsia="楷体" w:hAnsi="楷体" w:hint="eastAsia"/>
                <w:color w:val="000000"/>
                <w:kern w:val="0"/>
                <w:sz w:val="22"/>
              </w:rPr>
              <w:t>轻型货车</w:t>
            </w:r>
            <w:r w:rsidRPr="007A5571">
              <w:rPr>
                <w:rFonts w:eastAsia="宋体"/>
                <w:color w:val="000000"/>
                <w:kern w:val="0"/>
                <w:sz w:val="22"/>
              </w:rPr>
              <w:t>10% ,</w:t>
            </w:r>
            <w:r w:rsidRPr="007A5571">
              <w:rPr>
                <w:rFonts w:ascii="楷体" w:eastAsia="楷体" w:hAnsi="楷体" w:hint="eastAsia"/>
                <w:color w:val="000000"/>
                <w:kern w:val="0"/>
                <w:sz w:val="22"/>
              </w:rPr>
              <w:t>中型货车</w:t>
            </w:r>
            <w:r w:rsidRPr="007A5571">
              <w:rPr>
                <w:rFonts w:eastAsia="宋体"/>
                <w:color w:val="000000"/>
                <w:kern w:val="0"/>
                <w:sz w:val="22"/>
              </w:rPr>
              <w:t xml:space="preserve">3% , </w:t>
            </w:r>
            <w:r w:rsidRPr="007A5571">
              <w:rPr>
                <w:rFonts w:ascii="楷体" w:eastAsia="楷体" w:hAnsi="楷体" w:hint="eastAsia"/>
                <w:color w:val="000000"/>
                <w:kern w:val="0"/>
                <w:sz w:val="22"/>
              </w:rPr>
              <w:t>重型货车</w:t>
            </w:r>
            <w:r w:rsidRPr="007A5571">
              <w:rPr>
                <w:rFonts w:eastAsia="宋体"/>
                <w:color w:val="000000"/>
                <w:kern w:val="0"/>
                <w:sz w:val="22"/>
              </w:rPr>
              <w:t>3%</w:t>
            </w:r>
          </w:p>
        </w:tc>
        <w:tc>
          <w:tcPr>
            <w:tcW w:w="1648" w:type="pct"/>
            <w:tcBorders>
              <w:top w:val="nil"/>
              <w:left w:val="nil"/>
              <w:bottom w:val="single" w:sz="4" w:space="0" w:color="auto"/>
              <w:right w:val="single" w:sz="4" w:space="0" w:color="auto"/>
            </w:tcBorders>
            <w:shd w:val="clear" w:color="auto" w:fill="auto"/>
            <w:vAlign w:val="center"/>
            <w:hideMark/>
          </w:tcPr>
          <w:p w14:paraId="7D3ACB25" w14:textId="49EB4C4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到</w:t>
            </w:r>
            <w:r w:rsidRPr="007A5571">
              <w:rPr>
                <w:rFonts w:eastAsia="宋体"/>
                <w:color w:val="000000"/>
                <w:kern w:val="0"/>
                <w:sz w:val="22"/>
              </w:rPr>
              <w:t>2060</w:t>
            </w:r>
            <w:r w:rsidRPr="007A5571">
              <w:rPr>
                <w:rFonts w:ascii="楷体" w:eastAsia="楷体" w:hAnsi="楷体" w:hint="eastAsia"/>
                <w:color w:val="000000"/>
                <w:kern w:val="0"/>
                <w:sz w:val="22"/>
              </w:rPr>
              <w:t>年轻型货车</w:t>
            </w:r>
            <w:r w:rsidRPr="007A5571">
              <w:rPr>
                <w:rFonts w:eastAsia="宋体"/>
                <w:color w:val="000000"/>
                <w:kern w:val="0"/>
                <w:sz w:val="22"/>
              </w:rPr>
              <w:t>80% ,</w:t>
            </w:r>
            <w:r w:rsidRPr="007A5571">
              <w:rPr>
                <w:rFonts w:ascii="楷体" w:eastAsia="楷体" w:hAnsi="楷体" w:hint="eastAsia"/>
                <w:color w:val="000000"/>
                <w:kern w:val="0"/>
                <w:sz w:val="22"/>
              </w:rPr>
              <w:t>中型货车</w:t>
            </w:r>
            <w:r w:rsidRPr="007A5571">
              <w:rPr>
                <w:rFonts w:eastAsia="宋体"/>
                <w:color w:val="000000"/>
                <w:kern w:val="0"/>
                <w:sz w:val="22"/>
              </w:rPr>
              <w:t xml:space="preserve">70% , </w:t>
            </w:r>
            <w:r w:rsidRPr="007A5571">
              <w:rPr>
                <w:rFonts w:ascii="楷体" w:eastAsia="楷体" w:hAnsi="楷体" w:hint="eastAsia"/>
                <w:color w:val="000000"/>
                <w:kern w:val="0"/>
                <w:sz w:val="22"/>
              </w:rPr>
              <w:t>重型货车</w:t>
            </w:r>
            <w:r w:rsidRPr="007A5571">
              <w:rPr>
                <w:rFonts w:eastAsia="宋体"/>
                <w:color w:val="000000"/>
                <w:kern w:val="0"/>
                <w:sz w:val="22"/>
              </w:rPr>
              <w:t>95%</w:t>
            </w:r>
          </w:p>
        </w:tc>
      </w:tr>
      <w:tr w:rsidR="00C41219" w:rsidRPr="007A5571" w14:paraId="657DCE12" w14:textId="77777777" w:rsidTr="00C41219">
        <w:trPr>
          <w:trHeight w:val="288"/>
        </w:trPr>
        <w:tc>
          <w:tcPr>
            <w:tcW w:w="676" w:type="pct"/>
            <w:gridSpan w:val="2"/>
            <w:vMerge/>
            <w:tcBorders>
              <w:top w:val="single" w:sz="4" w:space="0" w:color="auto"/>
              <w:left w:val="single" w:sz="4" w:space="0" w:color="auto"/>
              <w:bottom w:val="single" w:sz="4" w:space="0" w:color="000000"/>
              <w:right w:val="single" w:sz="4" w:space="0" w:color="000000"/>
            </w:tcBorders>
            <w:vAlign w:val="center"/>
            <w:hideMark/>
          </w:tcPr>
          <w:p w14:paraId="5E5092EF" w14:textId="77777777" w:rsidR="007A5571" w:rsidRPr="007A5571" w:rsidRDefault="007A5571" w:rsidP="007A5571">
            <w:pPr>
              <w:widowControl/>
              <w:spacing w:line="240" w:lineRule="auto"/>
              <w:ind w:firstLineChars="0" w:firstLine="0"/>
              <w:jc w:val="left"/>
              <w:rPr>
                <w:rFonts w:eastAsia="宋体"/>
                <w:b/>
                <w:bCs/>
                <w:color w:val="000000"/>
                <w:kern w:val="0"/>
                <w:sz w:val="22"/>
              </w:rPr>
            </w:pPr>
          </w:p>
        </w:tc>
        <w:tc>
          <w:tcPr>
            <w:tcW w:w="1103" w:type="pct"/>
            <w:tcBorders>
              <w:top w:val="nil"/>
              <w:left w:val="nil"/>
              <w:bottom w:val="single" w:sz="4" w:space="0" w:color="auto"/>
              <w:right w:val="single" w:sz="4" w:space="0" w:color="auto"/>
            </w:tcBorders>
            <w:shd w:val="clear" w:color="auto" w:fill="auto"/>
            <w:noWrap/>
            <w:vAlign w:val="center"/>
            <w:hideMark/>
          </w:tcPr>
          <w:p w14:paraId="5421B8C9"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公路客运领域新能源应用比例</w:t>
            </w:r>
          </w:p>
        </w:tc>
        <w:tc>
          <w:tcPr>
            <w:tcW w:w="1574" w:type="pct"/>
            <w:tcBorders>
              <w:top w:val="nil"/>
              <w:left w:val="nil"/>
              <w:bottom w:val="single" w:sz="4" w:space="0" w:color="auto"/>
              <w:right w:val="single" w:sz="4" w:space="0" w:color="auto"/>
            </w:tcBorders>
            <w:shd w:val="clear" w:color="auto" w:fill="auto"/>
            <w:noWrap/>
            <w:vAlign w:val="center"/>
            <w:hideMark/>
          </w:tcPr>
          <w:p w14:paraId="2CBAC851"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到</w:t>
            </w:r>
            <w:r w:rsidRPr="007A5571">
              <w:rPr>
                <w:rFonts w:eastAsia="宋体"/>
                <w:color w:val="000000"/>
                <w:kern w:val="0"/>
                <w:sz w:val="22"/>
              </w:rPr>
              <w:t>2030</w:t>
            </w:r>
            <w:r w:rsidRPr="007A5571">
              <w:rPr>
                <w:rFonts w:ascii="楷体" w:eastAsia="楷体" w:hAnsi="楷体" w:hint="eastAsia"/>
                <w:color w:val="000000"/>
                <w:kern w:val="0"/>
                <w:sz w:val="22"/>
              </w:rPr>
              <w:t>年达</w:t>
            </w:r>
            <w:r w:rsidRPr="007A5571">
              <w:rPr>
                <w:rFonts w:eastAsia="宋体"/>
                <w:color w:val="000000"/>
                <w:kern w:val="0"/>
                <w:sz w:val="22"/>
              </w:rPr>
              <w:t>10%</w:t>
            </w:r>
          </w:p>
        </w:tc>
        <w:tc>
          <w:tcPr>
            <w:tcW w:w="1648" w:type="pct"/>
            <w:tcBorders>
              <w:top w:val="nil"/>
              <w:left w:val="nil"/>
              <w:bottom w:val="single" w:sz="4" w:space="0" w:color="auto"/>
              <w:right w:val="single" w:sz="4" w:space="0" w:color="auto"/>
            </w:tcBorders>
            <w:shd w:val="clear" w:color="auto" w:fill="auto"/>
            <w:noWrap/>
            <w:vAlign w:val="center"/>
            <w:hideMark/>
          </w:tcPr>
          <w:p w14:paraId="14A3A857"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到</w:t>
            </w:r>
            <w:r w:rsidRPr="007A5571">
              <w:rPr>
                <w:rFonts w:eastAsia="宋体"/>
                <w:color w:val="000000"/>
                <w:kern w:val="0"/>
                <w:sz w:val="22"/>
              </w:rPr>
              <w:t>2060</w:t>
            </w:r>
            <w:r w:rsidRPr="007A5571">
              <w:rPr>
                <w:rFonts w:ascii="楷体" w:eastAsia="楷体" w:hAnsi="楷体" w:hint="eastAsia"/>
                <w:color w:val="000000"/>
                <w:kern w:val="0"/>
                <w:sz w:val="22"/>
              </w:rPr>
              <w:t>年达</w:t>
            </w:r>
            <w:r w:rsidRPr="007A5571">
              <w:rPr>
                <w:rFonts w:eastAsia="宋体"/>
                <w:color w:val="000000"/>
                <w:kern w:val="0"/>
                <w:sz w:val="22"/>
              </w:rPr>
              <w:t>95%</w:t>
            </w:r>
          </w:p>
        </w:tc>
      </w:tr>
      <w:tr w:rsidR="00C41219" w:rsidRPr="007A5571" w14:paraId="68BC3237" w14:textId="77777777" w:rsidTr="00C41219">
        <w:trPr>
          <w:trHeight w:val="576"/>
        </w:trPr>
        <w:tc>
          <w:tcPr>
            <w:tcW w:w="676" w:type="pct"/>
            <w:gridSpan w:val="2"/>
            <w:vMerge/>
            <w:tcBorders>
              <w:top w:val="single" w:sz="4" w:space="0" w:color="auto"/>
              <w:left w:val="single" w:sz="4" w:space="0" w:color="auto"/>
              <w:bottom w:val="single" w:sz="4" w:space="0" w:color="000000"/>
              <w:right w:val="single" w:sz="4" w:space="0" w:color="000000"/>
            </w:tcBorders>
            <w:vAlign w:val="center"/>
            <w:hideMark/>
          </w:tcPr>
          <w:p w14:paraId="265778C9" w14:textId="77777777" w:rsidR="007A5571" w:rsidRPr="007A5571" w:rsidRDefault="007A5571" w:rsidP="007A5571">
            <w:pPr>
              <w:widowControl/>
              <w:spacing w:line="240" w:lineRule="auto"/>
              <w:ind w:firstLineChars="0" w:firstLine="0"/>
              <w:jc w:val="left"/>
              <w:rPr>
                <w:rFonts w:eastAsia="宋体"/>
                <w:b/>
                <w:bCs/>
                <w:color w:val="000000"/>
                <w:kern w:val="0"/>
                <w:sz w:val="22"/>
              </w:rPr>
            </w:pPr>
          </w:p>
        </w:tc>
        <w:tc>
          <w:tcPr>
            <w:tcW w:w="1103" w:type="pct"/>
            <w:tcBorders>
              <w:top w:val="nil"/>
              <w:left w:val="nil"/>
              <w:bottom w:val="single" w:sz="4" w:space="0" w:color="auto"/>
              <w:right w:val="single" w:sz="4" w:space="0" w:color="auto"/>
            </w:tcBorders>
            <w:shd w:val="clear" w:color="auto" w:fill="auto"/>
            <w:noWrap/>
            <w:vAlign w:val="center"/>
            <w:hideMark/>
          </w:tcPr>
          <w:p w14:paraId="04C16E3F"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城市客运领域新能源应用比例</w:t>
            </w:r>
          </w:p>
        </w:tc>
        <w:tc>
          <w:tcPr>
            <w:tcW w:w="1574" w:type="pct"/>
            <w:tcBorders>
              <w:top w:val="nil"/>
              <w:left w:val="nil"/>
              <w:bottom w:val="single" w:sz="4" w:space="0" w:color="auto"/>
              <w:right w:val="single" w:sz="4" w:space="0" w:color="auto"/>
            </w:tcBorders>
            <w:shd w:val="clear" w:color="auto" w:fill="auto"/>
            <w:vAlign w:val="center"/>
            <w:hideMark/>
          </w:tcPr>
          <w:p w14:paraId="0BAF1559"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到</w:t>
            </w:r>
            <w:r w:rsidRPr="007A5571">
              <w:rPr>
                <w:rFonts w:eastAsia="宋体"/>
                <w:color w:val="000000"/>
                <w:kern w:val="0"/>
                <w:sz w:val="22"/>
              </w:rPr>
              <w:t>2030</w:t>
            </w:r>
            <w:r w:rsidRPr="007A5571">
              <w:rPr>
                <w:rFonts w:ascii="楷体" w:eastAsia="楷体" w:hAnsi="楷体" w:hint="eastAsia"/>
                <w:color w:val="000000"/>
                <w:kern w:val="0"/>
                <w:sz w:val="22"/>
              </w:rPr>
              <w:t>私家车</w:t>
            </w:r>
            <w:r w:rsidRPr="007A5571">
              <w:rPr>
                <w:rFonts w:eastAsia="宋体"/>
                <w:color w:val="000000"/>
                <w:kern w:val="0"/>
                <w:sz w:val="22"/>
              </w:rPr>
              <w:t xml:space="preserve">30%, </w:t>
            </w:r>
            <w:r w:rsidRPr="007A5571">
              <w:rPr>
                <w:rFonts w:ascii="楷体" w:eastAsia="楷体" w:hAnsi="楷体" w:hint="eastAsia"/>
                <w:color w:val="000000"/>
                <w:kern w:val="0"/>
                <w:sz w:val="22"/>
              </w:rPr>
              <w:t>公交车</w:t>
            </w:r>
            <w:r w:rsidRPr="007A5571">
              <w:rPr>
                <w:rFonts w:eastAsia="宋体"/>
                <w:color w:val="000000"/>
                <w:kern w:val="0"/>
                <w:sz w:val="22"/>
              </w:rPr>
              <w:t xml:space="preserve">100% , </w:t>
            </w:r>
            <w:r w:rsidRPr="007A5571">
              <w:rPr>
                <w:rFonts w:ascii="楷体" w:eastAsia="楷体" w:hAnsi="楷体" w:hint="eastAsia"/>
                <w:color w:val="000000"/>
                <w:kern w:val="0"/>
                <w:sz w:val="22"/>
              </w:rPr>
              <w:t>出租车</w:t>
            </w:r>
            <w:r w:rsidRPr="007A5571">
              <w:rPr>
                <w:rFonts w:eastAsia="宋体"/>
                <w:color w:val="000000"/>
                <w:kern w:val="0"/>
                <w:sz w:val="22"/>
              </w:rPr>
              <w:t>40% ,</w:t>
            </w:r>
            <w:r w:rsidRPr="007A5571">
              <w:rPr>
                <w:rFonts w:ascii="楷体" w:eastAsia="楷体" w:hAnsi="楷体" w:hint="eastAsia"/>
                <w:color w:val="000000"/>
                <w:kern w:val="0"/>
                <w:sz w:val="22"/>
              </w:rPr>
              <w:t>网约车</w:t>
            </w:r>
            <w:r w:rsidRPr="007A5571">
              <w:rPr>
                <w:rFonts w:eastAsia="宋体"/>
                <w:color w:val="000000"/>
                <w:kern w:val="0"/>
                <w:sz w:val="22"/>
              </w:rPr>
              <w:t xml:space="preserve"> 40%</w:t>
            </w:r>
            <w:r w:rsidRPr="007A5571">
              <w:rPr>
                <w:rFonts w:ascii="楷体" w:eastAsia="楷体" w:hAnsi="楷体" w:hint="eastAsia"/>
                <w:color w:val="000000"/>
                <w:kern w:val="0"/>
                <w:sz w:val="22"/>
              </w:rPr>
              <w:t>。</w:t>
            </w:r>
          </w:p>
        </w:tc>
        <w:tc>
          <w:tcPr>
            <w:tcW w:w="1648" w:type="pct"/>
            <w:tcBorders>
              <w:top w:val="nil"/>
              <w:left w:val="nil"/>
              <w:bottom w:val="single" w:sz="4" w:space="0" w:color="auto"/>
              <w:right w:val="single" w:sz="4" w:space="0" w:color="auto"/>
            </w:tcBorders>
            <w:shd w:val="clear" w:color="auto" w:fill="auto"/>
            <w:vAlign w:val="center"/>
            <w:hideMark/>
          </w:tcPr>
          <w:p w14:paraId="56D29C1F" w14:textId="77777777" w:rsidR="007A5571" w:rsidRPr="007A5571" w:rsidRDefault="007A5571" w:rsidP="007A5571">
            <w:pPr>
              <w:widowControl/>
              <w:spacing w:line="240" w:lineRule="auto"/>
              <w:ind w:firstLineChars="0" w:firstLine="0"/>
              <w:jc w:val="left"/>
              <w:rPr>
                <w:rFonts w:eastAsia="宋体"/>
                <w:color w:val="000000"/>
                <w:kern w:val="0"/>
                <w:sz w:val="22"/>
              </w:rPr>
            </w:pPr>
            <w:r w:rsidRPr="007A5571">
              <w:rPr>
                <w:rFonts w:ascii="楷体" w:eastAsia="楷体" w:hAnsi="楷体" w:hint="eastAsia"/>
                <w:color w:val="000000"/>
                <w:kern w:val="0"/>
                <w:sz w:val="22"/>
              </w:rPr>
              <w:t>到</w:t>
            </w:r>
            <w:r w:rsidRPr="007A5571">
              <w:rPr>
                <w:rFonts w:eastAsia="宋体"/>
                <w:color w:val="000000"/>
                <w:kern w:val="0"/>
                <w:sz w:val="22"/>
              </w:rPr>
              <w:t>2060</w:t>
            </w:r>
            <w:r w:rsidRPr="007A5571">
              <w:rPr>
                <w:rFonts w:ascii="楷体" w:eastAsia="楷体" w:hAnsi="楷体" w:hint="eastAsia"/>
                <w:color w:val="000000"/>
                <w:kern w:val="0"/>
                <w:sz w:val="22"/>
              </w:rPr>
              <w:t>私家车</w:t>
            </w:r>
            <w:r w:rsidRPr="007A5571">
              <w:rPr>
                <w:rFonts w:eastAsia="宋体"/>
                <w:color w:val="000000"/>
                <w:kern w:val="0"/>
                <w:sz w:val="22"/>
              </w:rPr>
              <w:t xml:space="preserve">80%, </w:t>
            </w:r>
            <w:r w:rsidRPr="007A5571">
              <w:rPr>
                <w:rFonts w:ascii="楷体" w:eastAsia="楷体" w:hAnsi="楷体" w:hint="eastAsia"/>
                <w:color w:val="000000"/>
                <w:kern w:val="0"/>
                <w:sz w:val="22"/>
              </w:rPr>
              <w:t>公交车</w:t>
            </w:r>
            <w:r w:rsidRPr="007A5571">
              <w:rPr>
                <w:rFonts w:eastAsia="宋体"/>
                <w:color w:val="000000"/>
                <w:kern w:val="0"/>
                <w:sz w:val="22"/>
              </w:rPr>
              <w:t xml:space="preserve">100% , </w:t>
            </w:r>
            <w:r w:rsidRPr="007A5571">
              <w:rPr>
                <w:rFonts w:ascii="楷体" w:eastAsia="楷体" w:hAnsi="楷体" w:hint="eastAsia"/>
                <w:color w:val="000000"/>
                <w:kern w:val="0"/>
                <w:sz w:val="22"/>
              </w:rPr>
              <w:t>出租车</w:t>
            </w:r>
            <w:r w:rsidRPr="007A5571">
              <w:rPr>
                <w:rFonts w:eastAsia="宋体"/>
                <w:color w:val="000000"/>
                <w:kern w:val="0"/>
                <w:sz w:val="22"/>
              </w:rPr>
              <w:t>100% ,</w:t>
            </w:r>
            <w:r w:rsidRPr="007A5571">
              <w:rPr>
                <w:rFonts w:ascii="楷体" w:eastAsia="楷体" w:hAnsi="楷体" w:hint="eastAsia"/>
                <w:color w:val="000000"/>
                <w:kern w:val="0"/>
                <w:sz w:val="22"/>
              </w:rPr>
              <w:t>网约车</w:t>
            </w:r>
            <w:r w:rsidRPr="007A5571">
              <w:rPr>
                <w:rFonts w:eastAsia="宋体"/>
                <w:color w:val="000000"/>
                <w:kern w:val="0"/>
                <w:sz w:val="22"/>
              </w:rPr>
              <w:t xml:space="preserve"> 100%</w:t>
            </w:r>
          </w:p>
        </w:tc>
      </w:tr>
    </w:tbl>
    <w:p w14:paraId="126DAC76" w14:textId="77777777" w:rsidR="007A5571" w:rsidRDefault="007A5571" w:rsidP="007A5571">
      <w:pPr>
        <w:ind w:firstLineChars="0" w:firstLine="0"/>
        <w:sectPr w:rsidR="007A5571" w:rsidSect="00B01D38">
          <w:pgSz w:w="16838" w:h="11906" w:orient="landscape"/>
          <w:pgMar w:top="1800" w:right="1440" w:bottom="1800" w:left="1440" w:header="851" w:footer="992" w:gutter="0"/>
          <w:pgNumType w:fmt="numberInDash"/>
          <w:cols w:space="425"/>
          <w:docGrid w:type="lines" w:linePitch="381"/>
        </w:sectPr>
      </w:pPr>
    </w:p>
    <w:p w14:paraId="4180DC9F" w14:textId="15BBDC66" w:rsidR="00D51E10" w:rsidRPr="00B430B8" w:rsidRDefault="00D51E10" w:rsidP="005D2FFD">
      <w:pPr>
        <w:ind w:firstLine="562"/>
        <w:outlineLvl w:val="3"/>
        <w:rPr>
          <w:b/>
          <w:bCs/>
        </w:rPr>
      </w:pPr>
      <w:r w:rsidRPr="00B430B8">
        <w:rPr>
          <w:rFonts w:hint="eastAsia"/>
          <w:b/>
          <w:bCs/>
        </w:rPr>
        <w:lastRenderedPageBreak/>
        <w:t>（</w:t>
      </w:r>
      <w:r w:rsidRPr="00B430B8">
        <w:rPr>
          <w:b/>
          <w:bCs/>
        </w:rPr>
        <w:t>3</w:t>
      </w:r>
      <w:r w:rsidRPr="00B430B8">
        <w:rPr>
          <w:rFonts w:hint="eastAsia"/>
          <w:b/>
          <w:bCs/>
        </w:rPr>
        <w:t>）激进情景</w:t>
      </w:r>
    </w:p>
    <w:p w14:paraId="321D8AB8" w14:textId="32A520D9" w:rsidR="00DE1486" w:rsidRDefault="00D51E10" w:rsidP="004B1381">
      <w:pPr>
        <w:ind w:firstLine="560"/>
      </w:pPr>
      <w:r>
        <w:rPr>
          <w:rFonts w:hint="eastAsia"/>
        </w:rPr>
        <w:t>激进</w:t>
      </w:r>
      <w:r w:rsidR="004B1381">
        <w:rPr>
          <w:rFonts w:hint="eastAsia"/>
        </w:rPr>
        <w:t>情景下，</w:t>
      </w:r>
      <w:r>
        <w:rPr>
          <w:rFonts w:hint="eastAsia"/>
        </w:rPr>
        <w:t>强调加快减排措施的应用，以快速减排为首要目标。具体措施包括</w:t>
      </w:r>
      <w:r w:rsidR="00E44C45">
        <w:rPr>
          <w:rFonts w:hint="eastAsia"/>
        </w:rPr>
        <w:t>：加大“公转铁”“公转水”政策力度，激励居民更多采用绿色出行方式，加强“互联网</w:t>
      </w:r>
      <w:r w:rsidR="00E44C45">
        <w:rPr>
          <w:rFonts w:hint="eastAsia"/>
        </w:rPr>
        <w:t>+</w:t>
      </w:r>
      <w:r w:rsidR="00E44C45">
        <w:rPr>
          <w:rFonts w:hint="eastAsia"/>
        </w:rPr>
        <w:t>交通运输”应用，推进智能交通建设，提升交通运行效率；提高传统燃料运载工具的燃料限值，加快淘汰现有老旧车辆；</w:t>
      </w:r>
      <w:r w:rsidR="004B1381">
        <w:rPr>
          <w:rFonts w:hint="eastAsia"/>
        </w:rPr>
        <w:t>通过采用更为激进的新能源车辆渗透率等措施，</w:t>
      </w:r>
      <w:r w:rsidR="00E44C45">
        <w:rPr>
          <w:rFonts w:hint="eastAsia"/>
        </w:rPr>
        <w:t>改善运输工具燃料结构。模型</w:t>
      </w:r>
      <w:r w:rsidR="0087740E">
        <w:rPr>
          <w:rFonts w:hint="eastAsia"/>
        </w:rPr>
        <w:t>结果</w:t>
      </w:r>
      <w:r w:rsidR="00E44C45">
        <w:rPr>
          <w:rFonts w:hint="eastAsia"/>
        </w:rPr>
        <w:t>显示，</w:t>
      </w:r>
      <w:r w:rsidR="004B1381">
        <w:rPr>
          <w:rFonts w:hint="eastAsia"/>
        </w:rPr>
        <w:t>交通运输</w:t>
      </w:r>
      <w:r w:rsidR="00C3292A">
        <w:rPr>
          <w:rFonts w:hint="eastAsia"/>
        </w:rPr>
        <w:t>碳排放</w:t>
      </w:r>
      <w:r w:rsidR="004B1381">
        <w:rPr>
          <w:rFonts w:hint="eastAsia"/>
        </w:rPr>
        <w:t>总量有望于</w:t>
      </w:r>
      <w:r w:rsidR="004B1381">
        <w:rPr>
          <w:rFonts w:hint="eastAsia"/>
        </w:rPr>
        <w:t>2030</w:t>
      </w:r>
      <w:r w:rsidR="004B1381">
        <w:rPr>
          <w:rFonts w:hint="eastAsia"/>
        </w:rPr>
        <w:t>年左右达峰，</w:t>
      </w:r>
      <w:r w:rsidR="00575327">
        <w:rPr>
          <w:rFonts w:hint="eastAsia"/>
        </w:rPr>
        <w:t>碳排放</w:t>
      </w:r>
      <w:r w:rsidR="004B1381">
        <w:rPr>
          <w:rFonts w:hint="eastAsia"/>
        </w:rPr>
        <w:t>峰值排放量为</w:t>
      </w:r>
      <w:r w:rsidR="004B1381">
        <w:rPr>
          <w:rFonts w:hint="eastAsia"/>
        </w:rPr>
        <w:t>12.</w:t>
      </w:r>
      <w:r w:rsidR="00485D67">
        <w:t>6</w:t>
      </w:r>
      <w:r w:rsidR="004B1381">
        <w:rPr>
          <w:rFonts w:hint="eastAsia"/>
        </w:rPr>
        <w:t>亿</w:t>
      </w:r>
      <w:r w:rsidR="004B1381">
        <w:rPr>
          <w:rFonts w:hint="eastAsia"/>
        </w:rPr>
        <w:t>t</w:t>
      </w:r>
      <w:r w:rsidR="004B1381">
        <w:rPr>
          <w:rFonts w:hint="eastAsia"/>
        </w:rPr>
        <w:t>，相比于基准情景峰值下降</w:t>
      </w:r>
      <w:r w:rsidR="00485D67">
        <w:t>22</w:t>
      </w:r>
      <w:r w:rsidR="004B1381">
        <w:rPr>
          <w:rFonts w:hint="eastAsia"/>
        </w:rPr>
        <w:t>.</w:t>
      </w:r>
      <w:r w:rsidR="00485D67">
        <w:t>2</w:t>
      </w:r>
      <w:r w:rsidR="004B1381">
        <w:rPr>
          <w:rFonts w:hint="eastAsia"/>
        </w:rPr>
        <w:t>%</w:t>
      </w:r>
      <w:r w:rsidR="004B1381">
        <w:rPr>
          <w:rFonts w:hint="eastAsia"/>
        </w:rPr>
        <w:t>。</w:t>
      </w:r>
      <w:r w:rsidR="00C41219">
        <w:rPr>
          <w:rFonts w:hint="eastAsia"/>
        </w:rPr>
        <w:t>2</w:t>
      </w:r>
      <w:r w:rsidR="00C41219">
        <w:t>050</w:t>
      </w:r>
      <w:r w:rsidR="00C41219">
        <w:rPr>
          <w:rFonts w:hint="eastAsia"/>
        </w:rPr>
        <w:t>年</w:t>
      </w:r>
      <w:r w:rsidR="00575327">
        <w:rPr>
          <w:rFonts w:hint="eastAsia"/>
        </w:rPr>
        <w:t>、</w:t>
      </w:r>
      <w:r w:rsidR="00575327">
        <w:rPr>
          <w:rFonts w:hint="eastAsia"/>
        </w:rPr>
        <w:t>2</w:t>
      </w:r>
      <w:r w:rsidR="00575327">
        <w:t>055</w:t>
      </w:r>
      <w:r w:rsidR="00575327">
        <w:rPr>
          <w:rFonts w:hint="eastAsia"/>
        </w:rPr>
        <w:t>年、</w:t>
      </w:r>
      <w:r w:rsidR="004B1381">
        <w:rPr>
          <w:rFonts w:hint="eastAsia"/>
        </w:rPr>
        <w:t>20</w:t>
      </w:r>
      <w:r w:rsidR="00485D67">
        <w:t>6</w:t>
      </w:r>
      <w:r w:rsidR="004B1381">
        <w:rPr>
          <w:rFonts w:hint="eastAsia"/>
        </w:rPr>
        <w:t>0</w:t>
      </w:r>
      <w:r w:rsidR="004B1381">
        <w:rPr>
          <w:rFonts w:hint="eastAsia"/>
        </w:rPr>
        <w:t>年</w:t>
      </w:r>
      <w:r w:rsidR="00C3292A">
        <w:rPr>
          <w:rFonts w:hint="eastAsia"/>
        </w:rPr>
        <w:t>碳排放</w:t>
      </w:r>
      <w:r w:rsidR="004B1381">
        <w:rPr>
          <w:rFonts w:hint="eastAsia"/>
        </w:rPr>
        <w:t>量</w:t>
      </w:r>
      <w:r w:rsidR="00575327">
        <w:rPr>
          <w:rFonts w:hint="eastAsia"/>
        </w:rPr>
        <w:t>分别</w:t>
      </w:r>
      <w:r w:rsidR="004B1381">
        <w:rPr>
          <w:rFonts w:hint="eastAsia"/>
        </w:rPr>
        <w:t>下降到</w:t>
      </w:r>
      <w:r w:rsidR="00575327">
        <w:t>3.5</w:t>
      </w:r>
      <w:r w:rsidR="004B1381">
        <w:rPr>
          <w:rFonts w:hint="eastAsia"/>
        </w:rPr>
        <w:t>亿</w:t>
      </w:r>
      <w:r w:rsidR="004B1381">
        <w:rPr>
          <w:rFonts w:hint="eastAsia"/>
        </w:rPr>
        <w:t>t</w:t>
      </w:r>
      <w:r w:rsidR="00575327">
        <w:rPr>
          <w:rFonts w:hint="eastAsia"/>
        </w:rPr>
        <w:t>、</w:t>
      </w:r>
      <w:r w:rsidR="00575327">
        <w:rPr>
          <w:rFonts w:hint="eastAsia"/>
        </w:rPr>
        <w:t>1</w:t>
      </w:r>
      <w:r w:rsidR="00575327">
        <w:t>.9</w:t>
      </w:r>
      <w:r w:rsidR="00575327">
        <w:rPr>
          <w:rFonts w:hint="eastAsia"/>
        </w:rPr>
        <w:t>亿</w:t>
      </w:r>
      <w:r w:rsidR="00575327">
        <w:rPr>
          <w:rFonts w:hint="eastAsia"/>
        </w:rPr>
        <w:t>t</w:t>
      </w:r>
      <w:r w:rsidR="00575327">
        <w:rPr>
          <w:rFonts w:hint="eastAsia"/>
        </w:rPr>
        <w:t>、</w:t>
      </w:r>
      <w:r w:rsidR="00575327">
        <w:rPr>
          <w:rFonts w:hint="eastAsia"/>
        </w:rPr>
        <w:t>0</w:t>
      </w:r>
      <w:r w:rsidR="00575327">
        <w:t>.66</w:t>
      </w:r>
      <w:r w:rsidR="00575327">
        <w:rPr>
          <w:rFonts w:hint="eastAsia"/>
        </w:rPr>
        <w:t>亿</w:t>
      </w:r>
      <w:r w:rsidR="00575327">
        <w:rPr>
          <w:rFonts w:hint="eastAsia"/>
        </w:rPr>
        <w:t>t</w:t>
      </w:r>
      <w:r w:rsidR="00575327">
        <w:rPr>
          <w:rFonts w:hint="eastAsia"/>
        </w:rPr>
        <w:t>，</w:t>
      </w:r>
      <w:r w:rsidR="00575327">
        <w:rPr>
          <w:rFonts w:hint="eastAsia"/>
        </w:rPr>
        <w:t>2</w:t>
      </w:r>
      <w:r w:rsidR="00575327">
        <w:t>050</w:t>
      </w:r>
      <w:r w:rsidR="00575327">
        <w:rPr>
          <w:rFonts w:hint="eastAsia"/>
        </w:rPr>
        <w:t>年</w:t>
      </w:r>
      <w:r w:rsidR="00575327">
        <w:rPr>
          <w:rFonts w:hint="eastAsia"/>
        </w:rPr>
        <w:t>-</w:t>
      </w:r>
      <w:r w:rsidR="00575327">
        <w:t>2060</w:t>
      </w:r>
      <w:r w:rsidR="00575327">
        <w:rPr>
          <w:rFonts w:hint="eastAsia"/>
        </w:rPr>
        <w:t>年间下降幅度达</w:t>
      </w:r>
      <w:r w:rsidR="00575327">
        <w:rPr>
          <w:rFonts w:hint="eastAsia"/>
        </w:rPr>
        <w:t>8</w:t>
      </w:r>
      <w:r w:rsidR="00575327">
        <w:t>1.3</w:t>
      </w:r>
      <w:r w:rsidR="00575327">
        <w:rPr>
          <w:rFonts w:hint="eastAsia"/>
        </w:rPr>
        <w:t>%</w:t>
      </w:r>
      <w:r w:rsidR="00575327">
        <w:rPr>
          <w:rFonts w:hint="eastAsia"/>
        </w:rPr>
        <w:t>。</w:t>
      </w:r>
    </w:p>
    <w:p w14:paraId="03B06084" w14:textId="6077D439" w:rsidR="004B1381" w:rsidRDefault="00E44C45" w:rsidP="004B1381">
      <w:pPr>
        <w:ind w:firstLineChars="0" w:firstLine="0"/>
      </w:pPr>
      <w:r>
        <w:rPr>
          <w:noProof/>
        </w:rPr>
        <w:drawing>
          <wp:inline distT="0" distB="0" distL="0" distR="0" wp14:anchorId="701584F1" wp14:editId="13DFFC3F">
            <wp:extent cx="5274310" cy="2901950"/>
            <wp:effectExtent l="0" t="0" r="2540" b="12700"/>
            <wp:docPr id="27" name="图表 27">
              <a:extLst xmlns:a="http://schemas.openxmlformats.org/drawingml/2006/main">
                <a:ext uri="{FF2B5EF4-FFF2-40B4-BE49-F238E27FC236}">
                  <a16:creationId xmlns:a16="http://schemas.microsoft.com/office/drawing/2014/main" id="{AFE873E0-0D61-4831-B868-A9018B2522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14:paraId="56B0EFB1" w14:textId="63AA155B" w:rsidR="00485D67" w:rsidRPr="00463609" w:rsidRDefault="00485D67" w:rsidP="00AB1A75">
      <w:pPr>
        <w:ind w:firstLineChars="0" w:firstLine="0"/>
        <w:jc w:val="center"/>
        <w:rPr>
          <w:rFonts w:eastAsia="黑体"/>
          <w:sz w:val="24"/>
          <w:szCs w:val="21"/>
        </w:rPr>
      </w:pPr>
      <w:r w:rsidRPr="00463609">
        <w:rPr>
          <w:rFonts w:eastAsia="黑体" w:hint="eastAsia"/>
          <w:sz w:val="24"/>
          <w:szCs w:val="21"/>
        </w:rPr>
        <w:t>图</w:t>
      </w:r>
      <w:r w:rsidR="00CD32C3" w:rsidRPr="00463609">
        <w:rPr>
          <w:rFonts w:eastAsia="黑体" w:hint="eastAsia"/>
          <w:sz w:val="24"/>
          <w:szCs w:val="21"/>
        </w:rPr>
        <w:t>4</w:t>
      </w:r>
      <w:r w:rsidR="00CD32C3" w:rsidRPr="00463609">
        <w:rPr>
          <w:rFonts w:eastAsia="黑体"/>
          <w:sz w:val="24"/>
          <w:szCs w:val="21"/>
        </w:rPr>
        <w:t>-2</w:t>
      </w:r>
      <w:r w:rsidR="00755DFF">
        <w:rPr>
          <w:rFonts w:eastAsia="黑体"/>
          <w:sz w:val="24"/>
          <w:szCs w:val="21"/>
        </w:rPr>
        <w:t>5</w:t>
      </w:r>
      <w:r w:rsidR="00DC67F8" w:rsidRPr="00463609">
        <w:rPr>
          <w:rFonts w:eastAsia="黑体" w:hint="eastAsia"/>
          <w:sz w:val="24"/>
          <w:szCs w:val="21"/>
        </w:rPr>
        <w:t xml:space="preserve"> </w:t>
      </w:r>
      <w:r w:rsidR="00DC67F8" w:rsidRPr="00463609">
        <w:rPr>
          <w:rFonts w:eastAsia="黑体" w:hint="eastAsia"/>
          <w:sz w:val="24"/>
          <w:szCs w:val="21"/>
        </w:rPr>
        <w:t>激进</w:t>
      </w:r>
      <w:r w:rsidRPr="00463609">
        <w:rPr>
          <w:rFonts w:eastAsia="黑体" w:hint="eastAsia"/>
          <w:sz w:val="24"/>
          <w:szCs w:val="21"/>
        </w:rPr>
        <w:t>情景下采用不同政策措施碳排放趋势图</w:t>
      </w:r>
    </w:p>
    <w:p w14:paraId="0C85459A" w14:textId="77777777" w:rsidR="0022226F" w:rsidRDefault="0022226F" w:rsidP="00485D67">
      <w:pPr>
        <w:ind w:firstLineChars="0" w:firstLine="564"/>
      </w:pPr>
    </w:p>
    <w:p w14:paraId="16F2EC3A" w14:textId="2440DA23" w:rsidR="00755DFF" w:rsidRPr="00877BF6" w:rsidRDefault="00117A76" w:rsidP="00755DFF">
      <w:pPr>
        <w:ind w:firstLine="560"/>
      </w:pPr>
      <w:r>
        <w:rPr>
          <w:rFonts w:hint="eastAsia"/>
        </w:rPr>
        <w:t>在激进情景下，</w:t>
      </w:r>
      <w:r w:rsidR="00755DFF">
        <w:rPr>
          <w:rFonts w:hint="eastAsia"/>
        </w:rPr>
        <w:t>到</w:t>
      </w:r>
      <w:r w:rsidR="00755DFF">
        <w:rPr>
          <w:rFonts w:hint="eastAsia"/>
        </w:rPr>
        <w:t>2</w:t>
      </w:r>
      <w:r w:rsidR="00755DFF">
        <w:t>03</w:t>
      </w:r>
      <w:r>
        <w:t>0</w:t>
      </w:r>
      <w:r w:rsidR="00755DFF">
        <w:rPr>
          <w:rFonts w:hint="eastAsia"/>
        </w:rPr>
        <w:t>年，当采取不同的政策措施时，如图</w:t>
      </w:r>
      <w:r w:rsidR="00755DFF">
        <w:rPr>
          <w:rFonts w:hint="eastAsia"/>
        </w:rPr>
        <w:t>4-</w:t>
      </w:r>
      <w:r w:rsidR="00755DFF">
        <w:t>2</w:t>
      </w:r>
      <w:r>
        <w:t>6</w:t>
      </w:r>
      <w:r w:rsidR="00755DFF">
        <w:rPr>
          <w:rFonts w:hint="eastAsia"/>
        </w:rPr>
        <w:t>，能够看出运输结构调整、能效提升、新能源应用三类措施的减排效果依次增强，相比于基准情景，分别能够贡献</w:t>
      </w:r>
      <w:r w:rsidR="00755DFF">
        <w:t>0.</w:t>
      </w:r>
      <w:r>
        <w:t>46</w:t>
      </w:r>
      <w:r w:rsidR="00755DFF">
        <w:rPr>
          <w:rFonts w:hint="eastAsia"/>
        </w:rPr>
        <w:t>、</w:t>
      </w:r>
      <w:r w:rsidR="00755DFF">
        <w:rPr>
          <w:rFonts w:hint="eastAsia"/>
        </w:rPr>
        <w:t>0</w:t>
      </w:r>
      <w:r w:rsidR="00755DFF">
        <w:t>.6</w:t>
      </w:r>
      <w:r>
        <w:t>1</w:t>
      </w:r>
      <w:r w:rsidR="00755DFF">
        <w:rPr>
          <w:rFonts w:hint="eastAsia"/>
        </w:rPr>
        <w:t>、</w:t>
      </w:r>
      <w:r>
        <w:rPr>
          <w:rFonts w:hint="eastAsia"/>
        </w:rPr>
        <w:t>0</w:t>
      </w:r>
      <w:r>
        <w:t>.93</w:t>
      </w:r>
      <w:r w:rsidR="00755DFF">
        <w:rPr>
          <w:rFonts w:hint="eastAsia"/>
        </w:rPr>
        <w:t>亿</w:t>
      </w:r>
      <w:r w:rsidR="00755DFF">
        <w:rPr>
          <w:rFonts w:hint="eastAsia"/>
        </w:rPr>
        <w:lastRenderedPageBreak/>
        <w:t>t</w:t>
      </w:r>
      <w:r w:rsidR="00755DFF">
        <w:rPr>
          <w:rFonts w:hint="eastAsia"/>
        </w:rPr>
        <w:t>的减排量，减排贡献占比分别为</w:t>
      </w:r>
      <w:r w:rsidR="00755DFF">
        <w:rPr>
          <w:rFonts w:hint="eastAsia"/>
        </w:rPr>
        <w:t>2</w:t>
      </w:r>
      <w:r>
        <w:t>3</w:t>
      </w:r>
      <w:r w:rsidR="00755DFF">
        <w:rPr>
          <w:rFonts w:hint="eastAsia"/>
        </w:rPr>
        <w:t>%</w:t>
      </w:r>
      <w:r w:rsidR="00755DFF">
        <w:rPr>
          <w:rFonts w:hint="eastAsia"/>
        </w:rPr>
        <w:t>，</w:t>
      </w:r>
      <w:r>
        <w:t>31</w:t>
      </w:r>
      <w:r w:rsidR="00755DFF">
        <w:rPr>
          <w:rFonts w:hint="eastAsia"/>
        </w:rPr>
        <w:t>%</w:t>
      </w:r>
      <w:r w:rsidR="00755DFF">
        <w:rPr>
          <w:rFonts w:hint="eastAsia"/>
        </w:rPr>
        <w:t>，</w:t>
      </w:r>
      <w:r>
        <w:t>47</w:t>
      </w:r>
      <w:r w:rsidR="00755DFF">
        <w:rPr>
          <w:rFonts w:hint="eastAsia"/>
        </w:rPr>
        <w:t>%</w:t>
      </w:r>
      <w:r w:rsidR="00755DFF">
        <w:rPr>
          <w:rFonts w:hint="eastAsia"/>
        </w:rPr>
        <w:t>。</w:t>
      </w:r>
      <w:r>
        <w:rPr>
          <w:rFonts w:hint="eastAsia"/>
        </w:rPr>
        <w:t>相比</w:t>
      </w:r>
      <w:r w:rsidRPr="00117A76">
        <w:rPr>
          <w:rFonts w:hint="eastAsia"/>
        </w:rPr>
        <w:t>双碳政策推演情景</w:t>
      </w:r>
      <w:r>
        <w:rPr>
          <w:rFonts w:hint="eastAsia"/>
        </w:rPr>
        <w:t>，激进情景下达峰年，新能源应用的贡献率稍小，主要原因是</w:t>
      </w:r>
      <w:r>
        <w:rPr>
          <w:rFonts w:hint="eastAsia"/>
        </w:rPr>
        <w:t>2</w:t>
      </w:r>
      <w:r>
        <w:t>030</w:t>
      </w:r>
      <w:r>
        <w:rPr>
          <w:rFonts w:hint="eastAsia"/>
        </w:rPr>
        <w:t>年，部分新能源运载工具的技术不成熟，普及率相对较低导致。</w:t>
      </w:r>
    </w:p>
    <w:p w14:paraId="01EA62FE" w14:textId="5DFA7D5A" w:rsidR="000C5216" w:rsidRDefault="001E22FE" w:rsidP="000C5216">
      <w:pPr>
        <w:ind w:firstLineChars="0" w:firstLine="0"/>
      </w:pPr>
      <w:r>
        <w:rPr>
          <w:noProof/>
        </w:rPr>
        <mc:AlternateContent>
          <mc:Choice Requires="cx1">
            <w:drawing>
              <wp:inline distT="0" distB="0" distL="0" distR="0" wp14:anchorId="6DA7BCE9" wp14:editId="17778C2E">
                <wp:extent cx="5274310" cy="3388360"/>
                <wp:effectExtent l="0" t="0" r="2540" b="2540"/>
                <wp:docPr id="6161" name="图表 6161">
                  <a:extLst xmlns:a="http://schemas.openxmlformats.org/drawingml/2006/main">
                    <a:ext uri="{FF2B5EF4-FFF2-40B4-BE49-F238E27FC236}">
                      <a16:creationId xmlns:a16="http://schemas.microsoft.com/office/drawing/2014/main" id="{24AE23C4-38E9-4066-9437-677A64237A26}"/>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76"/>
                  </a:graphicData>
                </a:graphic>
              </wp:inline>
            </w:drawing>
          </mc:Choice>
          <mc:Fallback>
            <w:drawing>
              <wp:inline distT="0" distB="0" distL="0" distR="0" wp14:anchorId="6DA7BCE9" wp14:editId="17778C2E">
                <wp:extent cx="5274310" cy="3388360"/>
                <wp:effectExtent l="0" t="0" r="2540" b="2540"/>
                <wp:docPr id="6161" name="图表 6161">
                  <a:extLst xmlns:a="http://schemas.openxmlformats.org/drawingml/2006/main">
                    <a:ext uri="{FF2B5EF4-FFF2-40B4-BE49-F238E27FC236}">
                      <a16:creationId xmlns:a16="http://schemas.microsoft.com/office/drawing/2014/main" id="{24AE23C4-38E9-4066-9437-677A64237A26}"/>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161" name="图表 6161">
                          <a:extLst>
                            <a:ext uri="{FF2B5EF4-FFF2-40B4-BE49-F238E27FC236}">
                              <a16:creationId xmlns:a16="http://schemas.microsoft.com/office/drawing/2014/main" id="{24AE23C4-38E9-4066-9437-677A64237A26}"/>
                            </a:ext>
                          </a:extLst>
                        </pic:cNvPr>
                        <pic:cNvPicPr>
                          <a:picLocks noGrp="1" noRot="1" noChangeAspect="1" noMove="1" noResize="1" noEditPoints="1" noAdjustHandles="1" noChangeArrowheads="1" noChangeShapeType="1"/>
                        </pic:cNvPicPr>
                      </pic:nvPicPr>
                      <pic:blipFill>
                        <a:blip r:embed="rId77"/>
                        <a:stretch>
                          <a:fillRect/>
                        </a:stretch>
                      </pic:blipFill>
                      <pic:spPr>
                        <a:xfrm>
                          <a:off x="0" y="0"/>
                          <a:ext cx="5274310" cy="3388360"/>
                        </a:xfrm>
                        <a:prstGeom prst="rect">
                          <a:avLst/>
                        </a:prstGeom>
                      </pic:spPr>
                    </pic:pic>
                  </a:graphicData>
                </a:graphic>
              </wp:inline>
            </w:drawing>
          </mc:Fallback>
        </mc:AlternateContent>
      </w:r>
    </w:p>
    <w:p w14:paraId="6C08032D" w14:textId="422826D1" w:rsidR="007B2D37" w:rsidRPr="00877BF6" w:rsidRDefault="007B2D37" w:rsidP="007B2D37">
      <w:pPr>
        <w:ind w:firstLineChars="0" w:firstLine="0"/>
        <w:jc w:val="center"/>
        <w:rPr>
          <w:sz w:val="24"/>
          <w:szCs w:val="21"/>
        </w:rPr>
      </w:pPr>
      <w:r w:rsidRPr="00877BF6">
        <w:rPr>
          <w:rFonts w:eastAsia="黑体" w:hint="eastAsia"/>
          <w:sz w:val="24"/>
          <w:szCs w:val="21"/>
        </w:rPr>
        <w:t>图</w:t>
      </w:r>
      <w:r w:rsidRPr="00877BF6">
        <w:rPr>
          <w:rFonts w:eastAsia="黑体" w:hint="eastAsia"/>
          <w:sz w:val="24"/>
          <w:szCs w:val="21"/>
        </w:rPr>
        <w:t>4</w:t>
      </w:r>
      <w:r w:rsidRPr="00877BF6">
        <w:rPr>
          <w:rFonts w:eastAsia="黑体"/>
          <w:sz w:val="24"/>
          <w:szCs w:val="21"/>
        </w:rPr>
        <w:t>-2</w:t>
      </w:r>
      <w:r w:rsidR="00755DFF">
        <w:rPr>
          <w:rFonts w:eastAsia="黑体"/>
          <w:sz w:val="24"/>
          <w:szCs w:val="21"/>
        </w:rPr>
        <w:t>6</w:t>
      </w:r>
      <w:r w:rsidRPr="00877BF6">
        <w:rPr>
          <w:rFonts w:eastAsia="黑体" w:hint="eastAsia"/>
          <w:sz w:val="24"/>
          <w:szCs w:val="21"/>
        </w:rPr>
        <w:t xml:space="preserve"> </w:t>
      </w:r>
      <w:r>
        <w:rPr>
          <w:rFonts w:eastAsia="黑体"/>
          <w:sz w:val="24"/>
          <w:szCs w:val="21"/>
        </w:rPr>
        <w:t>203</w:t>
      </w:r>
      <w:r w:rsidR="001E22FE">
        <w:rPr>
          <w:rFonts w:eastAsia="黑体"/>
          <w:sz w:val="24"/>
          <w:szCs w:val="21"/>
        </w:rPr>
        <w:t>0</w:t>
      </w:r>
      <w:r>
        <w:rPr>
          <w:rFonts w:eastAsia="黑体" w:hint="eastAsia"/>
          <w:sz w:val="24"/>
          <w:szCs w:val="21"/>
        </w:rPr>
        <w:t>年激进</w:t>
      </w:r>
      <w:r w:rsidRPr="00877BF6">
        <w:rPr>
          <w:rFonts w:eastAsia="黑体" w:hint="eastAsia"/>
          <w:sz w:val="24"/>
          <w:szCs w:val="21"/>
        </w:rPr>
        <w:t>情景下碳排放解构</w:t>
      </w:r>
    </w:p>
    <w:p w14:paraId="2E9CE40C" w14:textId="53E56AB0" w:rsidR="000C5216" w:rsidRPr="007B2D37" w:rsidRDefault="000C5216" w:rsidP="000C5216">
      <w:pPr>
        <w:ind w:firstLineChars="0" w:firstLine="0"/>
      </w:pPr>
    </w:p>
    <w:p w14:paraId="63F05282" w14:textId="092E4531" w:rsidR="00117A76" w:rsidRDefault="00117A76" w:rsidP="001E22FE">
      <w:pPr>
        <w:ind w:firstLine="560"/>
      </w:pPr>
      <w:r>
        <w:rPr>
          <w:rFonts w:hint="eastAsia"/>
        </w:rPr>
        <w:t>到</w:t>
      </w:r>
      <w:r>
        <w:rPr>
          <w:rFonts w:hint="eastAsia"/>
        </w:rPr>
        <w:t>2</w:t>
      </w:r>
      <w:r>
        <w:t>060</w:t>
      </w:r>
      <w:r>
        <w:rPr>
          <w:rFonts w:hint="eastAsia"/>
        </w:rPr>
        <w:t>年，如图</w:t>
      </w:r>
      <w:r>
        <w:rPr>
          <w:rFonts w:hint="eastAsia"/>
        </w:rPr>
        <w:t>4-</w:t>
      </w:r>
      <w:r>
        <w:t>27</w:t>
      </w:r>
      <w:r>
        <w:rPr>
          <w:rFonts w:hint="eastAsia"/>
        </w:rPr>
        <w:t>，运输结构调整、能效提升等政策减排效果进一步减弱，新能源应用减排效果最为突出，相比于基准情景，分别能够贡献</w:t>
      </w:r>
      <w:r>
        <w:t>1.10</w:t>
      </w:r>
      <w:r w:rsidR="00FE471F">
        <w:rPr>
          <w:rFonts w:hint="eastAsia"/>
        </w:rPr>
        <w:t>亿</w:t>
      </w:r>
      <w:r w:rsidR="00FE471F">
        <w:rPr>
          <w:rFonts w:hint="eastAsia"/>
        </w:rPr>
        <w:t>t</w:t>
      </w:r>
      <w:r>
        <w:rPr>
          <w:rFonts w:hint="eastAsia"/>
        </w:rPr>
        <w:t>、</w:t>
      </w:r>
      <w:r>
        <w:t>2.36</w:t>
      </w:r>
      <w:r w:rsidR="00FE471F">
        <w:rPr>
          <w:rFonts w:hint="eastAsia"/>
        </w:rPr>
        <w:t>亿</w:t>
      </w:r>
      <w:r w:rsidR="00FE471F">
        <w:rPr>
          <w:rFonts w:hint="eastAsia"/>
        </w:rPr>
        <w:t>t</w:t>
      </w:r>
      <w:r>
        <w:rPr>
          <w:rFonts w:hint="eastAsia"/>
        </w:rPr>
        <w:t>、</w:t>
      </w:r>
      <w:r>
        <w:t>7</w:t>
      </w:r>
      <w:r>
        <w:rPr>
          <w:rFonts w:hint="eastAsia"/>
        </w:rPr>
        <w:t>亿</w:t>
      </w:r>
      <w:r>
        <w:rPr>
          <w:rFonts w:hint="eastAsia"/>
        </w:rPr>
        <w:t>t</w:t>
      </w:r>
      <w:r>
        <w:rPr>
          <w:rFonts w:hint="eastAsia"/>
        </w:rPr>
        <w:t>的减排量，减排贡献占比分别为</w:t>
      </w:r>
      <w:r>
        <w:t>11</w:t>
      </w:r>
      <w:r>
        <w:rPr>
          <w:rFonts w:hint="eastAsia"/>
        </w:rPr>
        <w:t>%</w:t>
      </w:r>
      <w:r>
        <w:rPr>
          <w:rFonts w:hint="eastAsia"/>
        </w:rPr>
        <w:t>，</w:t>
      </w:r>
      <w:r>
        <w:t>23</w:t>
      </w:r>
      <w:r>
        <w:rPr>
          <w:rFonts w:hint="eastAsia"/>
        </w:rPr>
        <w:t>%</w:t>
      </w:r>
      <w:r>
        <w:rPr>
          <w:rFonts w:hint="eastAsia"/>
        </w:rPr>
        <w:t>，</w:t>
      </w:r>
      <w:r>
        <w:t>67</w:t>
      </w:r>
      <w:r>
        <w:rPr>
          <w:rFonts w:hint="eastAsia"/>
        </w:rPr>
        <w:t>%</w:t>
      </w:r>
      <w:r>
        <w:rPr>
          <w:rFonts w:hint="eastAsia"/>
        </w:rPr>
        <w:t>。相比</w:t>
      </w:r>
      <w:r w:rsidRPr="00117A76">
        <w:rPr>
          <w:rFonts w:hint="eastAsia"/>
        </w:rPr>
        <w:t>双碳政策推演情景</w:t>
      </w:r>
      <w:r>
        <w:rPr>
          <w:rFonts w:hint="eastAsia"/>
        </w:rPr>
        <w:t>，激进情景下中新能源应用的贡献率稍小，能效提升的减排量增长较大。主要原因是，在此情景中，为加快交通部门达峰时间，加大了传统燃料运载工具节能减排技术的应用</w:t>
      </w:r>
      <w:r w:rsidR="00C5210F">
        <w:rPr>
          <w:rFonts w:hint="eastAsia"/>
        </w:rPr>
        <w:t>力度</w:t>
      </w:r>
      <w:r>
        <w:rPr>
          <w:rFonts w:hint="eastAsia"/>
        </w:rPr>
        <w:t>，</w:t>
      </w:r>
      <w:r w:rsidR="00C5210F">
        <w:rPr>
          <w:rFonts w:hint="eastAsia"/>
        </w:rPr>
        <w:t>释放了一部分减排潜力，相较于</w:t>
      </w:r>
      <w:r w:rsidR="00C5210F" w:rsidRPr="00117A76">
        <w:rPr>
          <w:rFonts w:hint="eastAsia"/>
        </w:rPr>
        <w:t>双碳政策推演情景</w:t>
      </w:r>
      <w:r w:rsidR="00C5210F">
        <w:rPr>
          <w:rFonts w:hint="eastAsia"/>
        </w:rPr>
        <w:t>的能效提升政策，减排效果增强了</w:t>
      </w:r>
      <w:r w:rsidR="00C5210F">
        <w:rPr>
          <w:rFonts w:hint="eastAsia"/>
        </w:rPr>
        <w:t>4</w:t>
      </w:r>
      <w:r w:rsidR="00C5210F">
        <w:t>1.3</w:t>
      </w:r>
      <w:r w:rsidR="00C5210F">
        <w:rPr>
          <w:rFonts w:hint="eastAsia"/>
        </w:rPr>
        <w:t>%</w:t>
      </w:r>
      <w:r w:rsidR="00C5210F">
        <w:rPr>
          <w:rFonts w:hint="eastAsia"/>
        </w:rPr>
        <w:t>。</w:t>
      </w:r>
    </w:p>
    <w:p w14:paraId="233AC2F9" w14:textId="2A3CBD24" w:rsidR="000C5216" w:rsidRPr="00117A76" w:rsidRDefault="001E22FE" w:rsidP="000C5216">
      <w:pPr>
        <w:ind w:firstLineChars="0" w:firstLine="0"/>
      </w:pPr>
      <w:r>
        <w:rPr>
          <w:noProof/>
        </w:rPr>
        <w:lastRenderedPageBreak/>
        <mc:AlternateContent>
          <mc:Choice Requires="cx1">
            <w:drawing>
              <wp:inline distT="0" distB="0" distL="0" distR="0" wp14:anchorId="7730E5D1" wp14:editId="6049710A">
                <wp:extent cx="5274310" cy="3388360"/>
                <wp:effectExtent l="0" t="0" r="2540" b="2540"/>
                <wp:docPr id="6162" name="图表 6162">
                  <a:extLst xmlns:a="http://schemas.openxmlformats.org/drawingml/2006/main">
                    <a:ext uri="{FF2B5EF4-FFF2-40B4-BE49-F238E27FC236}">
                      <a16:creationId xmlns:a16="http://schemas.microsoft.com/office/drawing/2014/main" id="{D0A52FD8-7513-435C-AF07-16892F5EB93D}"/>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78"/>
                  </a:graphicData>
                </a:graphic>
              </wp:inline>
            </w:drawing>
          </mc:Choice>
          <mc:Fallback>
            <w:drawing>
              <wp:inline distT="0" distB="0" distL="0" distR="0" wp14:anchorId="7730E5D1" wp14:editId="6049710A">
                <wp:extent cx="5274310" cy="3388360"/>
                <wp:effectExtent l="0" t="0" r="2540" b="2540"/>
                <wp:docPr id="6162" name="图表 6162">
                  <a:extLst xmlns:a="http://schemas.openxmlformats.org/drawingml/2006/main">
                    <a:ext uri="{FF2B5EF4-FFF2-40B4-BE49-F238E27FC236}">
                      <a16:creationId xmlns:a16="http://schemas.microsoft.com/office/drawing/2014/main" id="{D0A52FD8-7513-435C-AF07-16892F5EB93D}"/>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162" name="图表 6162">
                          <a:extLst>
                            <a:ext uri="{FF2B5EF4-FFF2-40B4-BE49-F238E27FC236}">
                              <a16:creationId xmlns:a16="http://schemas.microsoft.com/office/drawing/2014/main" id="{D0A52FD8-7513-435C-AF07-16892F5EB93D}"/>
                            </a:ext>
                          </a:extLst>
                        </pic:cNvPr>
                        <pic:cNvPicPr>
                          <a:picLocks noGrp="1" noRot="1" noChangeAspect="1" noMove="1" noResize="1" noEditPoints="1" noAdjustHandles="1" noChangeArrowheads="1" noChangeShapeType="1"/>
                        </pic:cNvPicPr>
                      </pic:nvPicPr>
                      <pic:blipFill>
                        <a:blip r:embed="rId79"/>
                        <a:stretch>
                          <a:fillRect/>
                        </a:stretch>
                      </pic:blipFill>
                      <pic:spPr>
                        <a:xfrm>
                          <a:off x="0" y="0"/>
                          <a:ext cx="5274310" cy="3388360"/>
                        </a:xfrm>
                        <a:prstGeom prst="rect">
                          <a:avLst/>
                        </a:prstGeom>
                      </pic:spPr>
                    </pic:pic>
                  </a:graphicData>
                </a:graphic>
              </wp:inline>
            </w:drawing>
          </mc:Fallback>
        </mc:AlternateContent>
      </w:r>
    </w:p>
    <w:p w14:paraId="0A6ED5B4" w14:textId="1AC2FF79" w:rsidR="007B2D37" w:rsidRPr="00877BF6" w:rsidRDefault="007B2D37" w:rsidP="007B2D37">
      <w:pPr>
        <w:ind w:firstLineChars="0" w:firstLine="0"/>
        <w:jc w:val="center"/>
        <w:rPr>
          <w:sz w:val="24"/>
          <w:szCs w:val="21"/>
        </w:rPr>
      </w:pPr>
      <w:r w:rsidRPr="00877BF6">
        <w:rPr>
          <w:rFonts w:eastAsia="黑体" w:hint="eastAsia"/>
          <w:sz w:val="24"/>
          <w:szCs w:val="21"/>
        </w:rPr>
        <w:t>图</w:t>
      </w:r>
      <w:r w:rsidRPr="00877BF6">
        <w:rPr>
          <w:rFonts w:eastAsia="黑体" w:hint="eastAsia"/>
          <w:sz w:val="24"/>
          <w:szCs w:val="21"/>
        </w:rPr>
        <w:t>4</w:t>
      </w:r>
      <w:r w:rsidRPr="00877BF6">
        <w:rPr>
          <w:rFonts w:eastAsia="黑体"/>
          <w:sz w:val="24"/>
          <w:szCs w:val="21"/>
        </w:rPr>
        <w:t>-2</w:t>
      </w:r>
      <w:r w:rsidR="00755DFF">
        <w:rPr>
          <w:rFonts w:eastAsia="黑体"/>
          <w:sz w:val="24"/>
          <w:szCs w:val="21"/>
        </w:rPr>
        <w:t>7</w:t>
      </w:r>
      <w:r w:rsidRPr="00877BF6">
        <w:rPr>
          <w:rFonts w:eastAsia="黑体" w:hint="eastAsia"/>
          <w:sz w:val="24"/>
          <w:szCs w:val="21"/>
        </w:rPr>
        <w:t xml:space="preserve"> </w:t>
      </w:r>
      <w:r>
        <w:rPr>
          <w:rFonts w:eastAsia="黑体"/>
          <w:sz w:val="24"/>
          <w:szCs w:val="21"/>
        </w:rPr>
        <w:t>2060</w:t>
      </w:r>
      <w:r>
        <w:rPr>
          <w:rFonts w:eastAsia="黑体" w:hint="eastAsia"/>
          <w:sz w:val="24"/>
          <w:szCs w:val="21"/>
        </w:rPr>
        <w:t>年激进</w:t>
      </w:r>
      <w:r w:rsidRPr="00877BF6">
        <w:rPr>
          <w:rFonts w:eastAsia="黑体" w:hint="eastAsia"/>
          <w:sz w:val="24"/>
          <w:szCs w:val="21"/>
        </w:rPr>
        <w:t>情景下碳排放解构</w:t>
      </w:r>
    </w:p>
    <w:p w14:paraId="1F0A6839" w14:textId="77777777" w:rsidR="00C5210F" w:rsidRDefault="00C5210F" w:rsidP="00485D67">
      <w:pPr>
        <w:ind w:firstLineChars="0" w:firstLine="564"/>
      </w:pPr>
    </w:p>
    <w:p w14:paraId="6EAEAB8B" w14:textId="23CEE51B" w:rsidR="00485D67" w:rsidRDefault="00485D67" w:rsidP="00485D67">
      <w:pPr>
        <w:ind w:firstLineChars="0" w:firstLine="564"/>
      </w:pPr>
      <w:r>
        <w:rPr>
          <w:rFonts w:hint="eastAsia"/>
        </w:rPr>
        <w:t>激进情景下不同运输方式碳排放量达峰后均呈现出大幅</w:t>
      </w:r>
      <w:r w:rsidR="00450D4A">
        <w:rPr>
          <w:rFonts w:hint="eastAsia"/>
        </w:rPr>
        <w:t>下降</w:t>
      </w:r>
      <w:r>
        <w:rPr>
          <w:rFonts w:hint="eastAsia"/>
        </w:rPr>
        <w:t>趋势。在</w:t>
      </w:r>
      <w:r w:rsidR="00450D4A">
        <w:rPr>
          <w:rFonts w:hint="eastAsia"/>
        </w:rPr>
        <w:t>铁路</w:t>
      </w:r>
      <w:r>
        <w:rPr>
          <w:rFonts w:hint="eastAsia"/>
        </w:rPr>
        <w:t>快速电气化的进程中，铁路运输率先在</w:t>
      </w:r>
      <w:r>
        <w:rPr>
          <w:rFonts w:hint="eastAsia"/>
        </w:rPr>
        <w:t>2</w:t>
      </w:r>
      <w:r>
        <w:t>045</w:t>
      </w:r>
      <w:r>
        <w:rPr>
          <w:rFonts w:hint="eastAsia"/>
        </w:rPr>
        <w:t>年前后达到零排放。公路运输碳排放在</w:t>
      </w:r>
      <w:r>
        <w:rPr>
          <w:rFonts w:hint="eastAsia"/>
        </w:rPr>
        <w:t>2</w:t>
      </w:r>
      <w:r>
        <w:t>030</w:t>
      </w:r>
      <w:r>
        <w:rPr>
          <w:rFonts w:hint="eastAsia"/>
        </w:rPr>
        <w:t>年达到峰值，峰值为</w:t>
      </w:r>
      <w:r>
        <w:rPr>
          <w:rFonts w:hint="eastAsia"/>
        </w:rPr>
        <w:t>1</w:t>
      </w:r>
      <w:r>
        <w:t>0.1</w:t>
      </w:r>
      <w:r w:rsidR="008102C6">
        <w:rPr>
          <w:rFonts w:hint="eastAsia"/>
        </w:rPr>
        <w:t>亿</w:t>
      </w:r>
      <w:r w:rsidR="008102C6">
        <w:rPr>
          <w:rFonts w:hint="eastAsia"/>
        </w:rPr>
        <w:t>t</w:t>
      </w:r>
      <w:r w:rsidR="00FE7912">
        <w:rPr>
          <w:rFonts w:hint="eastAsia"/>
        </w:rPr>
        <w:t>；随着公路运输装备完全实现电动化，到</w:t>
      </w:r>
      <w:r w:rsidR="00FE7912">
        <w:rPr>
          <w:rFonts w:hint="eastAsia"/>
        </w:rPr>
        <w:t>2</w:t>
      </w:r>
      <w:r w:rsidR="00FE7912">
        <w:t>060</w:t>
      </w:r>
      <w:r w:rsidR="00FE7912">
        <w:rPr>
          <w:rFonts w:hint="eastAsia"/>
        </w:rPr>
        <w:t>年，公路运输将实现零排放</w:t>
      </w:r>
      <w:r>
        <w:rPr>
          <w:rFonts w:hint="eastAsia"/>
        </w:rPr>
        <w:t>。水路运输</w:t>
      </w:r>
      <w:r w:rsidR="00450D4A">
        <w:rPr>
          <w:rFonts w:hint="eastAsia"/>
        </w:rPr>
        <w:t>碳排放</w:t>
      </w:r>
      <w:r>
        <w:rPr>
          <w:rFonts w:hint="eastAsia"/>
        </w:rPr>
        <w:t>将持续增长到</w:t>
      </w:r>
      <w:r>
        <w:rPr>
          <w:rFonts w:hint="eastAsia"/>
        </w:rPr>
        <w:t>2</w:t>
      </w:r>
      <w:r>
        <w:t>03</w:t>
      </w:r>
      <w:r w:rsidR="00673B77">
        <w:t>0</w:t>
      </w:r>
      <w:r>
        <w:rPr>
          <w:rFonts w:hint="eastAsia"/>
        </w:rPr>
        <w:t>年，峰值为</w:t>
      </w:r>
      <w:r>
        <w:rPr>
          <w:rFonts w:hint="eastAsia"/>
        </w:rPr>
        <w:t>0</w:t>
      </w:r>
      <w:r>
        <w:t>.</w:t>
      </w:r>
      <w:r w:rsidR="00673B77">
        <w:t>76</w:t>
      </w:r>
      <w:r w:rsidR="008102C6">
        <w:rPr>
          <w:rFonts w:hint="eastAsia"/>
        </w:rPr>
        <w:t>亿</w:t>
      </w:r>
      <w:r w:rsidR="008102C6">
        <w:rPr>
          <w:rFonts w:hint="eastAsia"/>
        </w:rPr>
        <w:t>t</w:t>
      </w:r>
      <w:r>
        <w:rPr>
          <w:rFonts w:hint="eastAsia"/>
        </w:rPr>
        <w:t>，随着新能源船舶</w:t>
      </w:r>
      <w:r w:rsidR="00673B77">
        <w:rPr>
          <w:rFonts w:hint="eastAsia"/>
        </w:rPr>
        <w:t>的快速应用</w:t>
      </w:r>
      <w:r>
        <w:rPr>
          <w:rFonts w:hint="eastAsia"/>
        </w:rPr>
        <w:t>，到</w:t>
      </w:r>
      <w:r>
        <w:rPr>
          <w:rFonts w:hint="eastAsia"/>
        </w:rPr>
        <w:t>2</w:t>
      </w:r>
      <w:r>
        <w:t>060</w:t>
      </w:r>
      <w:r>
        <w:rPr>
          <w:rFonts w:hint="eastAsia"/>
        </w:rPr>
        <w:t>年排放量为</w:t>
      </w:r>
      <w:r>
        <w:t>0.</w:t>
      </w:r>
      <w:r w:rsidR="00673B77">
        <w:t>26</w:t>
      </w:r>
      <w:r w:rsidR="008102C6">
        <w:rPr>
          <w:rFonts w:hint="eastAsia"/>
        </w:rPr>
        <w:t>亿</w:t>
      </w:r>
      <w:r w:rsidR="008102C6">
        <w:rPr>
          <w:rFonts w:hint="eastAsia"/>
        </w:rPr>
        <w:t>t</w:t>
      </w:r>
      <w:r>
        <w:rPr>
          <w:rFonts w:hint="eastAsia"/>
        </w:rPr>
        <w:t>，占比为</w:t>
      </w:r>
      <w:r w:rsidR="00673B77">
        <w:t>3</w:t>
      </w:r>
      <w:r w:rsidR="00FE7912">
        <w:t>9.2</w:t>
      </w:r>
      <w:r>
        <w:rPr>
          <w:rFonts w:hint="eastAsia"/>
        </w:rPr>
        <w:t>%</w:t>
      </w:r>
      <w:r>
        <w:rPr>
          <w:rFonts w:hint="eastAsia"/>
        </w:rPr>
        <w:t>。民航运输碳排放将持续增加到</w:t>
      </w:r>
      <w:r>
        <w:rPr>
          <w:rFonts w:hint="eastAsia"/>
        </w:rPr>
        <w:t>2</w:t>
      </w:r>
      <w:r>
        <w:t>0</w:t>
      </w:r>
      <w:r w:rsidR="00673B77">
        <w:t>35</w:t>
      </w:r>
      <w:r w:rsidR="00673B77">
        <w:rPr>
          <w:rFonts w:hint="eastAsia"/>
        </w:rPr>
        <w:t>年</w:t>
      </w:r>
      <w:r>
        <w:rPr>
          <w:rFonts w:hint="eastAsia"/>
        </w:rPr>
        <w:t>，峰值为</w:t>
      </w:r>
      <w:r>
        <w:rPr>
          <w:rFonts w:hint="eastAsia"/>
        </w:rPr>
        <w:t>1</w:t>
      </w:r>
      <w:r>
        <w:t>.</w:t>
      </w:r>
      <w:r w:rsidR="00673B77">
        <w:t>2</w:t>
      </w:r>
      <w:r w:rsidR="008102C6">
        <w:rPr>
          <w:rFonts w:hint="eastAsia"/>
        </w:rPr>
        <w:t>亿</w:t>
      </w:r>
      <w:r w:rsidR="008102C6">
        <w:rPr>
          <w:rFonts w:hint="eastAsia"/>
        </w:rPr>
        <w:t>t</w:t>
      </w:r>
      <w:r>
        <w:rPr>
          <w:rFonts w:hint="eastAsia"/>
        </w:rPr>
        <w:t>，生物质能</w:t>
      </w:r>
      <w:r w:rsidR="00673B77">
        <w:rPr>
          <w:rFonts w:hint="eastAsia"/>
        </w:rPr>
        <w:t>将逐步成为主要能源，电力、氢能源飞机将</w:t>
      </w:r>
      <w:r w:rsidR="00913264">
        <w:rPr>
          <w:rFonts w:hint="eastAsia"/>
        </w:rPr>
        <w:t>在短途支线线路中发挥重要作用</w:t>
      </w:r>
      <w:r>
        <w:rPr>
          <w:rFonts w:hint="eastAsia"/>
        </w:rPr>
        <w:t>，碳排放将</w:t>
      </w:r>
      <w:r w:rsidR="00913264">
        <w:rPr>
          <w:rFonts w:hint="eastAsia"/>
        </w:rPr>
        <w:t>持续下降</w:t>
      </w:r>
      <w:r w:rsidR="0079124C">
        <w:rPr>
          <w:rFonts w:hint="eastAsia"/>
        </w:rPr>
        <w:t>。</w:t>
      </w:r>
      <w:r w:rsidR="00913264">
        <w:rPr>
          <w:rFonts w:hint="eastAsia"/>
        </w:rPr>
        <w:t>考虑到长距离干线运输仍将使用一定比例的航空煤油</w:t>
      </w:r>
      <w:r>
        <w:rPr>
          <w:rFonts w:hint="eastAsia"/>
        </w:rPr>
        <w:t>，</w:t>
      </w:r>
      <w:r w:rsidR="0079124C">
        <w:rPr>
          <w:rFonts w:hint="eastAsia"/>
        </w:rPr>
        <w:t>到</w:t>
      </w:r>
      <w:r w:rsidR="0079124C">
        <w:rPr>
          <w:rFonts w:hint="eastAsia"/>
        </w:rPr>
        <w:t>2</w:t>
      </w:r>
      <w:r w:rsidR="0079124C">
        <w:t>060</w:t>
      </w:r>
      <w:r w:rsidR="0079124C">
        <w:rPr>
          <w:rFonts w:hint="eastAsia"/>
        </w:rPr>
        <w:t>年</w:t>
      </w:r>
      <w:r w:rsidR="00913264">
        <w:rPr>
          <w:rFonts w:hint="eastAsia"/>
        </w:rPr>
        <w:t>民航运输碳</w:t>
      </w:r>
      <w:r>
        <w:rPr>
          <w:rFonts w:hint="eastAsia"/>
        </w:rPr>
        <w:t>排放量</w:t>
      </w:r>
      <w:r w:rsidR="00913264">
        <w:rPr>
          <w:rFonts w:hint="eastAsia"/>
        </w:rPr>
        <w:t>将达</w:t>
      </w:r>
      <w:r w:rsidR="00913264">
        <w:rPr>
          <w:rFonts w:hint="eastAsia"/>
        </w:rPr>
        <w:t>0</w:t>
      </w:r>
      <w:r w:rsidR="00913264">
        <w:t>.4</w:t>
      </w:r>
      <w:r w:rsidR="008102C6">
        <w:rPr>
          <w:rFonts w:hint="eastAsia"/>
        </w:rPr>
        <w:t>亿</w:t>
      </w:r>
      <w:r w:rsidR="008102C6">
        <w:rPr>
          <w:rFonts w:hint="eastAsia"/>
        </w:rPr>
        <w:t>t</w:t>
      </w:r>
      <w:r>
        <w:rPr>
          <w:rFonts w:hint="eastAsia"/>
        </w:rPr>
        <w:t>，占比达</w:t>
      </w:r>
      <w:r w:rsidR="00FE7912">
        <w:t>60</w:t>
      </w:r>
      <w:r w:rsidR="00913264">
        <w:t>.8</w:t>
      </w:r>
      <w:r>
        <w:rPr>
          <w:rFonts w:hint="eastAsia"/>
        </w:rPr>
        <w:t>%</w:t>
      </w:r>
      <w:r>
        <w:rPr>
          <w:rFonts w:hint="eastAsia"/>
        </w:rPr>
        <w:t>。</w:t>
      </w:r>
    </w:p>
    <w:p w14:paraId="3613AF0A" w14:textId="5361A7F7" w:rsidR="004B1381" w:rsidRDefault="00575327" w:rsidP="004B1381">
      <w:pPr>
        <w:ind w:firstLineChars="0" w:firstLine="0"/>
      </w:pPr>
      <w:r>
        <w:rPr>
          <w:noProof/>
        </w:rPr>
        <w:lastRenderedPageBreak/>
        <w:drawing>
          <wp:inline distT="0" distB="0" distL="0" distR="0" wp14:anchorId="6475A318" wp14:editId="1FE35737">
            <wp:extent cx="5220000" cy="2743200"/>
            <wp:effectExtent l="0" t="0" r="0" b="0"/>
            <wp:docPr id="28" name="图表 28">
              <a:extLst xmlns:a="http://schemas.openxmlformats.org/drawingml/2006/main">
                <a:ext uri="{FF2B5EF4-FFF2-40B4-BE49-F238E27FC236}">
                  <a16:creationId xmlns:a16="http://schemas.microsoft.com/office/drawing/2014/main" id="{43B17853-223C-48FD-A7ED-71B67763B8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5468ED74" w14:textId="43CCD2E1" w:rsidR="00485D67" w:rsidRPr="00A8551D" w:rsidRDefault="00485D67" w:rsidP="00AB1A75">
      <w:pPr>
        <w:ind w:firstLineChars="0" w:firstLine="0"/>
        <w:jc w:val="center"/>
        <w:rPr>
          <w:rFonts w:eastAsia="黑体"/>
          <w:sz w:val="24"/>
          <w:szCs w:val="21"/>
        </w:rPr>
      </w:pPr>
      <w:r w:rsidRPr="00A8551D">
        <w:rPr>
          <w:rFonts w:eastAsia="黑体" w:hint="eastAsia"/>
          <w:sz w:val="24"/>
          <w:szCs w:val="21"/>
        </w:rPr>
        <w:t>图</w:t>
      </w:r>
      <w:r w:rsidR="00CD32C3" w:rsidRPr="00A8551D">
        <w:rPr>
          <w:rFonts w:eastAsia="黑体" w:hint="eastAsia"/>
          <w:sz w:val="24"/>
          <w:szCs w:val="21"/>
        </w:rPr>
        <w:t>4</w:t>
      </w:r>
      <w:r w:rsidR="00CD32C3" w:rsidRPr="00A8551D">
        <w:rPr>
          <w:rFonts w:eastAsia="黑体"/>
          <w:sz w:val="24"/>
          <w:szCs w:val="21"/>
        </w:rPr>
        <w:t>-2</w:t>
      </w:r>
      <w:r w:rsidR="00C5210F">
        <w:rPr>
          <w:rFonts w:eastAsia="黑体"/>
          <w:sz w:val="24"/>
          <w:szCs w:val="21"/>
        </w:rPr>
        <w:t>8</w:t>
      </w:r>
      <w:r w:rsidRPr="00A8551D">
        <w:rPr>
          <w:rFonts w:eastAsia="黑体" w:hint="eastAsia"/>
          <w:sz w:val="24"/>
          <w:szCs w:val="21"/>
        </w:rPr>
        <w:t xml:space="preserve"> </w:t>
      </w:r>
      <w:r w:rsidR="00DC67F8" w:rsidRPr="00A8551D">
        <w:rPr>
          <w:rFonts w:eastAsia="黑体" w:hint="eastAsia"/>
          <w:sz w:val="24"/>
          <w:szCs w:val="21"/>
        </w:rPr>
        <w:t>激进</w:t>
      </w:r>
      <w:r w:rsidRPr="00A8551D">
        <w:rPr>
          <w:rFonts w:eastAsia="黑体" w:hint="eastAsia"/>
          <w:sz w:val="24"/>
          <w:szCs w:val="21"/>
        </w:rPr>
        <w:t>情景下不同运输方式碳排放趋势</w:t>
      </w:r>
    </w:p>
    <w:p w14:paraId="4560EE2B" w14:textId="11090553" w:rsidR="00EA4FCC" w:rsidRDefault="00DC67F8" w:rsidP="004753DD">
      <w:pPr>
        <w:ind w:firstLineChars="0" w:firstLine="564"/>
      </w:pPr>
      <w:r>
        <w:rPr>
          <w:rFonts w:hint="eastAsia"/>
        </w:rPr>
        <w:t>激进情景下，电力将</w:t>
      </w:r>
      <w:r w:rsidR="0087740E">
        <w:rPr>
          <w:rFonts w:hint="eastAsia"/>
        </w:rPr>
        <w:t>迅速</w:t>
      </w:r>
      <w:r>
        <w:rPr>
          <w:rFonts w:hint="eastAsia"/>
        </w:rPr>
        <w:t>成为最主要的能源。到</w:t>
      </w:r>
      <w:r>
        <w:rPr>
          <w:rFonts w:hint="eastAsia"/>
        </w:rPr>
        <w:t>2</w:t>
      </w:r>
      <w:r>
        <w:t>030</w:t>
      </w:r>
      <w:r>
        <w:rPr>
          <w:rFonts w:hint="eastAsia"/>
        </w:rPr>
        <w:t>年，汽油、柴油、航空煤油的占比分别为</w:t>
      </w:r>
      <w:r>
        <w:t>21</w:t>
      </w:r>
      <w:r>
        <w:rPr>
          <w:rFonts w:hint="eastAsia"/>
        </w:rPr>
        <w:t>%</w:t>
      </w:r>
      <w:r>
        <w:rPr>
          <w:rFonts w:hint="eastAsia"/>
        </w:rPr>
        <w:t>、</w:t>
      </w:r>
      <w:r>
        <w:t>34.7</w:t>
      </w:r>
      <w:r>
        <w:rPr>
          <w:rFonts w:hint="eastAsia"/>
        </w:rPr>
        <w:t>%</w:t>
      </w:r>
      <w:r>
        <w:rPr>
          <w:rFonts w:hint="eastAsia"/>
        </w:rPr>
        <w:t>、</w:t>
      </w:r>
      <w:r>
        <w:rPr>
          <w:rFonts w:hint="eastAsia"/>
        </w:rPr>
        <w:t>1</w:t>
      </w:r>
      <w:r>
        <w:t>1.3</w:t>
      </w:r>
      <w:r>
        <w:rPr>
          <w:rFonts w:hint="eastAsia"/>
        </w:rPr>
        <w:t>%</w:t>
      </w:r>
      <w:r>
        <w:rPr>
          <w:rFonts w:hint="eastAsia"/>
        </w:rPr>
        <w:t>，电力等清洁能源占比快速增长到</w:t>
      </w:r>
      <w:r>
        <w:t>28.6</w:t>
      </w:r>
      <w:r>
        <w:rPr>
          <w:rFonts w:hint="eastAsia"/>
        </w:rPr>
        <w:t>%</w:t>
      </w:r>
      <w:r>
        <w:rPr>
          <w:rFonts w:hint="eastAsia"/>
        </w:rPr>
        <w:t>，并于</w:t>
      </w:r>
      <w:r>
        <w:rPr>
          <w:rFonts w:hint="eastAsia"/>
        </w:rPr>
        <w:t>2</w:t>
      </w:r>
      <w:r>
        <w:t>035</w:t>
      </w:r>
      <w:r>
        <w:rPr>
          <w:rFonts w:hint="eastAsia"/>
        </w:rPr>
        <w:t>年达到</w:t>
      </w:r>
      <w:r>
        <w:t>36.8</w:t>
      </w:r>
      <w:r>
        <w:rPr>
          <w:rFonts w:hint="eastAsia"/>
        </w:rPr>
        <w:t>%</w:t>
      </w:r>
      <w:r>
        <w:rPr>
          <w:rFonts w:hint="eastAsia"/>
        </w:rPr>
        <w:t>，成为最主要能源消费源，到</w:t>
      </w:r>
      <w:r>
        <w:rPr>
          <w:rFonts w:hint="eastAsia"/>
        </w:rPr>
        <w:t>2</w:t>
      </w:r>
      <w:r>
        <w:t>060</w:t>
      </w:r>
      <w:r>
        <w:rPr>
          <w:rFonts w:hint="eastAsia"/>
        </w:rPr>
        <w:t>年，占比达</w:t>
      </w:r>
      <w:r>
        <w:rPr>
          <w:rFonts w:hint="eastAsia"/>
        </w:rPr>
        <w:t>7</w:t>
      </w:r>
      <w:r w:rsidR="00FE7912">
        <w:t>5.4</w:t>
      </w:r>
      <w:r>
        <w:rPr>
          <w:rFonts w:hint="eastAsia"/>
        </w:rPr>
        <w:t>%</w:t>
      </w:r>
      <w:r>
        <w:rPr>
          <w:rFonts w:hint="eastAsia"/>
        </w:rPr>
        <w:t>，氢能、生物质燃料占比逐步增长到</w:t>
      </w:r>
      <w:r>
        <w:rPr>
          <w:rFonts w:hint="eastAsia"/>
        </w:rPr>
        <w:t>9</w:t>
      </w:r>
      <w:r>
        <w:t>.4</w:t>
      </w:r>
      <w:r>
        <w:rPr>
          <w:rFonts w:hint="eastAsia"/>
        </w:rPr>
        <w:t>%</w:t>
      </w:r>
      <w:r>
        <w:rPr>
          <w:rFonts w:hint="eastAsia"/>
        </w:rPr>
        <w:t>和</w:t>
      </w:r>
      <w:r>
        <w:t>8.5</w:t>
      </w:r>
      <w:r>
        <w:rPr>
          <w:rFonts w:hint="eastAsia"/>
        </w:rPr>
        <w:t>%</w:t>
      </w:r>
      <w:r>
        <w:rPr>
          <w:rFonts w:hint="eastAsia"/>
        </w:rPr>
        <w:t>，传统燃料仅占</w:t>
      </w:r>
      <w:r w:rsidR="00B31EB2">
        <w:t>6.</w:t>
      </w:r>
      <w:r w:rsidR="00FE7912">
        <w:t>7</w:t>
      </w:r>
      <w:r>
        <w:rPr>
          <w:rFonts w:hint="eastAsia"/>
        </w:rPr>
        <w:t>%</w:t>
      </w:r>
      <w:r w:rsidR="00B31EB2">
        <w:rPr>
          <w:rFonts w:hint="eastAsia"/>
        </w:rPr>
        <w:t>。</w:t>
      </w:r>
    </w:p>
    <w:p w14:paraId="17D9B787" w14:textId="652D0901" w:rsidR="00973122" w:rsidRPr="00EA4FCC" w:rsidRDefault="00973122" w:rsidP="00973122">
      <w:pPr>
        <w:ind w:firstLineChars="0" w:firstLine="0"/>
      </w:pPr>
      <w:r>
        <w:rPr>
          <w:noProof/>
        </w:rPr>
        <w:drawing>
          <wp:inline distT="0" distB="0" distL="0" distR="0" wp14:anchorId="0BBF614E" wp14:editId="04A03AD4">
            <wp:extent cx="5220000" cy="2743200"/>
            <wp:effectExtent l="0" t="0" r="0" b="0"/>
            <wp:docPr id="29" name="图表 29">
              <a:extLst xmlns:a="http://schemas.openxmlformats.org/drawingml/2006/main">
                <a:ext uri="{FF2B5EF4-FFF2-40B4-BE49-F238E27FC236}">
                  <a16:creationId xmlns:a16="http://schemas.microsoft.com/office/drawing/2014/main" id="{B8DDCE2E-D085-41BF-BD9B-16C69C95EE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14:paraId="48F517FB" w14:textId="030D29DC" w:rsidR="00973122" w:rsidRPr="00A8551D" w:rsidRDefault="00973122" w:rsidP="00AB1A75">
      <w:pPr>
        <w:ind w:firstLineChars="0" w:firstLine="0"/>
        <w:jc w:val="center"/>
        <w:rPr>
          <w:rFonts w:eastAsia="黑体"/>
          <w:sz w:val="24"/>
          <w:szCs w:val="21"/>
        </w:rPr>
      </w:pPr>
      <w:r w:rsidRPr="00A8551D">
        <w:rPr>
          <w:rFonts w:eastAsia="黑体" w:hint="eastAsia"/>
          <w:sz w:val="24"/>
          <w:szCs w:val="21"/>
        </w:rPr>
        <w:t>图</w:t>
      </w:r>
      <w:r w:rsidR="00CD32C3" w:rsidRPr="00A8551D">
        <w:rPr>
          <w:rFonts w:eastAsia="黑体" w:hint="eastAsia"/>
          <w:sz w:val="24"/>
          <w:szCs w:val="21"/>
        </w:rPr>
        <w:t>4</w:t>
      </w:r>
      <w:r w:rsidR="00CD32C3" w:rsidRPr="00A8551D">
        <w:rPr>
          <w:rFonts w:eastAsia="黑体"/>
          <w:sz w:val="24"/>
          <w:szCs w:val="21"/>
        </w:rPr>
        <w:t>-2</w:t>
      </w:r>
      <w:r w:rsidR="00C5210F">
        <w:rPr>
          <w:rFonts w:eastAsia="黑体"/>
          <w:sz w:val="24"/>
          <w:szCs w:val="21"/>
        </w:rPr>
        <w:t>9</w:t>
      </w:r>
      <w:r w:rsidRPr="00A8551D">
        <w:rPr>
          <w:rFonts w:eastAsia="黑体" w:hint="eastAsia"/>
          <w:sz w:val="24"/>
          <w:szCs w:val="21"/>
        </w:rPr>
        <w:t xml:space="preserve"> </w:t>
      </w:r>
      <w:r w:rsidR="00DC67F8" w:rsidRPr="00A8551D">
        <w:rPr>
          <w:rFonts w:eastAsia="黑体" w:hint="eastAsia"/>
          <w:sz w:val="24"/>
          <w:szCs w:val="21"/>
        </w:rPr>
        <w:t>激进</w:t>
      </w:r>
      <w:r w:rsidRPr="00A8551D">
        <w:rPr>
          <w:rFonts w:eastAsia="黑体" w:hint="eastAsia"/>
          <w:sz w:val="24"/>
          <w:szCs w:val="21"/>
        </w:rPr>
        <w:t>情景下不同燃料消耗趋势</w:t>
      </w:r>
    </w:p>
    <w:p w14:paraId="47D8CD84" w14:textId="5FED7A12" w:rsidR="00575327" w:rsidRDefault="00575327" w:rsidP="00575327">
      <w:pPr>
        <w:ind w:firstLine="560"/>
      </w:pPr>
      <w:r>
        <w:rPr>
          <w:rFonts w:hint="eastAsia"/>
        </w:rPr>
        <w:t>激进</w:t>
      </w:r>
      <w:r w:rsidRPr="004E604F">
        <w:rPr>
          <w:rFonts w:hint="eastAsia"/>
        </w:rPr>
        <w:t>情景下</w:t>
      </w:r>
      <w:r>
        <w:rPr>
          <w:rFonts w:hint="eastAsia"/>
        </w:rPr>
        <w:t>，</w:t>
      </w:r>
      <w:r w:rsidRPr="000661BA">
        <w:rPr>
          <w:rFonts w:hint="eastAsia"/>
          <w:b/>
          <w:bCs/>
        </w:rPr>
        <w:t>交通部门</w:t>
      </w:r>
      <w:r>
        <w:rPr>
          <w:rFonts w:hint="eastAsia"/>
          <w:b/>
          <w:bCs/>
        </w:rPr>
        <w:t>能够提前</w:t>
      </w:r>
      <w:r w:rsidRPr="000661BA">
        <w:rPr>
          <w:rFonts w:hint="eastAsia"/>
          <w:b/>
          <w:bCs/>
        </w:rPr>
        <w:t>实现“近零排放”</w:t>
      </w:r>
      <w:r>
        <w:rPr>
          <w:rFonts w:hint="eastAsia"/>
          <w:b/>
          <w:bCs/>
        </w:rPr>
        <w:t>，并于</w:t>
      </w:r>
      <w:r>
        <w:rPr>
          <w:rFonts w:hint="eastAsia"/>
          <w:b/>
          <w:bCs/>
        </w:rPr>
        <w:t>2</w:t>
      </w:r>
      <w:r>
        <w:rPr>
          <w:b/>
          <w:bCs/>
        </w:rPr>
        <w:t>060</w:t>
      </w:r>
      <w:r>
        <w:rPr>
          <w:rFonts w:hint="eastAsia"/>
          <w:b/>
          <w:bCs/>
        </w:rPr>
        <w:t>年进一步下降至</w:t>
      </w:r>
      <w:r>
        <w:rPr>
          <w:b/>
          <w:bCs/>
        </w:rPr>
        <w:t>6600</w:t>
      </w:r>
      <w:r>
        <w:rPr>
          <w:rFonts w:hint="eastAsia"/>
          <w:b/>
          <w:bCs/>
        </w:rPr>
        <w:t>万吨碳排放</w:t>
      </w:r>
      <w:r w:rsidRPr="000661BA">
        <w:rPr>
          <w:rFonts w:hint="eastAsia"/>
          <w:b/>
          <w:bCs/>
        </w:rPr>
        <w:t>。</w:t>
      </w:r>
      <w:r>
        <w:rPr>
          <w:rFonts w:hint="eastAsia"/>
        </w:rPr>
        <w:t>预计到</w:t>
      </w:r>
      <w:r>
        <w:rPr>
          <w:rFonts w:hint="eastAsia"/>
        </w:rPr>
        <w:t>2</w:t>
      </w:r>
      <w:r>
        <w:t>055</w:t>
      </w:r>
      <w:r>
        <w:rPr>
          <w:rFonts w:hint="eastAsia"/>
        </w:rPr>
        <w:t>年交通部门排放</w:t>
      </w:r>
      <w:r w:rsidR="00FE7912">
        <w:rPr>
          <w:rFonts w:hint="eastAsia"/>
        </w:rPr>
        <w:t>将达到</w:t>
      </w:r>
      <w:r>
        <w:rPr>
          <w:rFonts w:hint="eastAsia"/>
        </w:rPr>
        <w:lastRenderedPageBreak/>
        <w:t>2</w:t>
      </w:r>
      <w:r w:rsidR="008102C6">
        <w:rPr>
          <w:rFonts w:hint="eastAsia"/>
        </w:rPr>
        <w:t>亿</w:t>
      </w:r>
      <w:r w:rsidR="008102C6">
        <w:rPr>
          <w:rFonts w:hint="eastAsia"/>
        </w:rPr>
        <w:t>t</w:t>
      </w:r>
      <w:r>
        <w:rPr>
          <w:rFonts w:hint="eastAsia"/>
        </w:rPr>
        <w:t>左右</w:t>
      </w:r>
      <w:r w:rsidR="00FE7912">
        <w:rPr>
          <w:rFonts w:hint="eastAsia"/>
        </w:rPr>
        <w:t>，</w:t>
      </w:r>
      <w:r w:rsidR="00917F84">
        <w:rPr>
          <w:rFonts w:hint="eastAsia"/>
        </w:rPr>
        <w:t>提前</w:t>
      </w:r>
      <w:r w:rsidR="00917F84">
        <w:rPr>
          <w:rFonts w:hint="eastAsia"/>
        </w:rPr>
        <w:t>5</w:t>
      </w:r>
      <w:r w:rsidR="00917F84">
        <w:rPr>
          <w:rFonts w:hint="eastAsia"/>
        </w:rPr>
        <w:t>年实现</w:t>
      </w:r>
      <w:r w:rsidR="00917F84" w:rsidRPr="00917F84">
        <w:rPr>
          <w:rFonts w:hint="eastAsia"/>
        </w:rPr>
        <w:t>“近零排放”</w:t>
      </w:r>
      <w:r w:rsidR="00917F84">
        <w:rPr>
          <w:rFonts w:hint="eastAsia"/>
        </w:rPr>
        <w:t>。通过进一步加大新能源运载工具比例，交通部门碳排放将进一步下降，</w:t>
      </w:r>
      <w:r w:rsidR="00917F84">
        <w:rPr>
          <w:rFonts w:hint="eastAsia"/>
        </w:rPr>
        <w:t>2</w:t>
      </w:r>
      <w:r w:rsidR="00917F84">
        <w:t>060</w:t>
      </w:r>
      <w:r w:rsidR="00917F84">
        <w:rPr>
          <w:rFonts w:hint="eastAsia"/>
        </w:rPr>
        <w:t>年，碳排放量为</w:t>
      </w:r>
      <w:r w:rsidR="00917F84">
        <w:rPr>
          <w:rFonts w:hint="eastAsia"/>
        </w:rPr>
        <w:t>6</w:t>
      </w:r>
      <w:r w:rsidR="00917F84">
        <w:t>600</w:t>
      </w:r>
      <w:r w:rsidR="00917F84">
        <w:rPr>
          <w:rFonts w:hint="eastAsia"/>
        </w:rPr>
        <w:t>万吨，较</w:t>
      </w:r>
      <w:r w:rsidR="007767B9" w:rsidRPr="007767B9">
        <w:rPr>
          <w:rFonts w:hint="eastAsia"/>
        </w:rPr>
        <w:t>双碳政策推演情景</w:t>
      </w:r>
      <w:r w:rsidR="007767B9">
        <w:rPr>
          <w:rFonts w:hint="eastAsia"/>
        </w:rPr>
        <w:t>下</w:t>
      </w:r>
      <w:r w:rsidR="007767B9">
        <w:rPr>
          <w:rFonts w:hint="eastAsia"/>
        </w:rPr>
        <w:t>6</w:t>
      </w:r>
      <w:r w:rsidR="007767B9">
        <w:t>4</w:t>
      </w:r>
      <w:r w:rsidR="007767B9">
        <w:rPr>
          <w:rFonts w:hint="eastAsia"/>
        </w:rPr>
        <w:t>%</w:t>
      </w:r>
      <w:r w:rsidR="007767B9">
        <w:rPr>
          <w:rFonts w:hint="eastAsia"/>
        </w:rPr>
        <w:t>。</w:t>
      </w:r>
      <w:r w:rsidR="00706FC4">
        <w:rPr>
          <w:rFonts w:hint="eastAsia"/>
        </w:rPr>
        <w:t>激进情景下，新能源运载工具普及速度及普及广度决定了碳排放下降的幅度和速度。</w:t>
      </w:r>
      <w:r w:rsidR="00C006C0">
        <w:rPr>
          <w:rFonts w:hint="eastAsia"/>
        </w:rPr>
        <w:t>表</w:t>
      </w:r>
      <w:r w:rsidR="00C006C0">
        <w:rPr>
          <w:rFonts w:hint="eastAsia"/>
        </w:rPr>
        <w:t>4-</w:t>
      </w:r>
      <w:r w:rsidR="00637811">
        <w:t>3</w:t>
      </w:r>
      <w:r w:rsidR="00C006C0">
        <w:rPr>
          <w:rFonts w:hint="eastAsia"/>
        </w:rPr>
        <w:t>，展示了</w:t>
      </w:r>
      <w:r w:rsidR="00C006C0">
        <w:rPr>
          <w:rFonts w:hint="eastAsia"/>
        </w:rPr>
        <w:t>2</w:t>
      </w:r>
      <w:r w:rsidR="00C006C0">
        <w:t>040</w:t>
      </w:r>
      <w:r w:rsidR="00C006C0">
        <w:rPr>
          <w:rFonts w:hint="eastAsia"/>
        </w:rPr>
        <w:t>年后，激进情景与</w:t>
      </w:r>
      <w:r w:rsidR="00C006C0" w:rsidRPr="007767B9">
        <w:rPr>
          <w:rFonts w:hint="eastAsia"/>
        </w:rPr>
        <w:t>双碳政策推演情景</w:t>
      </w:r>
      <w:r w:rsidR="00C006C0">
        <w:rPr>
          <w:rFonts w:hint="eastAsia"/>
        </w:rPr>
        <w:t>核心参数所反映的政策措施力度的不同。</w:t>
      </w:r>
    </w:p>
    <w:p w14:paraId="56FAF905" w14:textId="77777777" w:rsidR="0037696F" w:rsidRDefault="0037696F" w:rsidP="00706FC4">
      <w:pPr>
        <w:ind w:firstLineChars="0" w:firstLine="0"/>
        <w:sectPr w:rsidR="0037696F" w:rsidSect="00B01D38">
          <w:pgSz w:w="11906" w:h="16838"/>
          <w:pgMar w:top="1440" w:right="1800" w:bottom="1440" w:left="1800" w:header="851" w:footer="992" w:gutter="0"/>
          <w:pgNumType w:fmt="numberInDash"/>
          <w:cols w:space="425"/>
          <w:docGrid w:type="lines" w:linePitch="312"/>
        </w:sectPr>
      </w:pPr>
    </w:p>
    <w:p w14:paraId="4EB171FE" w14:textId="40559A70" w:rsidR="00706FC4" w:rsidRPr="0037696F" w:rsidRDefault="0037696F" w:rsidP="0037696F">
      <w:pPr>
        <w:ind w:firstLineChars="0" w:firstLine="0"/>
        <w:jc w:val="center"/>
        <w:rPr>
          <w:rFonts w:eastAsia="黑体"/>
        </w:rPr>
      </w:pPr>
      <w:r w:rsidRPr="0037696F">
        <w:rPr>
          <w:rFonts w:eastAsia="黑体"/>
        </w:rPr>
        <w:lastRenderedPageBreak/>
        <w:t>表</w:t>
      </w:r>
      <w:r w:rsidRPr="0037696F">
        <w:rPr>
          <w:rFonts w:eastAsia="黑体"/>
        </w:rPr>
        <w:t>4-3 2040</w:t>
      </w:r>
      <w:r w:rsidRPr="0037696F">
        <w:rPr>
          <w:rFonts w:eastAsia="黑体"/>
        </w:rPr>
        <w:t>年后激进情景与双碳政策推演情景下核心参数对比</w:t>
      </w:r>
    </w:p>
    <w:tbl>
      <w:tblPr>
        <w:tblW w:w="5000" w:type="pct"/>
        <w:tblLayout w:type="fixed"/>
        <w:tblLook w:val="04A0" w:firstRow="1" w:lastRow="0" w:firstColumn="1" w:lastColumn="0" w:noHBand="0" w:noVBand="1"/>
      </w:tblPr>
      <w:tblGrid>
        <w:gridCol w:w="560"/>
        <w:gridCol w:w="854"/>
        <w:gridCol w:w="1559"/>
        <w:gridCol w:w="2126"/>
        <w:gridCol w:w="1618"/>
        <w:gridCol w:w="2067"/>
        <w:gridCol w:w="1624"/>
        <w:gridCol w:w="2062"/>
        <w:gridCol w:w="1478"/>
      </w:tblGrid>
      <w:tr w:rsidR="0037696F" w:rsidRPr="0037696F" w14:paraId="554A9080" w14:textId="77777777" w:rsidTr="0037696F">
        <w:trPr>
          <w:trHeight w:val="288"/>
          <w:tblHeader/>
        </w:trPr>
        <w:tc>
          <w:tcPr>
            <w:tcW w:w="1066" w:type="pct"/>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1CCB32" w14:textId="77777777" w:rsidR="0037696F" w:rsidRPr="0037696F" w:rsidRDefault="0037696F" w:rsidP="0037696F">
            <w:pPr>
              <w:widowControl/>
              <w:spacing w:line="240" w:lineRule="auto"/>
              <w:ind w:firstLineChars="0" w:firstLine="0"/>
              <w:jc w:val="center"/>
              <w:rPr>
                <w:rFonts w:eastAsia="宋体"/>
                <w:b/>
                <w:bCs/>
                <w:color w:val="000000"/>
                <w:kern w:val="0"/>
                <w:sz w:val="22"/>
              </w:rPr>
            </w:pPr>
            <w:r w:rsidRPr="0037696F">
              <w:rPr>
                <w:rFonts w:ascii="楷体" w:eastAsia="楷体" w:hAnsi="楷体" w:hint="eastAsia"/>
                <w:b/>
                <w:bCs/>
                <w:color w:val="000000"/>
                <w:kern w:val="0"/>
                <w:sz w:val="22"/>
              </w:rPr>
              <w:t>具体参数</w:t>
            </w:r>
          </w:p>
        </w:tc>
        <w:tc>
          <w:tcPr>
            <w:tcW w:w="1342"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64AC08EA" w14:textId="77777777" w:rsidR="0037696F" w:rsidRPr="0037696F" w:rsidRDefault="0037696F" w:rsidP="0037696F">
            <w:pPr>
              <w:widowControl/>
              <w:spacing w:line="240" w:lineRule="auto"/>
              <w:ind w:firstLineChars="0" w:firstLine="0"/>
              <w:jc w:val="center"/>
              <w:rPr>
                <w:rFonts w:eastAsia="宋体"/>
                <w:b/>
                <w:bCs/>
                <w:color w:val="000000"/>
                <w:kern w:val="0"/>
                <w:sz w:val="22"/>
              </w:rPr>
            </w:pPr>
            <w:r w:rsidRPr="0037696F">
              <w:rPr>
                <w:rFonts w:eastAsia="宋体"/>
                <w:b/>
                <w:bCs/>
                <w:color w:val="000000"/>
                <w:kern w:val="0"/>
                <w:sz w:val="22"/>
              </w:rPr>
              <w:t>2040</w:t>
            </w:r>
            <w:r w:rsidRPr="0037696F">
              <w:rPr>
                <w:rFonts w:ascii="楷体" w:eastAsia="楷体" w:hAnsi="楷体" w:hint="eastAsia"/>
                <w:b/>
                <w:bCs/>
                <w:color w:val="000000"/>
                <w:kern w:val="0"/>
                <w:sz w:val="22"/>
              </w:rPr>
              <w:t>年</w:t>
            </w:r>
          </w:p>
        </w:tc>
        <w:tc>
          <w:tcPr>
            <w:tcW w:w="1323"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36DEEB59" w14:textId="77777777" w:rsidR="0037696F" w:rsidRPr="0037696F" w:rsidRDefault="0037696F" w:rsidP="0037696F">
            <w:pPr>
              <w:widowControl/>
              <w:spacing w:line="240" w:lineRule="auto"/>
              <w:ind w:firstLineChars="0" w:firstLine="0"/>
              <w:jc w:val="center"/>
              <w:rPr>
                <w:rFonts w:eastAsia="宋体"/>
                <w:b/>
                <w:bCs/>
                <w:color w:val="000000"/>
                <w:kern w:val="0"/>
                <w:sz w:val="22"/>
              </w:rPr>
            </w:pPr>
            <w:r w:rsidRPr="0037696F">
              <w:rPr>
                <w:rFonts w:eastAsia="宋体"/>
                <w:b/>
                <w:bCs/>
                <w:color w:val="000000"/>
                <w:kern w:val="0"/>
                <w:sz w:val="22"/>
              </w:rPr>
              <w:t>2050</w:t>
            </w:r>
            <w:r w:rsidRPr="0037696F">
              <w:rPr>
                <w:rFonts w:ascii="楷体" w:eastAsia="楷体" w:hAnsi="楷体" w:hint="eastAsia"/>
                <w:b/>
                <w:bCs/>
                <w:color w:val="000000"/>
                <w:kern w:val="0"/>
                <w:sz w:val="22"/>
              </w:rPr>
              <w:t>年</w:t>
            </w:r>
          </w:p>
        </w:tc>
        <w:tc>
          <w:tcPr>
            <w:tcW w:w="1269"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20F79637" w14:textId="77777777" w:rsidR="0037696F" w:rsidRPr="0037696F" w:rsidRDefault="0037696F" w:rsidP="0037696F">
            <w:pPr>
              <w:widowControl/>
              <w:spacing w:line="240" w:lineRule="auto"/>
              <w:ind w:firstLineChars="0" w:firstLine="0"/>
              <w:jc w:val="center"/>
              <w:rPr>
                <w:rFonts w:eastAsia="宋体"/>
                <w:b/>
                <w:bCs/>
                <w:color w:val="000000"/>
                <w:kern w:val="0"/>
                <w:sz w:val="22"/>
              </w:rPr>
            </w:pPr>
            <w:r w:rsidRPr="0037696F">
              <w:rPr>
                <w:rFonts w:eastAsia="宋体"/>
                <w:b/>
                <w:bCs/>
                <w:color w:val="000000"/>
                <w:kern w:val="0"/>
                <w:sz w:val="22"/>
              </w:rPr>
              <w:t>2060</w:t>
            </w:r>
            <w:r w:rsidRPr="0037696F">
              <w:rPr>
                <w:rFonts w:ascii="楷体" w:eastAsia="楷体" w:hAnsi="楷体" w:hint="eastAsia"/>
                <w:b/>
                <w:bCs/>
                <w:color w:val="000000"/>
                <w:kern w:val="0"/>
                <w:sz w:val="22"/>
              </w:rPr>
              <w:t>年</w:t>
            </w:r>
          </w:p>
        </w:tc>
      </w:tr>
      <w:tr w:rsidR="0037696F" w:rsidRPr="0037696F" w14:paraId="429A71D9" w14:textId="77777777" w:rsidTr="0037696F">
        <w:trPr>
          <w:trHeight w:val="288"/>
          <w:tblHeader/>
        </w:trPr>
        <w:tc>
          <w:tcPr>
            <w:tcW w:w="1066" w:type="pct"/>
            <w:gridSpan w:val="3"/>
            <w:vMerge/>
            <w:tcBorders>
              <w:top w:val="single" w:sz="4" w:space="0" w:color="auto"/>
              <w:left w:val="single" w:sz="4" w:space="0" w:color="auto"/>
              <w:bottom w:val="single" w:sz="4" w:space="0" w:color="auto"/>
              <w:right w:val="single" w:sz="4" w:space="0" w:color="auto"/>
            </w:tcBorders>
            <w:vAlign w:val="center"/>
            <w:hideMark/>
          </w:tcPr>
          <w:p w14:paraId="28965425" w14:textId="77777777" w:rsidR="0037696F" w:rsidRPr="0037696F" w:rsidRDefault="0037696F" w:rsidP="0037696F">
            <w:pPr>
              <w:widowControl/>
              <w:spacing w:line="240" w:lineRule="auto"/>
              <w:ind w:firstLineChars="0" w:firstLine="0"/>
              <w:jc w:val="left"/>
              <w:rPr>
                <w:rFonts w:eastAsia="宋体"/>
                <w:b/>
                <w:bCs/>
                <w:color w:val="000000"/>
                <w:kern w:val="0"/>
                <w:sz w:val="22"/>
              </w:rPr>
            </w:pPr>
          </w:p>
        </w:tc>
        <w:tc>
          <w:tcPr>
            <w:tcW w:w="762" w:type="pct"/>
            <w:tcBorders>
              <w:top w:val="nil"/>
              <w:left w:val="nil"/>
              <w:bottom w:val="single" w:sz="4" w:space="0" w:color="auto"/>
              <w:right w:val="single" w:sz="4" w:space="0" w:color="auto"/>
            </w:tcBorders>
            <w:shd w:val="clear" w:color="auto" w:fill="auto"/>
            <w:noWrap/>
            <w:vAlign w:val="center"/>
            <w:hideMark/>
          </w:tcPr>
          <w:p w14:paraId="2A26DA85" w14:textId="77777777" w:rsidR="0037696F" w:rsidRPr="0037696F" w:rsidRDefault="0037696F" w:rsidP="0037696F">
            <w:pPr>
              <w:widowControl/>
              <w:spacing w:line="240" w:lineRule="auto"/>
              <w:ind w:firstLineChars="0" w:firstLine="0"/>
              <w:jc w:val="left"/>
              <w:rPr>
                <w:rFonts w:eastAsia="宋体"/>
                <w:b/>
                <w:bCs/>
                <w:color w:val="000000"/>
                <w:kern w:val="0"/>
                <w:sz w:val="22"/>
              </w:rPr>
            </w:pPr>
            <w:r w:rsidRPr="0037696F">
              <w:rPr>
                <w:rFonts w:ascii="楷体" w:eastAsia="楷体" w:hAnsi="楷体" w:hint="eastAsia"/>
                <w:b/>
                <w:bCs/>
                <w:color w:val="000000"/>
                <w:kern w:val="0"/>
                <w:sz w:val="22"/>
              </w:rPr>
              <w:t>双碳政策推演情景</w:t>
            </w:r>
          </w:p>
        </w:tc>
        <w:tc>
          <w:tcPr>
            <w:tcW w:w="580" w:type="pct"/>
            <w:tcBorders>
              <w:top w:val="nil"/>
              <w:left w:val="nil"/>
              <w:bottom w:val="single" w:sz="4" w:space="0" w:color="auto"/>
              <w:right w:val="single" w:sz="4" w:space="0" w:color="auto"/>
            </w:tcBorders>
            <w:shd w:val="clear" w:color="auto" w:fill="auto"/>
            <w:noWrap/>
            <w:vAlign w:val="center"/>
            <w:hideMark/>
          </w:tcPr>
          <w:p w14:paraId="2F99FA4E" w14:textId="77777777" w:rsidR="0037696F" w:rsidRPr="0037696F" w:rsidRDefault="0037696F" w:rsidP="0037696F">
            <w:pPr>
              <w:widowControl/>
              <w:spacing w:line="240" w:lineRule="auto"/>
              <w:ind w:firstLineChars="0" w:firstLine="0"/>
              <w:jc w:val="left"/>
              <w:rPr>
                <w:rFonts w:eastAsia="宋体"/>
                <w:b/>
                <w:bCs/>
                <w:color w:val="000000"/>
                <w:kern w:val="0"/>
                <w:sz w:val="22"/>
              </w:rPr>
            </w:pPr>
            <w:r w:rsidRPr="0037696F">
              <w:rPr>
                <w:rFonts w:ascii="楷体" w:eastAsia="楷体" w:hAnsi="楷体" w:hint="eastAsia"/>
                <w:b/>
                <w:bCs/>
                <w:color w:val="000000"/>
                <w:kern w:val="0"/>
                <w:sz w:val="22"/>
              </w:rPr>
              <w:t>激进情景</w:t>
            </w:r>
          </w:p>
        </w:tc>
        <w:tc>
          <w:tcPr>
            <w:tcW w:w="741" w:type="pct"/>
            <w:tcBorders>
              <w:top w:val="nil"/>
              <w:left w:val="nil"/>
              <w:bottom w:val="single" w:sz="4" w:space="0" w:color="auto"/>
              <w:right w:val="single" w:sz="4" w:space="0" w:color="auto"/>
            </w:tcBorders>
            <w:shd w:val="clear" w:color="auto" w:fill="auto"/>
            <w:noWrap/>
            <w:vAlign w:val="center"/>
            <w:hideMark/>
          </w:tcPr>
          <w:p w14:paraId="412461F2" w14:textId="77777777" w:rsidR="0037696F" w:rsidRPr="0037696F" w:rsidRDefault="0037696F" w:rsidP="0037696F">
            <w:pPr>
              <w:widowControl/>
              <w:spacing w:line="240" w:lineRule="auto"/>
              <w:ind w:firstLineChars="0" w:firstLine="0"/>
              <w:jc w:val="left"/>
              <w:rPr>
                <w:rFonts w:eastAsia="宋体"/>
                <w:b/>
                <w:bCs/>
                <w:color w:val="000000"/>
                <w:kern w:val="0"/>
                <w:sz w:val="22"/>
              </w:rPr>
            </w:pPr>
            <w:r w:rsidRPr="0037696F">
              <w:rPr>
                <w:rFonts w:ascii="楷体" w:eastAsia="楷体" w:hAnsi="楷体" w:hint="eastAsia"/>
                <w:b/>
                <w:bCs/>
                <w:color w:val="000000"/>
                <w:kern w:val="0"/>
                <w:sz w:val="22"/>
              </w:rPr>
              <w:t>双碳政策推演情景</w:t>
            </w:r>
          </w:p>
        </w:tc>
        <w:tc>
          <w:tcPr>
            <w:tcW w:w="582" w:type="pct"/>
            <w:tcBorders>
              <w:top w:val="nil"/>
              <w:left w:val="nil"/>
              <w:bottom w:val="single" w:sz="4" w:space="0" w:color="auto"/>
              <w:right w:val="single" w:sz="4" w:space="0" w:color="auto"/>
            </w:tcBorders>
            <w:shd w:val="clear" w:color="auto" w:fill="auto"/>
            <w:noWrap/>
            <w:vAlign w:val="center"/>
            <w:hideMark/>
          </w:tcPr>
          <w:p w14:paraId="2BCE5210" w14:textId="77777777" w:rsidR="0037696F" w:rsidRPr="0037696F" w:rsidRDefault="0037696F" w:rsidP="0037696F">
            <w:pPr>
              <w:widowControl/>
              <w:spacing w:line="240" w:lineRule="auto"/>
              <w:ind w:firstLineChars="0" w:firstLine="0"/>
              <w:jc w:val="left"/>
              <w:rPr>
                <w:rFonts w:eastAsia="宋体"/>
                <w:b/>
                <w:bCs/>
                <w:color w:val="000000"/>
                <w:kern w:val="0"/>
                <w:sz w:val="22"/>
              </w:rPr>
            </w:pPr>
            <w:r w:rsidRPr="0037696F">
              <w:rPr>
                <w:rFonts w:ascii="楷体" w:eastAsia="楷体" w:hAnsi="楷体" w:hint="eastAsia"/>
                <w:b/>
                <w:bCs/>
                <w:color w:val="000000"/>
                <w:kern w:val="0"/>
                <w:sz w:val="22"/>
              </w:rPr>
              <w:t>激进情景</w:t>
            </w:r>
          </w:p>
        </w:tc>
        <w:tc>
          <w:tcPr>
            <w:tcW w:w="739" w:type="pct"/>
            <w:tcBorders>
              <w:top w:val="nil"/>
              <w:left w:val="nil"/>
              <w:bottom w:val="single" w:sz="4" w:space="0" w:color="auto"/>
              <w:right w:val="single" w:sz="4" w:space="0" w:color="auto"/>
            </w:tcBorders>
            <w:shd w:val="clear" w:color="auto" w:fill="auto"/>
            <w:noWrap/>
            <w:vAlign w:val="center"/>
            <w:hideMark/>
          </w:tcPr>
          <w:p w14:paraId="252EFECA" w14:textId="77777777" w:rsidR="0037696F" w:rsidRPr="0037696F" w:rsidRDefault="0037696F" w:rsidP="0037696F">
            <w:pPr>
              <w:widowControl/>
              <w:spacing w:line="240" w:lineRule="auto"/>
              <w:ind w:firstLineChars="0" w:firstLine="0"/>
              <w:jc w:val="left"/>
              <w:rPr>
                <w:rFonts w:eastAsia="宋体"/>
                <w:b/>
                <w:bCs/>
                <w:color w:val="000000"/>
                <w:kern w:val="0"/>
                <w:sz w:val="22"/>
              </w:rPr>
            </w:pPr>
            <w:r w:rsidRPr="0037696F">
              <w:rPr>
                <w:rFonts w:ascii="楷体" w:eastAsia="楷体" w:hAnsi="楷体" w:hint="eastAsia"/>
                <w:b/>
                <w:bCs/>
                <w:color w:val="000000"/>
                <w:kern w:val="0"/>
                <w:sz w:val="22"/>
              </w:rPr>
              <w:t>双碳政策推演情景</w:t>
            </w:r>
          </w:p>
        </w:tc>
        <w:tc>
          <w:tcPr>
            <w:tcW w:w="530" w:type="pct"/>
            <w:tcBorders>
              <w:top w:val="nil"/>
              <w:left w:val="nil"/>
              <w:bottom w:val="single" w:sz="4" w:space="0" w:color="auto"/>
              <w:right w:val="single" w:sz="4" w:space="0" w:color="auto"/>
            </w:tcBorders>
            <w:shd w:val="clear" w:color="auto" w:fill="auto"/>
            <w:noWrap/>
            <w:vAlign w:val="center"/>
            <w:hideMark/>
          </w:tcPr>
          <w:p w14:paraId="16F15018" w14:textId="77777777" w:rsidR="0037696F" w:rsidRPr="0037696F" w:rsidRDefault="0037696F" w:rsidP="0037696F">
            <w:pPr>
              <w:widowControl/>
              <w:spacing w:line="240" w:lineRule="auto"/>
              <w:ind w:firstLineChars="0" w:firstLine="0"/>
              <w:jc w:val="left"/>
              <w:rPr>
                <w:rFonts w:eastAsia="宋体"/>
                <w:b/>
                <w:bCs/>
                <w:color w:val="000000"/>
                <w:kern w:val="0"/>
                <w:sz w:val="22"/>
              </w:rPr>
            </w:pPr>
            <w:r w:rsidRPr="0037696F">
              <w:rPr>
                <w:rFonts w:ascii="楷体" w:eastAsia="楷体" w:hAnsi="楷体" w:hint="eastAsia"/>
                <w:b/>
                <w:bCs/>
                <w:color w:val="000000"/>
                <w:kern w:val="0"/>
                <w:sz w:val="22"/>
              </w:rPr>
              <w:t>激进情景</w:t>
            </w:r>
          </w:p>
        </w:tc>
      </w:tr>
      <w:tr w:rsidR="0037696F" w:rsidRPr="0037696F" w14:paraId="79658F40" w14:textId="77777777" w:rsidTr="00B25539">
        <w:trPr>
          <w:trHeight w:val="288"/>
        </w:trPr>
        <w:tc>
          <w:tcPr>
            <w:tcW w:w="201"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A0E7676" w14:textId="77777777" w:rsidR="0037696F" w:rsidRPr="0037696F" w:rsidRDefault="0037696F" w:rsidP="0037696F">
            <w:pPr>
              <w:widowControl/>
              <w:spacing w:line="240" w:lineRule="auto"/>
              <w:ind w:firstLineChars="0" w:firstLine="0"/>
              <w:jc w:val="center"/>
              <w:rPr>
                <w:rFonts w:eastAsia="宋体"/>
                <w:b/>
                <w:bCs/>
                <w:color w:val="000000"/>
                <w:kern w:val="0"/>
                <w:sz w:val="22"/>
              </w:rPr>
            </w:pPr>
            <w:r w:rsidRPr="0037696F">
              <w:rPr>
                <w:rFonts w:ascii="楷体" w:eastAsia="楷体" w:hAnsi="楷体" w:hint="eastAsia"/>
                <w:b/>
                <w:bCs/>
                <w:color w:val="000000"/>
                <w:kern w:val="0"/>
                <w:sz w:val="22"/>
              </w:rPr>
              <w:t>结构因素</w:t>
            </w:r>
          </w:p>
        </w:tc>
        <w:tc>
          <w:tcPr>
            <w:tcW w:w="305" w:type="pct"/>
            <w:vMerge w:val="restart"/>
            <w:tcBorders>
              <w:top w:val="nil"/>
              <w:left w:val="single" w:sz="4" w:space="0" w:color="auto"/>
              <w:bottom w:val="single" w:sz="4" w:space="0" w:color="000000"/>
              <w:right w:val="single" w:sz="4" w:space="0" w:color="auto"/>
            </w:tcBorders>
            <w:shd w:val="clear" w:color="auto" w:fill="auto"/>
            <w:vAlign w:val="center"/>
            <w:hideMark/>
          </w:tcPr>
          <w:p w14:paraId="57E36488" w14:textId="77777777" w:rsidR="0037696F" w:rsidRPr="0037696F" w:rsidRDefault="0037696F" w:rsidP="0037696F">
            <w:pPr>
              <w:widowControl/>
              <w:spacing w:line="240" w:lineRule="auto"/>
              <w:ind w:firstLineChars="0" w:firstLine="0"/>
              <w:jc w:val="center"/>
              <w:rPr>
                <w:rFonts w:eastAsia="宋体"/>
                <w:b/>
                <w:bCs/>
                <w:color w:val="000000"/>
                <w:kern w:val="0"/>
                <w:sz w:val="22"/>
              </w:rPr>
            </w:pPr>
            <w:r w:rsidRPr="0037696F">
              <w:rPr>
                <w:rFonts w:ascii="楷体" w:eastAsia="楷体" w:hAnsi="楷体" w:hint="eastAsia"/>
                <w:b/>
                <w:bCs/>
                <w:color w:val="000000"/>
                <w:kern w:val="0"/>
                <w:sz w:val="22"/>
              </w:rPr>
              <w:t>货物运输结构优化</w:t>
            </w:r>
          </w:p>
        </w:tc>
        <w:tc>
          <w:tcPr>
            <w:tcW w:w="559" w:type="pct"/>
            <w:tcBorders>
              <w:top w:val="nil"/>
              <w:left w:val="nil"/>
              <w:bottom w:val="single" w:sz="4" w:space="0" w:color="auto"/>
              <w:right w:val="single" w:sz="4" w:space="0" w:color="auto"/>
            </w:tcBorders>
            <w:shd w:val="clear" w:color="auto" w:fill="auto"/>
            <w:noWrap/>
            <w:vAlign w:val="center"/>
            <w:hideMark/>
          </w:tcPr>
          <w:p w14:paraId="4994A32D"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从公路到铁路货运的模式转变</w:t>
            </w:r>
          </w:p>
        </w:tc>
        <w:tc>
          <w:tcPr>
            <w:tcW w:w="3934" w:type="pct"/>
            <w:gridSpan w:val="6"/>
            <w:tcBorders>
              <w:top w:val="single" w:sz="4" w:space="0" w:color="auto"/>
              <w:left w:val="nil"/>
              <w:bottom w:val="single" w:sz="4" w:space="0" w:color="auto"/>
              <w:right w:val="single" w:sz="4" w:space="0" w:color="auto"/>
            </w:tcBorders>
            <w:shd w:val="clear" w:color="auto" w:fill="auto"/>
            <w:noWrap/>
            <w:vAlign w:val="center"/>
            <w:hideMark/>
          </w:tcPr>
          <w:p w14:paraId="6644D328" w14:textId="10E582EE" w:rsidR="0037696F" w:rsidRPr="0037696F" w:rsidRDefault="0037696F" w:rsidP="0037696F">
            <w:pPr>
              <w:widowControl/>
              <w:spacing w:line="240" w:lineRule="auto"/>
              <w:ind w:firstLineChars="0" w:firstLine="0"/>
              <w:jc w:val="center"/>
              <w:rPr>
                <w:rFonts w:eastAsia="宋体"/>
                <w:color w:val="000000"/>
                <w:kern w:val="0"/>
                <w:sz w:val="22"/>
              </w:rPr>
            </w:pPr>
            <w:r w:rsidRPr="0037696F">
              <w:rPr>
                <w:rFonts w:ascii="楷体" w:eastAsia="楷体" w:hAnsi="楷体" w:hint="eastAsia"/>
                <w:color w:val="000000"/>
                <w:kern w:val="0"/>
                <w:sz w:val="22"/>
              </w:rPr>
              <w:t>双碳政策推演情景</w:t>
            </w:r>
            <w:r w:rsidRPr="0037696F">
              <w:rPr>
                <w:rFonts w:eastAsia="宋体"/>
                <w:color w:val="000000"/>
                <w:kern w:val="0"/>
                <w:sz w:val="22"/>
              </w:rPr>
              <w:t>2030</w:t>
            </w:r>
            <w:r w:rsidRPr="0037696F">
              <w:rPr>
                <w:rFonts w:ascii="楷体" w:eastAsia="楷体" w:hAnsi="楷体" w:hint="eastAsia"/>
                <w:color w:val="000000"/>
                <w:kern w:val="0"/>
                <w:sz w:val="22"/>
              </w:rPr>
              <w:t>年后转移</w:t>
            </w:r>
            <w:r w:rsidRPr="0037696F">
              <w:rPr>
                <w:rFonts w:eastAsia="宋体"/>
                <w:color w:val="000000"/>
                <w:kern w:val="0"/>
                <w:sz w:val="22"/>
              </w:rPr>
              <w:t>10</w:t>
            </w:r>
            <w:r w:rsidR="008102C6">
              <w:rPr>
                <w:rFonts w:ascii="楷体" w:eastAsia="楷体" w:hAnsi="楷体" w:hint="eastAsia"/>
                <w:color w:val="000000"/>
                <w:kern w:val="0"/>
                <w:sz w:val="22"/>
              </w:rPr>
              <w:t>亿t</w:t>
            </w:r>
            <w:r w:rsidRPr="0037696F">
              <w:rPr>
                <w:rFonts w:ascii="楷体" w:eastAsia="楷体" w:hAnsi="楷体" w:hint="eastAsia"/>
                <w:color w:val="000000"/>
                <w:kern w:val="0"/>
                <w:sz w:val="22"/>
              </w:rPr>
              <w:t>，激进情景</w:t>
            </w:r>
            <w:r w:rsidRPr="0037696F">
              <w:rPr>
                <w:rFonts w:eastAsia="宋体"/>
                <w:color w:val="000000"/>
                <w:kern w:val="0"/>
                <w:sz w:val="22"/>
              </w:rPr>
              <w:t>2030</w:t>
            </w:r>
            <w:r w:rsidRPr="0037696F">
              <w:rPr>
                <w:rFonts w:ascii="楷体" w:eastAsia="楷体" w:hAnsi="楷体" w:hint="eastAsia"/>
                <w:color w:val="000000"/>
                <w:kern w:val="0"/>
                <w:sz w:val="22"/>
              </w:rPr>
              <w:t>年后转移</w:t>
            </w:r>
            <w:r w:rsidRPr="0037696F">
              <w:rPr>
                <w:rFonts w:eastAsia="宋体"/>
                <w:color w:val="000000"/>
                <w:kern w:val="0"/>
                <w:sz w:val="22"/>
              </w:rPr>
              <w:t>20</w:t>
            </w:r>
            <w:r w:rsidR="008102C6">
              <w:rPr>
                <w:rFonts w:ascii="楷体" w:eastAsia="楷体" w:hAnsi="楷体" w:hint="eastAsia"/>
                <w:color w:val="000000"/>
                <w:kern w:val="0"/>
                <w:sz w:val="22"/>
              </w:rPr>
              <w:t>亿t</w:t>
            </w:r>
          </w:p>
        </w:tc>
      </w:tr>
      <w:tr w:rsidR="0037696F" w:rsidRPr="0037696F" w14:paraId="76B6AC86" w14:textId="77777777" w:rsidTr="00B25539">
        <w:trPr>
          <w:trHeight w:val="288"/>
        </w:trPr>
        <w:tc>
          <w:tcPr>
            <w:tcW w:w="201" w:type="pct"/>
            <w:vMerge/>
            <w:tcBorders>
              <w:top w:val="nil"/>
              <w:left w:val="single" w:sz="4" w:space="0" w:color="auto"/>
              <w:bottom w:val="single" w:sz="4" w:space="0" w:color="000000"/>
              <w:right w:val="single" w:sz="4" w:space="0" w:color="auto"/>
            </w:tcBorders>
            <w:vAlign w:val="center"/>
            <w:hideMark/>
          </w:tcPr>
          <w:p w14:paraId="483595C4" w14:textId="77777777" w:rsidR="0037696F" w:rsidRPr="0037696F" w:rsidRDefault="0037696F" w:rsidP="0037696F">
            <w:pPr>
              <w:widowControl/>
              <w:spacing w:line="240" w:lineRule="auto"/>
              <w:ind w:firstLineChars="0" w:firstLine="0"/>
              <w:jc w:val="left"/>
              <w:rPr>
                <w:rFonts w:eastAsia="宋体"/>
                <w:b/>
                <w:bCs/>
                <w:color w:val="000000"/>
                <w:kern w:val="0"/>
                <w:sz w:val="22"/>
              </w:rPr>
            </w:pPr>
          </w:p>
        </w:tc>
        <w:tc>
          <w:tcPr>
            <w:tcW w:w="305" w:type="pct"/>
            <w:vMerge/>
            <w:tcBorders>
              <w:top w:val="nil"/>
              <w:left w:val="single" w:sz="4" w:space="0" w:color="auto"/>
              <w:bottom w:val="single" w:sz="4" w:space="0" w:color="000000"/>
              <w:right w:val="single" w:sz="4" w:space="0" w:color="auto"/>
            </w:tcBorders>
            <w:vAlign w:val="center"/>
            <w:hideMark/>
          </w:tcPr>
          <w:p w14:paraId="4ABF626F" w14:textId="77777777" w:rsidR="0037696F" w:rsidRPr="0037696F" w:rsidRDefault="0037696F" w:rsidP="0037696F">
            <w:pPr>
              <w:widowControl/>
              <w:spacing w:line="240" w:lineRule="auto"/>
              <w:ind w:firstLineChars="0" w:firstLine="0"/>
              <w:jc w:val="left"/>
              <w:rPr>
                <w:rFonts w:eastAsia="宋体"/>
                <w:b/>
                <w:bCs/>
                <w:color w:val="000000"/>
                <w:kern w:val="0"/>
                <w:sz w:val="22"/>
              </w:rPr>
            </w:pPr>
          </w:p>
        </w:tc>
        <w:tc>
          <w:tcPr>
            <w:tcW w:w="559" w:type="pct"/>
            <w:tcBorders>
              <w:top w:val="nil"/>
              <w:left w:val="nil"/>
              <w:bottom w:val="single" w:sz="4" w:space="0" w:color="auto"/>
              <w:right w:val="single" w:sz="4" w:space="0" w:color="auto"/>
            </w:tcBorders>
            <w:shd w:val="clear" w:color="auto" w:fill="auto"/>
            <w:noWrap/>
            <w:vAlign w:val="center"/>
            <w:hideMark/>
          </w:tcPr>
          <w:p w14:paraId="2B301B2F"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从公路到内河货运的模式转变</w:t>
            </w:r>
          </w:p>
        </w:tc>
        <w:tc>
          <w:tcPr>
            <w:tcW w:w="3934" w:type="pct"/>
            <w:gridSpan w:val="6"/>
            <w:tcBorders>
              <w:top w:val="single" w:sz="4" w:space="0" w:color="auto"/>
              <w:left w:val="nil"/>
              <w:bottom w:val="single" w:sz="4" w:space="0" w:color="auto"/>
              <w:right w:val="single" w:sz="4" w:space="0" w:color="auto"/>
            </w:tcBorders>
            <w:shd w:val="clear" w:color="auto" w:fill="auto"/>
            <w:noWrap/>
            <w:vAlign w:val="center"/>
            <w:hideMark/>
          </w:tcPr>
          <w:p w14:paraId="6F8FB243" w14:textId="2ED031BE" w:rsidR="0037696F" w:rsidRPr="0037696F" w:rsidRDefault="0037696F" w:rsidP="0037696F">
            <w:pPr>
              <w:widowControl/>
              <w:spacing w:line="240" w:lineRule="auto"/>
              <w:ind w:firstLineChars="0" w:firstLine="0"/>
              <w:jc w:val="center"/>
              <w:rPr>
                <w:rFonts w:eastAsia="宋体"/>
                <w:color w:val="000000"/>
                <w:kern w:val="0"/>
                <w:sz w:val="22"/>
              </w:rPr>
            </w:pPr>
            <w:r w:rsidRPr="0037696F">
              <w:rPr>
                <w:rFonts w:ascii="楷体" w:eastAsia="楷体" w:hAnsi="楷体" w:hint="eastAsia"/>
                <w:color w:val="000000"/>
                <w:kern w:val="0"/>
                <w:sz w:val="22"/>
              </w:rPr>
              <w:t>双碳政策推演情景</w:t>
            </w:r>
            <w:r w:rsidRPr="0037696F">
              <w:rPr>
                <w:rFonts w:eastAsia="宋体"/>
                <w:color w:val="000000"/>
                <w:kern w:val="0"/>
                <w:sz w:val="22"/>
              </w:rPr>
              <w:t>2030</w:t>
            </w:r>
            <w:r w:rsidRPr="0037696F">
              <w:rPr>
                <w:rFonts w:ascii="楷体" w:eastAsia="楷体" w:hAnsi="楷体" w:hint="eastAsia"/>
                <w:color w:val="000000"/>
                <w:kern w:val="0"/>
                <w:sz w:val="22"/>
              </w:rPr>
              <w:t>年后转移</w:t>
            </w:r>
            <w:r w:rsidRPr="0037696F">
              <w:rPr>
                <w:rFonts w:eastAsia="宋体"/>
                <w:color w:val="000000"/>
                <w:kern w:val="0"/>
                <w:sz w:val="22"/>
              </w:rPr>
              <w:t>12</w:t>
            </w:r>
            <w:r w:rsidR="008102C6">
              <w:rPr>
                <w:rFonts w:ascii="楷体" w:eastAsia="楷体" w:hAnsi="楷体" w:hint="eastAsia"/>
                <w:color w:val="000000"/>
                <w:kern w:val="0"/>
                <w:sz w:val="22"/>
              </w:rPr>
              <w:t>亿t</w:t>
            </w:r>
            <w:r w:rsidRPr="0037696F">
              <w:rPr>
                <w:rFonts w:ascii="楷体" w:eastAsia="楷体" w:hAnsi="楷体" w:hint="eastAsia"/>
                <w:color w:val="000000"/>
                <w:kern w:val="0"/>
                <w:sz w:val="22"/>
              </w:rPr>
              <w:t>，激进情景</w:t>
            </w:r>
            <w:r w:rsidRPr="0037696F">
              <w:rPr>
                <w:rFonts w:eastAsia="宋体"/>
                <w:color w:val="000000"/>
                <w:kern w:val="0"/>
                <w:sz w:val="22"/>
              </w:rPr>
              <w:t>2030</w:t>
            </w:r>
            <w:r w:rsidRPr="0037696F">
              <w:rPr>
                <w:rFonts w:ascii="楷体" w:eastAsia="楷体" w:hAnsi="楷体" w:hint="eastAsia"/>
                <w:color w:val="000000"/>
                <w:kern w:val="0"/>
                <w:sz w:val="22"/>
              </w:rPr>
              <w:t>年后转移</w:t>
            </w:r>
            <w:r w:rsidRPr="0037696F">
              <w:rPr>
                <w:rFonts w:eastAsia="宋体"/>
                <w:color w:val="000000"/>
                <w:kern w:val="0"/>
                <w:sz w:val="22"/>
              </w:rPr>
              <w:t>15</w:t>
            </w:r>
            <w:r w:rsidR="008102C6">
              <w:rPr>
                <w:rFonts w:ascii="楷体" w:eastAsia="楷体" w:hAnsi="楷体" w:hint="eastAsia"/>
                <w:color w:val="000000"/>
                <w:kern w:val="0"/>
                <w:sz w:val="22"/>
              </w:rPr>
              <w:t>亿t</w:t>
            </w:r>
          </w:p>
        </w:tc>
      </w:tr>
      <w:tr w:rsidR="0037696F" w:rsidRPr="0037696F" w14:paraId="331F86E7" w14:textId="77777777" w:rsidTr="00B25539">
        <w:trPr>
          <w:trHeight w:val="288"/>
        </w:trPr>
        <w:tc>
          <w:tcPr>
            <w:tcW w:w="201" w:type="pct"/>
            <w:vMerge/>
            <w:tcBorders>
              <w:top w:val="nil"/>
              <w:left w:val="single" w:sz="4" w:space="0" w:color="auto"/>
              <w:bottom w:val="single" w:sz="4" w:space="0" w:color="000000"/>
              <w:right w:val="single" w:sz="4" w:space="0" w:color="auto"/>
            </w:tcBorders>
            <w:vAlign w:val="center"/>
            <w:hideMark/>
          </w:tcPr>
          <w:p w14:paraId="59057801" w14:textId="77777777" w:rsidR="0037696F" w:rsidRPr="0037696F" w:rsidRDefault="0037696F" w:rsidP="0037696F">
            <w:pPr>
              <w:widowControl/>
              <w:spacing w:line="240" w:lineRule="auto"/>
              <w:ind w:firstLineChars="0" w:firstLine="0"/>
              <w:jc w:val="left"/>
              <w:rPr>
                <w:rFonts w:eastAsia="宋体"/>
                <w:b/>
                <w:bCs/>
                <w:color w:val="000000"/>
                <w:kern w:val="0"/>
                <w:sz w:val="22"/>
              </w:rPr>
            </w:pPr>
          </w:p>
        </w:tc>
        <w:tc>
          <w:tcPr>
            <w:tcW w:w="305" w:type="pct"/>
            <w:vMerge/>
            <w:tcBorders>
              <w:top w:val="nil"/>
              <w:left w:val="single" w:sz="4" w:space="0" w:color="auto"/>
              <w:bottom w:val="single" w:sz="4" w:space="0" w:color="000000"/>
              <w:right w:val="single" w:sz="4" w:space="0" w:color="auto"/>
            </w:tcBorders>
            <w:vAlign w:val="center"/>
            <w:hideMark/>
          </w:tcPr>
          <w:p w14:paraId="41D9AAC9" w14:textId="77777777" w:rsidR="0037696F" w:rsidRPr="0037696F" w:rsidRDefault="0037696F" w:rsidP="0037696F">
            <w:pPr>
              <w:widowControl/>
              <w:spacing w:line="240" w:lineRule="auto"/>
              <w:ind w:firstLineChars="0" w:firstLine="0"/>
              <w:jc w:val="left"/>
              <w:rPr>
                <w:rFonts w:eastAsia="宋体"/>
                <w:b/>
                <w:bCs/>
                <w:color w:val="000000"/>
                <w:kern w:val="0"/>
                <w:sz w:val="22"/>
              </w:rPr>
            </w:pPr>
          </w:p>
        </w:tc>
        <w:tc>
          <w:tcPr>
            <w:tcW w:w="559" w:type="pct"/>
            <w:tcBorders>
              <w:top w:val="nil"/>
              <w:left w:val="nil"/>
              <w:bottom w:val="single" w:sz="4" w:space="0" w:color="auto"/>
              <w:right w:val="single" w:sz="4" w:space="0" w:color="auto"/>
            </w:tcBorders>
            <w:shd w:val="clear" w:color="auto" w:fill="auto"/>
            <w:noWrap/>
            <w:vAlign w:val="center"/>
            <w:hideMark/>
          </w:tcPr>
          <w:p w14:paraId="5679B47D"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从公路到沿海货运的模式转变</w:t>
            </w:r>
          </w:p>
        </w:tc>
        <w:tc>
          <w:tcPr>
            <w:tcW w:w="3934" w:type="pct"/>
            <w:gridSpan w:val="6"/>
            <w:tcBorders>
              <w:top w:val="single" w:sz="4" w:space="0" w:color="auto"/>
              <w:left w:val="nil"/>
              <w:bottom w:val="single" w:sz="4" w:space="0" w:color="auto"/>
              <w:right w:val="single" w:sz="4" w:space="0" w:color="auto"/>
            </w:tcBorders>
            <w:shd w:val="clear" w:color="auto" w:fill="auto"/>
            <w:noWrap/>
            <w:vAlign w:val="center"/>
            <w:hideMark/>
          </w:tcPr>
          <w:p w14:paraId="160E0697" w14:textId="30C7C069" w:rsidR="0037696F" w:rsidRPr="0037696F" w:rsidRDefault="0037696F" w:rsidP="0037696F">
            <w:pPr>
              <w:widowControl/>
              <w:spacing w:line="240" w:lineRule="auto"/>
              <w:ind w:firstLineChars="0" w:firstLine="0"/>
              <w:jc w:val="center"/>
              <w:rPr>
                <w:rFonts w:eastAsia="宋体"/>
                <w:color w:val="000000"/>
                <w:kern w:val="0"/>
                <w:sz w:val="22"/>
              </w:rPr>
            </w:pPr>
            <w:r w:rsidRPr="0037696F">
              <w:rPr>
                <w:rFonts w:ascii="楷体" w:eastAsia="楷体" w:hAnsi="楷体" w:hint="eastAsia"/>
                <w:color w:val="000000"/>
                <w:kern w:val="0"/>
                <w:sz w:val="22"/>
              </w:rPr>
              <w:t>双碳政策推演情景</w:t>
            </w:r>
            <w:r w:rsidRPr="0037696F">
              <w:rPr>
                <w:rFonts w:eastAsia="宋体"/>
                <w:color w:val="000000"/>
                <w:kern w:val="0"/>
                <w:sz w:val="22"/>
              </w:rPr>
              <w:t>2030</w:t>
            </w:r>
            <w:r w:rsidRPr="0037696F">
              <w:rPr>
                <w:rFonts w:ascii="楷体" w:eastAsia="楷体" w:hAnsi="楷体" w:hint="eastAsia"/>
                <w:color w:val="000000"/>
                <w:kern w:val="0"/>
                <w:sz w:val="22"/>
              </w:rPr>
              <w:t>年后转移</w:t>
            </w:r>
            <w:r w:rsidRPr="0037696F">
              <w:rPr>
                <w:rFonts w:eastAsia="宋体"/>
                <w:color w:val="000000"/>
                <w:kern w:val="0"/>
                <w:sz w:val="22"/>
              </w:rPr>
              <w:t>7</w:t>
            </w:r>
            <w:r w:rsidR="008102C6">
              <w:rPr>
                <w:rFonts w:ascii="楷体" w:eastAsia="楷体" w:hAnsi="楷体" w:hint="eastAsia"/>
                <w:color w:val="000000"/>
                <w:kern w:val="0"/>
                <w:sz w:val="22"/>
              </w:rPr>
              <w:t>亿t</w:t>
            </w:r>
            <w:r w:rsidRPr="0037696F">
              <w:rPr>
                <w:rFonts w:ascii="楷体" w:eastAsia="楷体" w:hAnsi="楷体" w:hint="eastAsia"/>
                <w:color w:val="000000"/>
                <w:kern w:val="0"/>
                <w:sz w:val="22"/>
              </w:rPr>
              <w:t>，激进情景</w:t>
            </w:r>
            <w:r w:rsidRPr="0037696F">
              <w:rPr>
                <w:rFonts w:eastAsia="宋体"/>
                <w:color w:val="000000"/>
                <w:kern w:val="0"/>
                <w:sz w:val="22"/>
              </w:rPr>
              <w:t>2030</w:t>
            </w:r>
            <w:r w:rsidRPr="0037696F">
              <w:rPr>
                <w:rFonts w:ascii="楷体" w:eastAsia="楷体" w:hAnsi="楷体" w:hint="eastAsia"/>
                <w:color w:val="000000"/>
                <w:kern w:val="0"/>
                <w:sz w:val="22"/>
              </w:rPr>
              <w:t>年后转移</w:t>
            </w:r>
            <w:r w:rsidRPr="0037696F">
              <w:rPr>
                <w:rFonts w:eastAsia="宋体"/>
                <w:color w:val="000000"/>
                <w:kern w:val="0"/>
                <w:sz w:val="22"/>
              </w:rPr>
              <w:t>12</w:t>
            </w:r>
            <w:r w:rsidR="008102C6">
              <w:rPr>
                <w:rFonts w:ascii="楷体" w:eastAsia="楷体" w:hAnsi="楷体" w:hint="eastAsia"/>
                <w:color w:val="000000"/>
                <w:kern w:val="0"/>
                <w:sz w:val="22"/>
              </w:rPr>
              <w:t>亿t</w:t>
            </w:r>
          </w:p>
        </w:tc>
      </w:tr>
      <w:tr w:rsidR="0037696F" w:rsidRPr="0037696F" w14:paraId="4061FAFD" w14:textId="77777777" w:rsidTr="00B25539">
        <w:trPr>
          <w:trHeight w:val="288"/>
        </w:trPr>
        <w:tc>
          <w:tcPr>
            <w:tcW w:w="201" w:type="pct"/>
            <w:vMerge/>
            <w:tcBorders>
              <w:top w:val="nil"/>
              <w:left w:val="single" w:sz="4" w:space="0" w:color="auto"/>
              <w:bottom w:val="single" w:sz="4" w:space="0" w:color="000000"/>
              <w:right w:val="single" w:sz="4" w:space="0" w:color="auto"/>
            </w:tcBorders>
            <w:vAlign w:val="center"/>
            <w:hideMark/>
          </w:tcPr>
          <w:p w14:paraId="5B8720A9" w14:textId="77777777" w:rsidR="0037696F" w:rsidRPr="0037696F" w:rsidRDefault="0037696F" w:rsidP="0037696F">
            <w:pPr>
              <w:widowControl/>
              <w:spacing w:line="240" w:lineRule="auto"/>
              <w:ind w:firstLineChars="0" w:firstLine="0"/>
              <w:jc w:val="left"/>
              <w:rPr>
                <w:rFonts w:eastAsia="宋体"/>
                <w:b/>
                <w:bCs/>
                <w:color w:val="000000"/>
                <w:kern w:val="0"/>
                <w:sz w:val="22"/>
              </w:rPr>
            </w:pPr>
          </w:p>
        </w:tc>
        <w:tc>
          <w:tcPr>
            <w:tcW w:w="305" w:type="pct"/>
            <w:vMerge w:val="restart"/>
            <w:tcBorders>
              <w:top w:val="nil"/>
              <w:left w:val="single" w:sz="4" w:space="0" w:color="auto"/>
              <w:bottom w:val="single" w:sz="4" w:space="0" w:color="000000"/>
              <w:right w:val="single" w:sz="4" w:space="0" w:color="auto"/>
            </w:tcBorders>
            <w:shd w:val="clear" w:color="auto" w:fill="auto"/>
            <w:vAlign w:val="center"/>
            <w:hideMark/>
          </w:tcPr>
          <w:p w14:paraId="69FCDDF1" w14:textId="77777777" w:rsidR="0037696F" w:rsidRPr="0037696F" w:rsidRDefault="0037696F" w:rsidP="0037696F">
            <w:pPr>
              <w:widowControl/>
              <w:spacing w:line="240" w:lineRule="auto"/>
              <w:ind w:firstLineChars="0" w:firstLine="0"/>
              <w:jc w:val="center"/>
              <w:rPr>
                <w:rFonts w:eastAsia="宋体"/>
                <w:b/>
                <w:bCs/>
                <w:color w:val="000000"/>
                <w:kern w:val="0"/>
                <w:sz w:val="22"/>
              </w:rPr>
            </w:pPr>
            <w:r w:rsidRPr="0037696F">
              <w:rPr>
                <w:rFonts w:ascii="楷体" w:eastAsia="楷体" w:hAnsi="楷体" w:hint="eastAsia"/>
                <w:b/>
                <w:bCs/>
                <w:color w:val="000000"/>
                <w:kern w:val="0"/>
                <w:sz w:val="22"/>
              </w:rPr>
              <w:t>公共交通供给增长</w:t>
            </w:r>
          </w:p>
        </w:tc>
        <w:tc>
          <w:tcPr>
            <w:tcW w:w="559" w:type="pct"/>
            <w:tcBorders>
              <w:top w:val="nil"/>
              <w:left w:val="nil"/>
              <w:bottom w:val="single" w:sz="4" w:space="0" w:color="auto"/>
              <w:right w:val="single" w:sz="4" w:space="0" w:color="auto"/>
            </w:tcBorders>
            <w:shd w:val="clear" w:color="auto" w:fill="auto"/>
            <w:vAlign w:val="center"/>
            <w:hideMark/>
          </w:tcPr>
          <w:p w14:paraId="24DB4BA2"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eastAsia="宋体"/>
                <w:color w:val="000000"/>
                <w:kern w:val="0"/>
                <w:sz w:val="22"/>
              </w:rPr>
              <w:t>BRT</w:t>
            </w:r>
            <w:r w:rsidRPr="0037696F">
              <w:rPr>
                <w:rFonts w:ascii="楷体" w:eastAsia="楷体" w:hAnsi="楷体" w:hint="eastAsia"/>
                <w:color w:val="000000"/>
                <w:kern w:val="0"/>
                <w:sz w:val="22"/>
              </w:rPr>
              <w:t>系统的扩展</w:t>
            </w:r>
          </w:p>
        </w:tc>
        <w:tc>
          <w:tcPr>
            <w:tcW w:w="3934" w:type="pct"/>
            <w:gridSpan w:val="6"/>
            <w:tcBorders>
              <w:top w:val="single" w:sz="4" w:space="0" w:color="auto"/>
              <w:left w:val="nil"/>
              <w:bottom w:val="single" w:sz="4" w:space="0" w:color="auto"/>
              <w:right w:val="single" w:sz="4" w:space="0" w:color="auto"/>
            </w:tcBorders>
            <w:shd w:val="clear" w:color="auto" w:fill="auto"/>
            <w:noWrap/>
            <w:vAlign w:val="center"/>
            <w:hideMark/>
          </w:tcPr>
          <w:p w14:paraId="0BF13A9B" w14:textId="77777777" w:rsidR="0037696F" w:rsidRPr="0037696F" w:rsidRDefault="0037696F" w:rsidP="0037696F">
            <w:pPr>
              <w:widowControl/>
              <w:spacing w:line="240" w:lineRule="auto"/>
              <w:ind w:firstLineChars="0" w:firstLine="0"/>
              <w:jc w:val="center"/>
              <w:rPr>
                <w:rFonts w:eastAsia="宋体"/>
                <w:color w:val="000000"/>
                <w:kern w:val="0"/>
                <w:sz w:val="22"/>
              </w:rPr>
            </w:pPr>
            <w:r w:rsidRPr="0037696F">
              <w:rPr>
                <w:rFonts w:ascii="楷体" w:eastAsia="楷体" w:hAnsi="楷体" w:hint="eastAsia"/>
                <w:color w:val="000000"/>
                <w:kern w:val="0"/>
                <w:sz w:val="22"/>
              </w:rPr>
              <w:t>双碳政策推演情景</w:t>
            </w:r>
            <w:r w:rsidRPr="0037696F">
              <w:rPr>
                <w:rFonts w:eastAsia="宋体"/>
                <w:color w:val="000000"/>
                <w:kern w:val="0"/>
                <w:sz w:val="22"/>
              </w:rPr>
              <w:t>2030</w:t>
            </w:r>
            <w:r w:rsidRPr="0037696F">
              <w:rPr>
                <w:rFonts w:ascii="楷体" w:eastAsia="楷体" w:hAnsi="楷体" w:hint="eastAsia"/>
                <w:color w:val="000000"/>
                <w:kern w:val="0"/>
                <w:sz w:val="22"/>
              </w:rPr>
              <w:t>年新建</w:t>
            </w:r>
            <w:r w:rsidRPr="0037696F">
              <w:rPr>
                <w:rFonts w:eastAsia="宋体"/>
                <w:color w:val="000000"/>
                <w:kern w:val="0"/>
                <w:sz w:val="22"/>
              </w:rPr>
              <w:t>BRT</w:t>
            </w:r>
            <w:r w:rsidRPr="0037696F">
              <w:rPr>
                <w:rFonts w:ascii="楷体" w:eastAsia="楷体" w:hAnsi="楷体" w:hint="eastAsia"/>
                <w:color w:val="000000"/>
                <w:kern w:val="0"/>
                <w:sz w:val="22"/>
              </w:rPr>
              <w:t>线路</w:t>
            </w:r>
            <w:r w:rsidRPr="0037696F">
              <w:rPr>
                <w:rFonts w:eastAsia="宋体"/>
                <w:color w:val="000000"/>
                <w:kern w:val="0"/>
                <w:sz w:val="22"/>
              </w:rPr>
              <w:t>1000km</w:t>
            </w:r>
            <w:r w:rsidRPr="0037696F">
              <w:rPr>
                <w:rFonts w:ascii="楷体" w:eastAsia="楷体" w:hAnsi="楷体" w:hint="eastAsia"/>
                <w:color w:val="000000"/>
                <w:kern w:val="0"/>
                <w:sz w:val="22"/>
              </w:rPr>
              <w:t>，激进情景</w:t>
            </w:r>
            <w:r w:rsidRPr="0037696F">
              <w:rPr>
                <w:rFonts w:eastAsia="宋体"/>
                <w:color w:val="000000"/>
                <w:kern w:val="0"/>
                <w:sz w:val="22"/>
              </w:rPr>
              <w:t>2030</w:t>
            </w:r>
            <w:r w:rsidRPr="0037696F">
              <w:rPr>
                <w:rFonts w:ascii="楷体" w:eastAsia="楷体" w:hAnsi="楷体" w:hint="eastAsia"/>
                <w:color w:val="000000"/>
                <w:kern w:val="0"/>
                <w:sz w:val="22"/>
              </w:rPr>
              <w:t>年后</w:t>
            </w:r>
            <w:r w:rsidRPr="0037696F">
              <w:rPr>
                <w:rFonts w:eastAsia="宋体"/>
                <w:color w:val="000000"/>
                <w:kern w:val="0"/>
                <w:sz w:val="22"/>
              </w:rPr>
              <w:t>BRT</w:t>
            </w:r>
            <w:r w:rsidRPr="0037696F">
              <w:rPr>
                <w:rFonts w:ascii="楷体" w:eastAsia="楷体" w:hAnsi="楷体" w:hint="eastAsia"/>
                <w:color w:val="000000"/>
                <w:kern w:val="0"/>
                <w:sz w:val="22"/>
              </w:rPr>
              <w:t>线路</w:t>
            </w:r>
            <w:r w:rsidRPr="0037696F">
              <w:rPr>
                <w:rFonts w:eastAsia="宋体"/>
                <w:color w:val="000000"/>
                <w:kern w:val="0"/>
                <w:sz w:val="22"/>
              </w:rPr>
              <w:t>1500km</w:t>
            </w:r>
          </w:p>
        </w:tc>
      </w:tr>
      <w:tr w:rsidR="0037696F" w:rsidRPr="0037696F" w14:paraId="39FAA413" w14:textId="77777777" w:rsidTr="00B25539">
        <w:trPr>
          <w:trHeight w:val="288"/>
        </w:trPr>
        <w:tc>
          <w:tcPr>
            <w:tcW w:w="201" w:type="pct"/>
            <w:vMerge/>
            <w:tcBorders>
              <w:top w:val="nil"/>
              <w:left w:val="single" w:sz="4" w:space="0" w:color="auto"/>
              <w:bottom w:val="single" w:sz="4" w:space="0" w:color="000000"/>
              <w:right w:val="single" w:sz="4" w:space="0" w:color="auto"/>
            </w:tcBorders>
            <w:vAlign w:val="center"/>
            <w:hideMark/>
          </w:tcPr>
          <w:p w14:paraId="09E69BF9" w14:textId="77777777" w:rsidR="0037696F" w:rsidRPr="0037696F" w:rsidRDefault="0037696F" w:rsidP="0037696F">
            <w:pPr>
              <w:widowControl/>
              <w:spacing w:line="240" w:lineRule="auto"/>
              <w:ind w:firstLineChars="0" w:firstLine="0"/>
              <w:jc w:val="left"/>
              <w:rPr>
                <w:rFonts w:eastAsia="宋体"/>
                <w:b/>
                <w:bCs/>
                <w:color w:val="000000"/>
                <w:kern w:val="0"/>
                <w:sz w:val="22"/>
              </w:rPr>
            </w:pPr>
          </w:p>
        </w:tc>
        <w:tc>
          <w:tcPr>
            <w:tcW w:w="305" w:type="pct"/>
            <w:vMerge/>
            <w:tcBorders>
              <w:top w:val="nil"/>
              <w:left w:val="single" w:sz="4" w:space="0" w:color="auto"/>
              <w:bottom w:val="single" w:sz="4" w:space="0" w:color="000000"/>
              <w:right w:val="single" w:sz="4" w:space="0" w:color="auto"/>
            </w:tcBorders>
            <w:vAlign w:val="center"/>
            <w:hideMark/>
          </w:tcPr>
          <w:p w14:paraId="6EFA4DAF" w14:textId="77777777" w:rsidR="0037696F" w:rsidRPr="0037696F" w:rsidRDefault="0037696F" w:rsidP="0037696F">
            <w:pPr>
              <w:widowControl/>
              <w:spacing w:line="240" w:lineRule="auto"/>
              <w:ind w:firstLineChars="0" w:firstLine="0"/>
              <w:jc w:val="left"/>
              <w:rPr>
                <w:rFonts w:eastAsia="宋体"/>
                <w:b/>
                <w:bCs/>
                <w:color w:val="000000"/>
                <w:kern w:val="0"/>
                <w:sz w:val="22"/>
              </w:rPr>
            </w:pPr>
          </w:p>
        </w:tc>
        <w:tc>
          <w:tcPr>
            <w:tcW w:w="559" w:type="pct"/>
            <w:tcBorders>
              <w:top w:val="nil"/>
              <w:left w:val="nil"/>
              <w:bottom w:val="single" w:sz="4" w:space="0" w:color="auto"/>
              <w:right w:val="single" w:sz="4" w:space="0" w:color="auto"/>
            </w:tcBorders>
            <w:shd w:val="clear" w:color="auto" w:fill="auto"/>
            <w:noWrap/>
            <w:vAlign w:val="center"/>
            <w:hideMark/>
          </w:tcPr>
          <w:p w14:paraId="1383358D"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城市轨道交通的发展</w:t>
            </w:r>
          </w:p>
        </w:tc>
        <w:tc>
          <w:tcPr>
            <w:tcW w:w="3934" w:type="pct"/>
            <w:gridSpan w:val="6"/>
            <w:tcBorders>
              <w:top w:val="single" w:sz="4" w:space="0" w:color="auto"/>
              <w:left w:val="nil"/>
              <w:bottom w:val="single" w:sz="4" w:space="0" w:color="auto"/>
              <w:right w:val="single" w:sz="4" w:space="0" w:color="auto"/>
            </w:tcBorders>
            <w:shd w:val="clear" w:color="auto" w:fill="auto"/>
            <w:noWrap/>
            <w:vAlign w:val="center"/>
            <w:hideMark/>
          </w:tcPr>
          <w:p w14:paraId="2BAA292E" w14:textId="77777777" w:rsidR="0037696F" w:rsidRPr="0037696F" w:rsidRDefault="0037696F" w:rsidP="0037696F">
            <w:pPr>
              <w:widowControl/>
              <w:spacing w:line="240" w:lineRule="auto"/>
              <w:ind w:firstLineChars="0" w:firstLine="0"/>
              <w:jc w:val="center"/>
              <w:rPr>
                <w:rFonts w:eastAsia="宋体"/>
                <w:color w:val="000000"/>
                <w:kern w:val="0"/>
                <w:sz w:val="22"/>
              </w:rPr>
            </w:pPr>
            <w:r w:rsidRPr="0037696F">
              <w:rPr>
                <w:rFonts w:ascii="楷体" w:eastAsia="楷体" w:hAnsi="楷体" w:hint="eastAsia"/>
                <w:color w:val="000000"/>
                <w:kern w:val="0"/>
                <w:sz w:val="22"/>
              </w:rPr>
              <w:t>双碳政策推演情景</w:t>
            </w:r>
            <w:r w:rsidRPr="0037696F">
              <w:rPr>
                <w:rFonts w:eastAsia="宋体"/>
                <w:color w:val="000000"/>
                <w:kern w:val="0"/>
                <w:sz w:val="22"/>
              </w:rPr>
              <w:t>2030</w:t>
            </w:r>
            <w:r w:rsidRPr="0037696F">
              <w:rPr>
                <w:rFonts w:ascii="楷体" w:eastAsia="楷体" w:hAnsi="楷体" w:hint="eastAsia"/>
                <w:color w:val="000000"/>
                <w:kern w:val="0"/>
                <w:sz w:val="22"/>
              </w:rPr>
              <w:t>年新建地铁线路</w:t>
            </w:r>
            <w:r w:rsidRPr="0037696F">
              <w:rPr>
                <w:rFonts w:eastAsia="宋体"/>
                <w:color w:val="000000"/>
                <w:kern w:val="0"/>
                <w:sz w:val="22"/>
              </w:rPr>
              <w:t>3800km</w:t>
            </w:r>
            <w:r w:rsidRPr="0037696F">
              <w:rPr>
                <w:rFonts w:ascii="楷体" w:eastAsia="楷体" w:hAnsi="楷体" w:hint="eastAsia"/>
                <w:color w:val="000000"/>
                <w:kern w:val="0"/>
                <w:sz w:val="22"/>
              </w:rPr>
              <w:t>，激进情景</w:t>
            </w:r>
            <w:r w:rsidRPr="0037696F">
              <w:rPr>
                <w:rFonts w:eastAsia="宋体"/>
                <w:color w:val="000000"/>
                <w:kern w:val="0"/>
                <w:sz w:val="22"/>
              </w:rPr>
              <w:t>2030</w:t>
            </w:r>
            <w:r w:rsidRPr="0037696F">
              <w:rPr>
                <w:rFonts w:ascii="楷体" w:eastAsia="楷体" w:hAnsi="楷体" w:hint="eastAsia"/>
                <w:color w:val="000000"/>
                <w:kern w:val="0"/>
                <w:sz w:val="22"/>
              </w:rPr>
              <w:t>年后新建地铁线路</w:t>
            </w:r>
            <w:r w:rsidRPr="0037696F">
              <w:rPr>
                <w:rFonts w:eastAsia="宋体"/>
                <w:color w:val="000000"/>
                <w:kern w:val="0"/>
                <w:sz w:val="22"/>
              </w:rPr>
              <w:t>5800km</w:t>
            </w:r>
          </w:p>
        </w:tc>
      </w:tr>
      <w:tr w:rsidR="0037696F" w:rsidRPr="0037696F" w14:paraId="0C22BEE3" w14:textId="77777777" w:rsidTr="00B25539">
        <w:trPr>
          <w:trHeight w:val="288"/>
        </w:trPr>
        <w:tc>
          <w:tcPr>
            <w:tcW w:w="201" w:type="pct"/>
            <w:vMerge/>
            <w:tcBorders>
              <w:top w:val="nil"/>
              <w:left w:val="single" w:sz="4" w:space="0" w:color="auto"/>
              <w:bottom w:val="single" w:sz="4" w:space="0" w:color="000000"/>
              <w:right w:val="single" w:sz="4" w:space="0" w:color="auto"/>
            </w:tcBorders>
            <w:vAlign w:val="center"/>
            <w:hideMark/>
          </w:tcPr>
          <w:p w14:paraId="5F7548FD" w14:textId="77777777" w:rsidR="0037696F" w:rsidRPr="0037696F" w:rsidRDefault="0037696F" w:rsidP="0037696F">
            <w:pPr>
              <w:widowControl/>
              <w:spacing w:line="240" w:lineRule="auto"/>
              <w:ind w:firstLineChars="0" w:firstLine="0"/>
              <w:jc w:val="left"/>
              <w:rPr>
                <w:rFonts w:eastAsia="宋体"/>
                <w:b/>
                <w:bCs/>
                <w:color w:val="000000"/>
                <w:kern w:val="0"/>
                <w:sz w:val="22"/>
              </w:rPr>
            </w:pPr>
          </w:p>
        </w:tc>
        <w:tc>
          <w:tcPr>
            <w:tcW w:w="305" w:type="pct"/>
            <w:vMerge/>
            <w:tcBorders>
              <w:top w:val="nil"/>
              <w:left w:val="single" w:sz="4" w:space="0" w:color="auto"/>
              <w:bottom w:val="single" w:sz="4" w:space="0" w:color="000000"/>
              <w:right w:val="single" w:sz="4" w:space="0" w:color="auto"/>
            </w:tcBorders>
            <w:vAlign w:val="center"/>
            <w:hideMark/>
          </w:tcPr>
          <w:p w14:paraId="317DF4D1" w14:textId="77777777" w:rsidR="0037696F" w:rsidRPr="0037696F" w:rsidRDefault="0037696F" w:rsidP="0037696F">
            <w:pPr>
              <w:widowControl/>
              <w:spacing w:line="240" w:lineRule="auto"/>
              <w:ind w:firstLineChars="0" w:firstLine="0"/>
              <w:jc w:val="left"/>
              <w:rPr>
                <w:rFonts w:eastAsia="宋体"/>
                <w:b/>
                <w:bCs/>
                <w:color w:val="000000"/>
                <w:kern w:val="0"/>
                <w:sz w:val="22"/>
              </w:rPr>
            </w:pPr>
          </w:p>
        </w:tc>
        <w:tc>
          <w:tcPr>
            <w:tcW w:w="559" w:type="pct"/>
            <w:tcBorders>
              <w:top w:val="nil"/>
              <w:left w:val="nil"/>
              <w:bottom w:val="single" w:sz="4" w:space="0" w:color="auto"/>
              <w:right w:val="single" w:sz="4" w:space="0" w:color="auto"/>
            </w:tcBorders>
            <w:shd w:val="clear" w:color="auto" w:fill="auto"/>
            <w:noWrap/>
            <w:vAlign w:val="center"/>
            <w:hideMark/>
          </w:tcPr>
          <w:p w14:paraId="4825C6C6"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共享单车的普及</w:t>
            </w:r>
          </w:p>
        </w:tc>
        <w:tc>
          <w:tcPr>
            <w:tcW w:w="3934" w:type="pct"/>
            <w:gridSpan w:val="6"/>
            <w:tcBorders>
              <w:top w:val="single" w:sz="4" w:space="0" w:color="auto"/>
              <w:left w:val="nil"/>
              <w:bottom w:val="single" w:sz="4" w:space="0" w:color="auto"/>
              <w:right w:val="single" w:sz="4" w:space="0" w:color="auto"/>
            </w:tcBorders>
            <w:shd w:val="clear" w:color="auto" w:fill="auto"/>
            <w:noWrap/>
            <w:vAlign w:val="center"/>
            <w:hideMark/>
          </w:tcPr>
          <w:p w14:paraId="6C477364" w14:textId="77777777" w:rsidR="0037696F" w:rsidRPr="0037696F" w:rsidRDefault="0037696F" w:rsidP="0037696F">
            <w:pPr>
              <w:widowControl/>
              <w:spacing w:line="240" w:lineRule="auto"/>
              <w:ind w:firstLineChars="0" w:firstLine="0"/>
              <w:jc w:val="center"/>
              <w:rPr>
                <w:rFonts w:eastAsia="宋体"/>
                <w:color w:val="000000"/>
                <w:kern w:val="0"/>
                <w:sz w:val="22"/>
              </w:rPr>
            </w:pPr>
            <w:r w:rsidRPr="0037696F">
              <w:rPr>
                <w:rFonts w:ascii="楷体" w:eastAsia="楷体" w:hAnsi="楷体" w:hint="eastAsia"/>
                <w:color w:val="000000"/>
                <w:kern w:val="0"/>
                <w:sz w:val="22"/>
              </w:rPr>
              <w:t>双碳政策推演情景</w:t>
            </w:r>
            <w:r w:rsidRPr="0037696F">
              <w:rPr>
                <w:rFonts w:eastAsia="宋体"/>
                <w:color w:val="000000"/>
                <w:kern w:val="0"/>
                <w:sz w:val="22"/>
              </w:rPr>
              <w:t>2030</w:t>
            </w:r>
            <w:r w:rsidRPr="0037696F">
              <w:rPr>
                <w:rFonts w:ascii="楷体" w:eastAsia="楷体" w:hAnsi="楷体" w:hint="eastAsia"/>
                <w:color w:val="000000"/>
                <w:kern w:val="0"/>
                <w:sz w:val="22"/>
              </w:rPr>
              <w:t>年新增</w:t>
            </w:r>
            <w:r w:rsidRPr="0037696F">
              <w:rPr>
                <w:rFonts w:eastAsia="宋体"/>
                <w:color w:val="000000"/>
                <w:kern w:val="0"/>
                <w:sz w:val="22"/>
              </w:rPr>
              <w:t>3800km</w:t>
            </w:r>
            <w:r w:rsidRPr="0037696F">
              <w:rPr>
                <w:rFonts w:ascii="楷体" w:eastAsia="楷体" w:hAnsi="楷体" w:hint="eastAsia"/>
                <w:color w:val="000000"/>
                <w:kern w:val="0"/>
                <w:sz w:val="22"/>
              </w:rPr>
              <w:t>，激进情景</w:t>
            </w:r>
            <w:r w:rsidRPr="0037696F">
              <w:rPr>
                <w:rFonts w:eastAsia="宋体"/>
                <w:color w:val="000000"/>
                <w:kern w:val="0"/>
                <w:sz w:val="22"/>
              </w:rPr>
              <w:t>2030</w:t>
            </w:r>
            <w:r w:rsidRPr="0037696F">
              <w:rPr>
                <w:rFonts w:ascii="楷体" w:eastAsia="楷体" w:hAnsi="楷体" w:hint="eastAsia"/>
                <w:color w:val="000000"/>
                <w:kern w:val="0"/>
                <w:sz w:val="22"/>
              </w:rPr>
              <w:t>年后新建地铁线路</w:t>
            </w:r>
            <w:r w:rsidRPr="0037696F">
              <w:rPr>
                <w:rFonts w:eastAsia="宋体"/>
                <w:color w:val="000000"/>
                <w:kern w:val="0"/>
                <w:sz w:val="22"/>
              </w:rPr>
              <w:t>5800km</w:t>
            </w:r>
          </w:p>
        </w:tc>
      </w:tr>
      <w:tr w:rsidR="0037696F" w:rsidRPr="0037696F" w14:paraId="7D29EE8D" w14:textId="77777777" w:rsidTr="00B25539">
        <w:trPr>
          <w:trHeight w:val="864"/>
        </w:trPr>
        <w:tc>
          <w:tcPr>
            <w:tcW w:w="507" w:type="pct"/>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2C01D22C" w14:textId="77777777" w:rsidR="0037696F" w:rsidRPr="0037696F" w:rsidRDefault="0037696F" w:rsidP="0037696F">
            <w:pPr>
              <w:widowControl/>
              <w:spacing w:line="240" w:lineRule="auto"/>
              <w:ind w:firstLineChars="0" w:firstLine="0"/>
              <w:jc w:val="center"/>
              <w:rPr>
                <w:rFonts w:eastAsia="宋体"/>
                <w:b/>
                <w:bCs/>
                <w:color w:val="000000"/>
                <w:kern w:val="0"/>
                <w:sz w:val="22"/>
              </w:rPr>
            </w:pPr>
            <w:r w:rsidRPr="0037696F">
              <w:rPr>
                <w:rFonts w:ascii="楷体" w:eastAsia="楷体" w:hAnsi="楷体" w:hint="eastAsia"/>
                <w:b/>
                <w:bCs/>
                <w:color w:val="000000"/>
                <w:kern w:val="0"/>
                <w:sz w:val="22"/>
              </w:rPr>
              <w:t>能效提升</w:t>
            </w:r>
          </w:p>
        </w:tc>
        <w:tc>
          <w:tcPr>
            <w:tcW w:w="559" w:type="pct"/>
            <w:tcBorders>
              <w:top w:val="nil"/>
              <w:left w:val="nil"/>
              <w:bottom w:val="single" w:sz="4" w:space="0" w:color="auto"/>
              <w:right w:val="single" w:sz="4" w:space="0" w:color="auto"/>
            </w:tcBorders>
            <w:shd w:val="clear" w:color="auto" w:fill="auto"/>
            <w:noWrap/>
            <w:vAlign w:val="center"/>
            <w:hideMark/>
          </w:tcPr>
          <w:p w14:paraId="5CE8B54E"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自动驾驶普及率</w:t>
            </w:r>
          </w:p>
        </w:tc>
        <w:tc>
          <w:tcPr>
            <w:tcW w:w="762" w:type="pct"/>
            <w:tcBorders>
              <w:top w:val="nil"/>
              <w:left w:val="nil"/>
              <w:bottom w:val="single" w:sz="4" w:space="0" w:color="auto"/>
              <w:right w:val="single" w:sz="4" w:space="0" w:color="auto"/>
            </w:tcBorders>
            <w:shd w:val="clear" w:color="auto" w:fill="auto"/>
            <w:vAlign w:val="center"/>
            <w:hideMark/>
          </w:tcPr>
          <w:p w14:paraId="66804A93"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eastAsia="宋体"/>
                <w:color w:val="000000"/>
                <w:kern w:val="0"/>
                <w:sz w:val="22"/>
              </w:rPr>
              <w:t>L4</w:t>
            </w:r>
            <w:r w:rsidRPr="0037696F">
              <w:rPr>
                <w:rFonts w:ascii="楷体" w:eastAsia="楷体" w:hAnsi="楷体" w:hint="eastAsia"/>
                <w:color w:val="000000"/>
                <w:kern w:val="0"/>
                <w:sz w:val="22"/>
              </w:rPr>
              <w:t>级自动驾驶仅能在有限情景下应用</w:t>
            </w:r>
          </w:p>
        </w:tc>
        <w:tc>
          <w:tcPr>
            <w:tcW w:w="580" w:type="pct"/>
            <w:tcBorders>
              <w:top w:val="nil"/>
              <w:left w:val="nil"/>
              <w:bottom w:val="single" w:sz="4" w:space="0" w:color="auto"/>
              <w:right w:val="single" w:sz="4" w:space="0" w:color="auto"/>
            </w:tcBorders>
            <w:shd w:val="clear" w:color="auto" w:fill="auto"/>
            <w:vAlign w:val="center"/>
            <w:hideMark/>
          </w:tcPr>
          <w:p w14:paraId="62B9D00D"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eastAsia="宋体"/>
                <w:color w:val="000000"/>
                <w:kern w:val="0"/>
                <w:sz w:val="22"/>
              </w:rPr>
              <w:t>L5</w:t>
            </w:r>
            <w:r w:rsidRPr="0037696F">
              <w:rPr>
                <w:rFonts w:ascii="楷体" w:eastAsia="楷体" w:hAnsi="楷体" w:hint="eastAsia"/>
                <w:color w:val="000000"/>
                <w:kern w:val="0"/>
                <w:sz w:val="22"/>
              </w:rPr>
              <w:t>级自动驾驶仅能在有限情景下应用</w:t>
            </w:r>
          </w:p>
        </w:tc>
        <w:tc>
          <w:tcPr>
            <w:tcW w:w="741" w:type="pct"/>
            <w:tcBorders>
              <w:top w:val="nil"/>
              <w:left w:val="nil"/>
              <w:bottom w:val="single" w:sz="4" w:space="0" w:color="auto"/>
              <w:right w:val="single" w:sz="4" w:space="0" w:color="auto"/>
            </w:tcBorders>
            <w:shd w:val="clear" w:color="auto" w:fill="auto"/>
            <w:vAlign w:val="center"/>
            <w:hideMark/>
          </w:tcPr>
          <w:p w14:paraId="0D6F7D15"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eastAsia="宋体"/>
                <w:color w:val="000000"/>
                <w:kern w:val="0"/>
                <w:sz w:val="22"/>
              </w:rPr>
              <w:t>L5</w:t>
            </w:r>
            <w:r w:rsidRPr="0037696F">
              <w:rPr>
                <w:rFonts w:ascii="楷体" w:eastAsia="楷体" w:hAnsi="楷体" w:hint="eastAsia"/>
                <w:color w:val="000000"/>
                <w:kern w:val="0"/>
                <w:sz w:val="22"/>
              </w:rPr>
              <w:t>级自动驾驶仅能在有限情景下应用</w:t>
            </w:r>
          </w:p>
        </w:tc>
        <w:tc>
          <w:tcPr>
            <w:tcW w:w="582" w:type="pct"/>
            <w:tcBorders>
              <w:top w:val="nil"/>
              <w:left w:val="nil"/>
              <w:bottom w:val="single" w:sz="4" w:space="0" w:color="auto"/>
              <w:right w:val="single" w:sz="4" w:space="0" w:color="auto"/>
            </w:tcBorders>
            <w:shd w:val="clear" w:color="auto" w:fill="auto"/>
            <w:vAlign w:val="center"/>
            <w:hideMark/>
          </w:tcPr>
          <w:p w14:paraId="091E59DC"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eastAsia="宋体"/>
                <w:color w:val="000000"/>
                <w:kern w:val="0"/>
                <w:sz w:val="22"/>
              </w:rPr>
              <w:t>L5</w:t>
            </w:r>
            <w:r w:rsidRPr="0037696F">
              <w:rPr>
                <w:rFonts w:ascii="楷体" w:eastAsia="楷体" w:hAnsi="楷体" w:hint="eastAsia"/>
                <w:color w:val="000000"/>
                <w:kern w:val="0"/>
                <w:sz w:val="22"/>
              </w:rPr>
              <w:t>级自动驾驶在部分车型中安装</w:t>
            </w:r>
          </w:p>
        </w:tc>
        <w:tc>
          <w:tcPr>
            <w:tcW w:w="739" w:type="pct"/>
            <w:tcBorders>
              <w:top w:val="nil"/>
              <w:left w:val="nil"/>
              <w:bottom w:val="single" w:sz="4" w:space="0" w:color="auto"/>
              <w:right w:val="single" w:sz="4" w:space="0" w:color="auto"/>
            </w:tcBorders>
            <w:shd w:val="clear" w:color="auto" w:fill="auto"/>
            <w:vAlign w:val="center"/>
            <w:hideMark/>
          </w:tcPr>
          <w:p w14:paraId="6C6A0E7B"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eastAsia="宋体"/>
                <w:color w:val="000000"/>
                <w:kern w:val="0"/>
                <w:sz w:val="22"/>
              </w:rPr>
              <w:t>L5</w:t>
            </w:r>
            <w:r w:rsidRPr="0037696F">
              <w:rPr>
                <w:rFonts w:ascii="楷体" w:eastAsia="楷体" w:hAnsi="楷体" w:hint="eastAsia"/>
                <w:color w:val="000000"/>
                <w:kern w:val="0"/>
                <w:sz w:val="22"/>
              </w:rPr>
              <w:t>级自动驾驶在部分车型中安装</w:t>
            </w:r>
          </w:p>
        </w:tc>
        <w:tc>
          <w:tcPr>
            <w:tcW w:w="530" w:type="pct"/>
            <w:tcBorders>
              <w:top w:val="nil"/>
              <w:left w:val="nil"/>
              <w:bottom w:val="single" w:sz="4" w:space="0" w:color="auto"/>
              <w:right w:val="single" w:sz="4" w:space="0" w:color="auto"/>
            </w:tcBorders>
            <w:shd w:val="clear" w:color="auto" w:fill="auto"/>
            <w:vAlign w:val="center"/>
            <w:hideMark/>
          </w:tcPr>
          <w:p w14:paraId="3BBA826A"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实现全场景无人驾驶</w:t>
            </w:r>
          </w:p>
        </w:tc>
      </w:tr>
      <w:tr w:rsidR="0037696F" w:rsidRPr="0037696F" w14:paraId="6AEB75D9" w14:textId="77777777" w:rsidTr="00B25539">
        <w:trPr>
          <w:trHeight w:val="1440"/>
        </w:trPr>
        <w:tc>
          <w:tcPr>
            <w:tcW w:w="507" w:type="pct"/>
            <w:gridSpan w:val="2"/>
            <w:vMerge/>
            <w:tcBorders>
              <w:top w:val="single" w:sz="4" w:space="0" w:color="auto"/>
              <w:left w:val="single" w:sz="4" w:space="0" w:color="auto"/>
              <w:bottom w:val="single" w:sz="4" w:space="0" w:color="000000"/>
              <w:right w:val="single" w:sz="4" w:space="0" w:color="000000"/>
            </w:tcBorders>
            <w:vAlign w:val="center"/>
            <w:hideMark/>
          </w:tcPr>
          <w:p w14:paraId="4CB19374" w14:textId="77777777" w:rsidR="0037696F" w:rsidRPr="0037696F" w:rsidRDefault="0037696F" w:rsidP="0037696F">
            <w:pPr>
              <w:widowControl/>
              <w:spacing w:line="240" w:lineRule="auto"/>
              <w:ind w:firstLineChars="0" w:firstLine="0"/>
              <w:jc w:val="left"/>
              <w:rPr>
                <w:rFonts w:eastAsia="宋体"/>
                <w:b/>
                <w:bCs/>
                <w:color w:val="000000"/>
                <w:kern w:val="0"/>
                <w:sz w:val="22"/>
              </w:rPr>
            </w:pPr>
          </w:p>
        </w:tc>
        <w:tc>
          <w:tcPr>
            <w:tcW w:w="559" w:type="pct"/>
            <w:tcBorders>
              <w:top w:val="nil"/>
              <w:left w:val="nil"/>
              <w:bottom w:val="single" w:sz="4" w:space="0" w:color="auto"/>
              <w:right w:val="single" w:sz="4" w:space="0" w:color="auto"/>
            </w:tcBorders>
            <w:shd w:val="clear" w:color="auto" w:fill="auto"/>
            <w:vAlign w:val="center"/>
            <w:hideMark/>
          </w:tcPr>
          <w:p w14:paraId="5372A946"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网络货运品台普及</w:t>
            </w:r>
          </w:p>
        </w:tc>
        <w:tc>
          <w:tcPr>
            <w:tcW w:w="762" w:type="pct"/>
            <w:tcBorders>
              <w:top w:val="nil"/>
              <w:left w:val="nil"/>
              <w:bottom w:val="single" w:sz="4" w:space="0" w:color="auto"/>
              <w:right w:val="single" w:sz="4" w:space="0" w:color="auto"/>
            </w:tcBorders>
            <w:shd w:val="clear" w:color="auto" w:fill="auto"/>
            <w:vAlign w:val="center"/>
            <w:hideMark/>
          </w:tcPr>
          <w:p w14:paraId="70D4BDFD"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借助网络货运平台普及，货运车辆满载率提升到</w:t>
            </w:r>
            <w:r w:rsidRPr="0037696F">
              <w:rPr>
                <w:rFonts w:eastAsia="宋体"/>
                <w:color w:val="000000"/>
                <w:kern w:val="0"/>
                <w:sz w:val="22"/>
              </w:rPr>
              <w:t xml:space="preserve"> 78%</w:t>
            </w:r>
            <w:r w:rsidRPr="0037696F">
              <w:rPr>
                <w:rFonts w:ascii="楷体" w:eastAsia="楷体" w:hAnsi="楷体" w:hint="eastAsia"/>
                <w:color w:val="000000"/>
                <w:kern w:val="0"/>
                <w:sz w:val="22"/>
              </w:rPr>
              <w:t>。</w:t>
            </w:r>
          </w:p>
        </w:tc>
        <w:tc>
          <w:tcPr>
            <w:tcW w:w="580" w:type="pct"/>
            <w:tcBorders>
              <w:top w:val="nil"/>
              <w:left w:val="nil"/>
              <w:bottom w:val="single" w:sz="4" w:space="0" w:color="auto"/>
              <w:right w:val="single" w:sz="4" w:space="0" w:color="auto"/>
            </w:tcBorders>
            <w:shd w:val="clear" w:color="auto" w:fill="auto"/>
            <w:vAlign w:val="center"/>
            <w:hideMark/>
          </w:tcPr>
          <w:p w14:paraId="2C8991C4"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借助网络货运平台普及，货运车辆满载率提升到</w:t>
            </w:r>
            <w:r w:rsidRPr="0037696F">
              <w:rPr>
                <w:rFonts w:eastAsia="宋体"/>
                <w:color w:val="000000"/>
                <w:kern w:val="0"/>
                <w:sz w:val="22"/>
              </w:rPr>
              <w:t xml:space="preserve"> 81%</w:t>
            </w:r>
            <w:r w:rsidRPr="0037696F">
              <w:rPr>
                <w:rFonts w:ascii="楷体" w:eastAsia="楷体" w:hAnsi="楷体" w:hint="eastAsia"/>
                <w:color w:val="000000"/>
                <w:kern w:val="0"/>
                <w:sz w:val="22"/>
              </w:rPr>
              <w:t>。</w:t>
            </w:r>
          </w:p>
        </w:tc>
        <w:tc>
          <w:tcPr>
            <w:tcW w:w="741" w:type="pct"/>
            <w:tcBorders>
              <w:top w:val="nil"/>
              <w:left w:val="nil"/>
              <w:bottom w:val="single" w:sz="4" w:space="0" w:color="auto"/>
              <w:right w:val="single" w:sz="4" w:space="0" w:color="auto"/>
            </w:tcBorders>
            <w:shd w:val="clear" w:color="auto" w:fill="auto"/>
            <w:vAlign w:val="center"/>
            <w:hideMark/>
          </w:tcPr>
          <w:p w14:paraId="34A9D39C"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借助网络货运平台普及，货运车辆满载率提升到</w:t>
            </w:r>
            <w:r w:rsidRPr="0037696F">
              <w:rPr>
                <w:rFonts w:eastAsia="宋体"/>
                <w:color w:val="000000"/>
                <w:kern w:val="0"/>
                <w:sz w:val="22"/>
              </w:rPr>
              <w:t>82%</w:t>
            </w:r>
            <w:r w:rsidRPr="0037696F">
              <w:rPr>
                <w:rFonts w:ascii="楷体" w:eastAsia="楷体" w:hAnsi="楷体" w:hint="eastAsia"/>
                <w:color w:val="000000"/>
                <w:kern w:val="0"/>
                <w:sz w:val="22"/>
              </w:rPr>
              <w:t>。</w:t>
            </w:r>
          </w:p>
        </w:tc>
        <w:tc>
          <w:tcPr>
            <w:tcW w:w="582" w:type="pct"/>
            <w:tcBorders>
              <w:top w:val="nil"/>
              <w:left w:val="nil"/>
              <w:bottom w:val="single" w:sz="4" w:space="0" w:color="auto"/>
              <w:right w:val="single" w:sz="4" w:space="0" w:color="auto"/>
            </w:tcBorders>
            <w:shd w:val="clear" w:color="auto" w:fill="auto"/>
            <w:vAlign w:val="center"/>
            <w:hideMark/>
          </w:tcPr>
          <w:p w14:paraId="7227E57B"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借助网络货运平台普及，货运车辆满载率提升到</w:t>
            </w:r>
            <w:r w:rsidRPr="0037696F">
              <w:rPr>
                <w:rFonts w:eastAsia="宋体"/>
                <w:color w:val="000000"/>
                <w:kern w:val="0"/>
                <w:sz w:val="22"/>
              </w:rPr>
              <w:t xml:space="preserve"> 86%</w:t>
            </w:r>
            <w:r w:rsidRPr="0037696F">
              <w:rPr>
                <w:rFonts w:ascii="楷体" w:eastAsia="楷体" w:hAnsi="楷体" w:hint="eastAsia"/>
                <w:color w:val="000000"/>
                <w:kern w:val="0"/>
                <w:sz w:val="22"/>
              </w:rPr>
              <w:t>。</w:t>
            </w:r>
          </w:p>
        </w:tc>
        <w:tc>
          <w:tcPr>
            <w:tcW w:w="739" w:type="pct"/>
            <w:tcBorders>
              <w:top w:val="nil"/>
              <w:left w:val="nil"/>
              <w:bottom w:val="single" w:sz="4" w:space="0" w:color="auto"/>
              <w:right w:val="single" w:sz="4" w:space="0" w:color="auto"/>
            </w:tcBorders>
            <w:shd w:val="clear" w:color="auto" w:fill="auto"/>
            <w:vAlign w:val="center"/>
            <w:hideMark/>
          </w:tcPr>
          <w:p w14:paraId="7F9B8967"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借助网络货运平台普及，货运车辆满载率提升到</w:t>
            </w:r>
            <w:r w:rsidRPr="0037696F">
              <w:rPr>
                <w:rFonts w:eastAsia="宋体"/>
                <w:color w:val="000000"/>
                <w:kern w:val="0"/>
                <w:sz w:val="22"/>
              </w:rPr>
              <w:t xml:space="preserve"> 85%</w:t>
            </w:r>
            <w:r w:rsidRPr="0037696F">
              <w:rPr>
                <w:rFonts w:ascii="楷体" w:eastAsia="楷体" w:hAnsi="楷体" w:hint="eastAsia"/>
                <w:color w:val="000000"/>
                <w:kern w:val="0"/>
                <w:sz w:val="22"/>
              </w:rPr>
              <w:t>。</w:t>
            </w:r>
          </w:p>
        </w:tc>
        <w:tc>
          <w:tcPr>
            <w:tcW w:w="530" w:type="pct"/>
            <w:tcBorders>
              <w:top w:val="nil"/>
              <w:left w:val="nil"/>
              <w:bottom w:val="single" w:sz="4" w:space="0" w:color="auto"/>
              <w:right w:val="single" w:sz="4" w:space="0" w:color="auto"/>
            </w:tcBorders>
            <w:shd w:val="clear" w:color="auto" w:fill="auto"/>
            <w:vAlign w:val="center"/>
            <w:hideMark/>
          </w:tcPr>
          <w:p w14:paraId="0CF34003"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借助网络货运平台普及，货运车辆满载率提升到</w:t>
            </w:r>
            <w:r w:rsidRPr="0037696F">
              <w:rPr>
                <w:rFonts w:eastAsia="宋体"/>
                <w:color w:val="000000"/>
                <w:kern w:val="0"/>
                <w:sz w:val="22"/>
              </w:rPr>
              <w:t xml:space="preserve"> 90%</w:t>
            </w:r>
            <w:r w:rsidRPr="0037696F">
              <w:rPr>
                <w:rFonts w:ascii="楷体" w:eastAsia="楷体" w:hAnsi="楷体" w:hint="eastAsia"/>
                <w:color w:val="000000"/>
                <w:kern w:val="0"/>
                <w:sz w:val="22"/>
              </w:rPr>
              <w:t>。</w:t>
            </w:r>
          </w:p>
        </w:tc>
      </w:tr>
      <w:tr w:rsidR="0037696F" w:rsidRPr="0037696F" w14:paraId="5D7D3632" w14:textId="77777777" w:rsidTr="00B25539">
        <w:trPr>
          <w:trHeight w:val="1152"/>
        </w:trPr>
        <w:tc>
          <w:tcPr>
            <w:tcW w:w="507" w:type="pct"/>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6614FFF7" w14:textId="77777777" w:rsidR="0037696F" w:rsidRPr="0037696F" w:rsidRDefault="0037696F" w:rsidP="0037696F">
            <w:pPr>
              <w:widowControl/>
              <w:spacing w:line="240" w:lineRule="auto"/>
              <w:ind w:firstLineChars="0" w:firstLine="0"/>
              <w:jc w:val="center"/>
              <w:rPr>
                <w:rFonts w:eastAsia="宋体"/>
                <w:b/>
                <w:bCs/>
                <w:color w:val="000000"/>
                <w:kern w:val="0"/>
                <w:sz w:val="22"/>
              </w:rPr>
            </w:pPr>
            <w:r w:rsidRPr="0037696F">
              <w:rPr>
                <w:rFonts w:ascii="楷体" w:eastAsia="楷体" w:hAnsi="楷体" w:hint="eastAsia"/>
                <w:b/>
                <w:bCs/>
                <w:color w:val="000000"/>
                <w:kern w:val="0"/>
                <w:sz w:val="22"/>
              </w:rPr>
              <w:t>新能源应用</w:t>
            </w:r>
          </w:p>
        </w:tc>
        <w:tc>
          <w:tcPr>
            <w:tcW w:w="559" w:type="pct"/>
            <w:tcBorders>
              <w:top w:val="nil"/>
              <w:left w:val="nil"/>
              <w:bottom w:val="single" w:sz="4" w:space="0" w:color="auto"/>
              <w:right w:val="single" w:sz="4" w:space="0" w:color="auto"/>
            </w:tcBorders>
            <w:shd w:val="clear" w:color="auto" w:fill="auto"/>
            <w:noWrap/>
            <w:vAlign w:val="center"/>
            <w:hideMark/>
          </w:tcPr>
          <w:p w14:paraId="4EAC8391"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电气化机车应用</w:t>
            </w:r>
          </w:p>
        </w:tc>
        <w:tc>
          <w:tcPr>
            <w:tcW w:w="762" w:type="pct"/>
            <w:tcBorders>
              <w:top w:val="nil"/>
              <w:left w:val="nil"/>
              <w:bottom w:val="single" w:sz="4" w:space="0" w:color="auto"/>
              <w:right w:val="single" w:sz="4" w:space="0" w:color="auto"/>
            </w:tcBorders>
            <w:shd w:val="clear" w:color="auto" w:fill="auto"/>
            <w:vAlign w:val="center"/>
            <w:hideMark/>
          </w:tcPr>
          <w:p w14:paraId="4B402D8A"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电气化机车应用比例</w:t>
            </w:r>
            <w:r w:rsidRPr="0037696F">
              <w:rPr>
                <w:rFonts w:eastAsia="宋体"/>
                <w:color w:val="000000"/>
                <w:kern w:val="0"/>
                <w:sz w:val="22"/>
              </w:rPr>
              <w:t>:</w:t>
            </w:r>
            <w:r w:rsidRPr="0037696F">
              <w:rPr>
                <w:rFonts w:ascii="楷体" w:eastAsia="楷体" w:hAnsi="楷体" w:hint="eastAsia"/>
                <w:color w:val="000000"/>
                <w:kern w:val="0"/>
                <w:sz w:val="22"/>
              </w:rPr>
              <w:t>货运</w:t>
            </w:r>
            <w:r w:rsidRPr="0037696F">
              <w:rPr>
                <w:rFonts w:eastAsia="宋体"/>
                <w:color w:val="000000"/>
                <w:kern w:val="0"/>
                <w:sz w:val="22"/>
              </w:rPr>
              <w:t>80%</w:t>
            </w:r>
            <w:r w:rsidRPr="0037696F">
              <w:rPr>
                <w:rFonts w:ascii="楷体" w:eastAsia="楷体" w:hAnsi="楷体" w:hint="eastAsia"/>
                <w:color w:val="000000"/>
                <w:kern w:val="0"/>
                <w:sz w:val="22"/>
              </w:rPr>
              <w:t>，客运</w:t>
            </w:r>
            <w:r w:rsidRPr="0037696F">
              <w:rPr>
                <w:rFonts w:eastAsia="宋体"/>
                <w:color w:val="000000"/>
                <w:kern w:val="0"/>
                <w:sz w:val="22"/>
              </w:rPr>
              <w:t>99%</w:t>
            </w:r>
          </w:p>
        </w:tc>
        <w:tc>
          <w:tcPr>
            <w:tcW w:w="580" w:type="pct"/>
            <w:tcBorders>
              <w:top w:val="nil"/>
              <w:left w:val="nil"/>
              <w:bottom w:val="single" w:sz="4" w:space="0" w:color="auto"/>
              <w:right w:val="single" w:sz="4" w:space="0" w:color="auto"/>
            </w:tcBorders>
            <w:shd w:val="clear" w:color="auto" w:fill="auto"/>
            <w:vAlign w:val="center"/>
            <w:hideMark/>
          </w:tcPr>
          <w:p w14:paraId="781FD521"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电气化机车应用比例</w:t>
            </w:r>
            <w:r w:rsidRPr="0037696F">
              <w:rPr>
                <w:rFonts w:eastAsia="宋体"/>
                <w:color w:val="000000"/>
                <w:kern w:val="0"/>
                <w:sz w:val="22"/>
              </w:rPr>
              <w:t>:</w:t>
            </w:r>
            <w:r w:rsidRPr="0037696F">
              <w:rPr>
                <w:rFonts w:ascii="楷体" w:eastAsia="楷体" w:hAnsi="楷体" w:hint="eastAsia"/>
                <w:color w:val="000000"/>
                <w:kern w:val="0"/>
                <w:sz w:val="22"/>
              </w:rPr>
              <w:t>货运</w:t>
            </w:r>
            <w:r w:rsidRPr="0037696F">
              <w:rPr>
                <w:rFonts w:eastAsia="宋体"/>
                <w:color w:val="000000"/>
                <w:kern w:val="0"/>
                <w:sz w:val="22"/>
              </w:rPr>
              <w:t>85%</w:t>
            </w:r>
            <w:r w:rsidRPr="0037696F">
              <w:rPr>
                <w:rFonts w:ascii="楷体" w:eastAsia="楷体" w:hAnsi="楷体" w:hint="eastAsia"/>
                <w:color w:val="000000"/>
                <w:kern w:val="0"/>
                <w:sz w:val="22"/>
              </w:rPr>
              <w:t>，客运</w:t>
            </w:r>
            <w:r w:rsidRPr="0037696F">
              <w:rPr>
                <w:rFonts w:eastAsia="宋体"/>
                <w:color w:val="000000"/>
                <w:kern w:val="0"/>
                <w:sz w:val="22"/>
              </w:rPr>
              <w:t>100%</w:t>
            </w:r>
          </w:p>
        </w:tc>
        <w:tc>
          <w:tcPr>
            <w:tcW w:w="741" w:type="pct"/>
            <w:tcBorders>
              <w:top w:val="nil"/>
              <w:left w:val="nil"/>
              <w:bottom w:val="single" w:sz="4" w:space="0" w:color="auto"/>
              <w:right w:val="single" w:sz="4" w:space="0" w:color="auto"/>
            </w:tcBorders>
            <w:shd w:val="clear" w:color="auto" w:fill="auto"/>
            <w:vAlign w:val="center"/>
            <w:hideMark/>
          </w:tcPr>
          <w:p w14:paraId="7840568F"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电气化机车应用比例</w:t>
            </w:r>
            <w:r w:rsidRPr="0037696F">
              <w:rPr>
                <w:rFonts w:eastAsia="宋体"/>
                <w:color w:val="000000"/>
                <w:kern w:val="0"/>
                <w:sz w:val="22"/>
              </w:rPr>
              <w:t>:</w:t>
            </w:r>
            <w:r w:rsidRPr="0037696F">
              <w:rPr>
                <w:rFonts w:ascii="楷体" w:eastAsia="楷体" w:hAnsi="楷体" w:hint="eastAsia"/>
                <w:color w:val="000000"/>
                <w:kern w:val="0"/>
                <w:sz w:val="22"/>
              </w:rPr>
              <w:t>货运</w:t>
            </w:r>
            <w:r w:rsidRPr="0037696F">
              <w:rPr>
                <w:rFonts w:eastAsia="宋体"/>
                <w:color w:val="000000"/>
                <w:kern w:val="0"/>
                <w:sz w:val="22"/>
              </w:rPr>
              <w:t>90%</w:t>
            </w:r>
            <w:r w:rsidRPr="0037696F">
              <w:rPr>
                <w:rFonts w:ascii="楷体" w:eastAsia="楷体" w:hAnsi="楷体" w:hint="eastAsia"/>
                <w:color w:val="000000"/>
                <w:kern w:val="0"/>
                <w:sz w:val="22"/>
              </w:rPr>
              <w:t>，客运</w:t>
            </w:r>
            <w:r w:rsidRPr="0037696F">
              <w:rPr>
                <w:rFonts w:eastAsia="宋体"/>
                <w:color w:val="000000"/>
                <w:kern w:val="0"/>
                <w:sz w:val="22"/>
              </w:rPr>
              <w:t>100%</w:t>
            </w:r>
          </w:p>
        </w:tc>
        <w:tc>
          <w:tcPr>
            <w:tcW w:w="582" w:type="pct"/>
            <w:tcBorders>
              <w:top w:val="nil"/>
              <w:left w:val="nil"/>
              <w:bottom w:val="single" w:sz="4" w:space="0" w:color="auto"/>
              <w:right w:val="single" w:sz="4" w:space="0" w:color="auto"/>
            </w:tcBorders>
            <w:shd w:val="clear" w:color="auto" w:fill="auto"/>
            <w:vAlign w:val="center"/>
            <w:hideMark/>
          </w:tcPr>
          <w:p w14:paraId="5745AAA7"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电气化机车应用比例</w:t>
            </w:r>
            <w:r w:rsidRPr="0037696F">
              <w:rPr>
                <w:rFonts w:eastAsia="宋体"/>
                <w:color w:val="000000"/>
                <w:kern w:val="0"/>
                <w:sz w:val="22"/>
              </w:rPr>
              <w:t>:</w:t>
            </w:r>
            <w:r w:rsidRPr="0037696F">
              <w:rPr>
                <w:rFonts w:ascii="楷体" w:eastAsia="楷体" w:hAnsi="楷体" w:hint="eastAsia"/>
                <w:color w:val="000000"/>
                <w:kern w:val="0"/>
                <w:sz w:val="22"/>
              </w:rPr>
              <w:t>货运</w:t>
            </w:r>
            <w:r w:rsidRPr="0037696F">
              <w:rPr>
                <w:rFonts w:eastAsia="宋体"/>
                <w:color w:val="000000"/>
                <w:kern w:val="0"/>
                <w:sz w:val="22"/>
              </w:rPr>
              <w:t>100%</w:t>
            </w:r>
            <w:r w:rsidRPr="0037696F">
              <w:rPr>
                <w:rFonts w:ascii="楷体" w:eastAsia="楷体" w:hAnsi="楷体" w:hint="eastAsia"/>
                <w:color w:val="000000"/>
                <w:kern w:val="0"/>
                <w:sz w:val="22"/>
              </w:rPr>
              <w:t>，客运</w:t>
            </w:r>
            <w:r w:rsidRPr="0037696F">
              <w:rPr>
                <w:rFonts w:eastAsia="宋体"/>
                <w:color w:val="000000"/>
                <w:kern w:val="0"/>
                <w:sz w:val="22"/>
              </w:rPr>
              <w:t>100%</w:t>
            </w:r>
          </w:p>
        </w:tc>
        <w:tc>
          <w:tcPr>
            <w:tcW w:w="739" w:type="pct"/>
            <w:tcBorders>
              <w:top w:val="nil"/>
              <w:left w:val="nil"/>
              <w:bottom w:val="single" w:sz="4" w:space="0" w:color="auto"/>
              <w:right w:val="single" w:sz="4" w:space="0" w:color="auto"/>
            </w:tcBorders>
            <w:shd w:val="clear" w:color="auto" w:fill="auto"/>
            <w:vAlign w:val="center"/>
            <w:hideMark/>
          </w:tcPr>
          <w:p w14:paraId="26B0A881"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电气化机车应用比例到</w:t>
            </w:r>
            <w:r w:rsidRPr="0037696F">
              <w:rPr>
                <w:rFonts w:eastAsia="宋体"/>
                <w:color w:val="000000"/>
                <w:kern w:val="0"/>
                <w:sz w:val="22"/>
              </w:rPr>
              <w:t>2060</w:t>
            </w:r>
            <w:r w:rsidRPr="0037696F">
              <w:rPr>
                <w:rFonts w:ascii="楷体" w:eastAsia="楷体" w:hAnsi="楷体" w:hint="eastAsia"/>
                <w:color w:val="000000"/>
                <w:kern w:val="0"/>
                <w:sz w:val="22"/>
              </w:rPr>
              <w:t>货运</w:t>
            </w:r>
            <w:r w:rsidRPr="0037696F">
              <w:rPr>
                <w:rFonts w:eastAsia="宋体"/>
                <w:color w:val="000000"/>
                <w:kern w:val="0"/>
                <w:sz w:val="22"/>
              </w:rPr>
              <w:t>80%</w:t>
            </w:r>
            <w:r w:rsidRPr="0037696F">
              <w:rPr>
                <w:rFonts w:ascii="楷体" w:eastAsia="楷体" w:hAnsi="楷体" w:hint="eastAsia"/>
                <w:color w:val="000000"/>
                <w:kern w:val="0"/>
                <w:sz w:val="22"/>
              </w:rPr>
              <w:t>，客运</w:t>
            </w:r>
            <w:r w:rsidRPr="0037696F">
              <w:rPr>
                <w:rFonts w:eastAsia="宋体"/>
                <w:color w:val="000000"/>
                <w:kern w:val="0"/>
                <w:sz w:val="22"/>
              </w:rPr>
              <w:t>95%</w:t>
            </w:r>
            <w:r w:rsidRPr="0037696F">
              <w:rPr>
                <w:rFonts w:ascii="楷体" w:eastAsia="楷体" w:hAnsi="楷体" w:hint="eastAsia"/>
                <w:color w:val="000000"/>
                <w:kern w:val="0"/>
                <w:sz w:val="22"/>
              </w:rPr>
              <w:t>。</w:t>
            </w:r>
          </w:p>
        </w:tc>
        <w:tc>
          <w:tcPr>
            <w:tcW w:w="530" w:type="pct"/>
            <w:tcBorders>
              <w:top w:val="nil"/>
              <w:left w:val="nil"/>
              <w:bottom w:val="single" w:sz="4" w:space="0" w:color="auto"/>
              <w:right w:val="single" w:sz="4" w:space="0" w:color="auto"/>
            </w:tcBorders>
            <w:shd w:val="clear" w:color="auto" w:fill="auto"/>
            <w:vAlign w:val="center"/>
            <w:hideMark/>
          </w:tcPr>
          <w:p w14:paraId="623D1C8D"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电气化机车应用比例</w:t>
            </w:r>
            <w:r w:rsidRPr="0037696F">
              <w:rPr>
                <w:rFonts w:eastAsia="宋体"/>
                <w:color w:val="000000"/>
                <w:kern w:val="0"/>
                <w:sz w:val="22"/>
              </w:rPr>
              <w:t>:</w:t>
            </w:r>
            <w:r w:rsidRPr="0037696F">
              <w:rPr>
                <w:rFonts w:ascii="楷体" w:eastAsia="楷体" w:hAnsi="楷体" w:hint="eastAsia"/>
                <w:color w:val="000000"/>
                <w:kern w:val="0"/>
                <w:sz w:val="22"/>
              </w:rPr>
              <w:t>货运</w:t>
            </w:r>
            <w:r w:rsidRPr="0037696F">
              <w:rPr>
                <w:rFonts w:eastAsia="宋体"/>
                <w:color w:val="000000"/>
                <w:kern w:val="0"/>
                <w:sz w:val="22"/>
              </w:rPr>
              <w:t>100%</w:t>
            </w:r>
            <w:r w:rsidRPr="0037696F">
              <w:rPr>
                <w:rFonts w:ascii="楷体" w:eastAsia="楷体" w:hAnsi="楷体" w:hint="eastAsia"/>
                <w:color w:val="000000"/>
                <w:kern w:val="0"/>
                <w:sz w:val="22"/>
              </w:rPr>
              <w:t>，客运</w:t>
            </w:r>
            <w:r w:rsidRPr="0037696F">
              <w:rPr>
                <w:rFonts w:eastAsia="宋体"/>
                <w:color w:val="000000"/>
                <w:kern w:val="0"/>
                <w:sz w:val="22"/>
              </w:rPr>
              <w:t>100%</w:t>
            </w:r>
          </w:p>
        </w:tc>
      </w:tr>
      <w:tr w:rsidR="0037696F" w:rsidRPr="0037696F" w14:paraId="02786719" w14:textId="77777777" w:rsidTr="00B25539">
        <w:trPr>
          <w:trHeight w:val="288"/>
        </w:trPr>
        <w:tc>
          <w:tcPr>
            <w:tcW w:w="507" w:type="pct"/>
            <w:gridSpan w:val="2"/>
            <w:vMerge/>
            <w:tcBorders>
              <w:top w:val="single" w:sz="4" w:space="0" w:color="auto"/>
              <w:left w:val="single" w:sz="4" w:space="0" w:color="auto"/>
              <w:bottom w:val="single" w:sz="4" w:space="0" w:color="000000"/>
              <w:right w:val="single" w:sz="4" w:space="0" w:color="000000"/>
            </w:tcBorders>
            <w:vAlign w:val="center"/>
            <w:hideMark/>
          </w:tcPr>
          <w:p w14:paraId="2795085D" w14:textId="77777777" w:rsidR="0037696F" w:rsidRPr="0037696F" w:rsidRDefault="0037696F" w:rsidP="0037696F">
            <w:pPr>
              <w:widowControl/>
              <w:spacing w:line="240" w:lineRule="auto"/>
              <w:ind w:firstLineChars="0" w:firstLine="0"/>
              <w:jc w:val="left"/>
              <w:rPr>
                <w:rFonts w:eastAsia="宋体"/>
                <w:b/>
                <w:bCs/>
                <w:color w:val="000000"/>
                <w:kern w:val="0"/>
                <w:sz w:val="22"/>
              </w:rPr>
            </w:pPr>
          </w:p>
        </w:tc>
        <w:tc>
          <w:tcPr>
            <w:tcW w:w="559" w:type="pct"/>
            <w:tcBorders>
              <w:top w:val="nil"/>
              <w:left w:val="nil"/>
              <w:bottom w:val="single" w:sz="4" w:space="0" w:color="auto"/>
              <w:right w:val="single" w:sz="4" w:space="0" w:color="auto"/>
            </w:tcBorders>
            <w:shd w:val="clear" w:color="auto" w:fill="auto"/>
            <w:vAlign w:val="center"/>
            <w:hideMark/>
          </w:tcPr>
          <w:p w14:paraId="1B6E965A"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水路运输新能源利用比例</w:t>
            </w:r>
          </w:p>
        </w:tc>
        <w:tc>
          <w:tcPr>
            <w:tcW w:w="762" w:type="pct"/>
            <w:tcBorders>
              <w:top w:val="nil"/>
              <w:left w:val="nil"/>
              <w:bottom w:val="single" w:sz="4" w:space="0" w:color="auto"/>
              <w:right w:val="single" w:sz="4" w:space="0" w:color="auto"/>
            </w:tcBorders>
            <w:shd w:val="clear" w:color="auto" w:fill="auto"/>
            <w:noWrap/>
            <w:vAlign w:val="center"/>
            <w:hideMark/>
          </w:tcPr>
          <w:p w14:paraId="7C8AC7DE"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内河</w:t>
            </w:r>
            <w:r w:rsidRPr="0037696F">
              <w:rPr>
                <w:rFonts w:eastAsia="宋体"/>
                <w:color w:val="000000"/>
                <w:kern w:val="0"/>
                <w:sz w:val="22"/>
              </w:rPr>
              <w:t xml:space="preserve">15% </w:t>
            </w:r>
            <w:r w:rsidRPr="0037696F">
              <w:rPr>
                <w:rFonts w:ascii="楷体" w:eastAsia="楷体" w:hAnsi="楷体" w:hint="eastAsia"/>
                <w:color w:val="000000"/>
                <w:kern w:val="0"/>
                <w:sz w:val="22"/>
              </w:rPr>
              <w:t>，沿海</w:t>
            </w:r>
            <w:r w:rsidRPr="0037696F">
              <w:rPr>
                <w:rFonts w:eastAsia="宋体"/>
                <w:color w:val="000000"/>
                <w:kern w:val="0"/>
                <w:sz w:val="22"/>
              </w:rPr>
              <w:t>5%</w:t>
            </w:r>
          </w:p>
        </w:tc>
        <w:tc>
          <w:tcPr>
            <w:tcW w:w="580" w:type="pct"/>
            <w:tcBorders>
              <w:top w:val="nil"/>
              <w:left w:val="nil"/>
              <w:bottom w:val="single" w:sz="4" w:space="0" w:color="auto"/>
              <w:right w:val="single" w:sz="4" w:space="0" w:color="auto"/>
            </w:tcBorders>
            <w:shd w:val="clear" w:color="auto" w:fill="auto"/>
            <w:noWrap/>
            <w:vAlign w:val="center"/>
            <w:hideMark/>
          </w:tcPr>
          <w:p w14:paraId="7322934B"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内河</w:t>
            </w:r>
            <w:r w:rsidRPr="0037696F">
              <w:rPr>
                <w:rFonts w:eastAsia="宋体"/>
                <w:color w:val="000000"/>
                <w:kern w:val="0"/>
                <w:sz w:val="22"/>
              </w:rPr>
              <w:t xml:space="preserve">30% </w:t>
            </w:r>
            <w:r w:rsidRPr="0037696F">
              <w:rPr>
                <w:rFonts w:ascii="楷体" w:eastAsia="楷体" w:hAnsi="楷体" w:hint="eastAsia"/>
                <w:color w:val="000000"/>
                <w:kern w:val="0"/>
                <w:sz w:val="22"/>
              </w:rPr>
              <w:t>，沿海</w:t>
            </w:r>
            <w:r w:rsidRPr="0037696F">
              <w:rPr>
                <w:rFonts w:eastAsia="宋体"/>
                <w:color w:val="000000"/>
                <w:kern w:val="0"/>
                <w:sz w:val="22"/>
              </w:rPr>
              <w:t>10%</w:t>
            </w:r>
          </w:p>
        </w:tc>
        <w:tc>
          <w:tcPr>
            <w:tcW w:w="741" w:type="pct"/>
            <w:tcBorders>
              <w:top w:val="nil"/>
              <w:left w:val="nil"/>
              <w:bottom w:val="single" w:sz="4" w:space="0" w:color="auto"/>
              <w:right w:val="single" w:sz="4" w:space="0" w:color="auto"/>
            </w:tcBorders>
            <w:shd w:val="clear" w:color="auto" w:fill="auto"/>
            <w:noWrap/>
            <w:vAlign w:val="center"/>
            <w:hideMark/>
          </w:tcPr>
          <w:p w14:paraId="1079A9FF"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到</w:t>
            </w:r>
            <w:r w:rsidRPr="0037696F">
              <w:rPr>
                <w:rFonts w:eastAsia="宋体"/>
                <w:color w:val="000000"/>
                <w:kern w:val="0"/>
                <w:sz w:val="22"/>
              </w:rPr>
              <w:t>2030</w:t>
            </w:r>
            <w:r w:rsidRPr="0037696F">
              <w:rPr>
                <w:rFonts w:ascii="楷体" w:eastAsia="楷体" w:hAnsi="楷体" w:hint="eastAsia"/>
                <w:color w:val="000000"/>
                <w:kern w:val="0"/>
                <w:sz w:val="22"/>
              </w:rPr>
              <w:t>内河</w:t>
            </w:r>
            <w:r w:rsidRPr="0037696F">
              <w:rPr>
                <w:rFonts w:eastAsia="宋体"/>
                <w:color w:val="000000"/>
                <w:kern w:val="0"/>
                <w:sz w:val="22"/>
              </w:rPr>
              <w:t xml:space="preserve">1% </w:t>
            </w:r>
            <w:r w:rsidRPr="0037696F">
              <w:rPr>
                <w:rFonts w:ascii="楷体" w:eastAsia="楷体" w:hAnsi="楷体" w:hint="eastAsia"/>
                <w:color w:val="000000"/>
                <w:kern w:val="0"/>
                <w:sz w:val="22"/>
              </w:rPr>
              <w:t>，沿海</w:t>
            </w:r>
            <w:r w:rsidRPr="0037696F">
              <w:rPr>
                <w:rFonts w:eastAsia="宋体"/>
                <w:color w:val="000000"/>
                <w:kern w:val="0"/>
                <w:sz w:val="22"/>
              </w:rPr>
              <w:t>0%</w:t>
            </w:r>
          </w:p>
        </w:tc>
        <w:tc>
          <w:tcPr>
            <w:tcW w:w="582" w:type="pct"/>
            <w:tcBorders>
              <w:top w:val="nil"/>
              <w:left w:val="nil"/>
              <w:bottom w:val="single" w:sz="4" w:space="0" w:color="auto"/>
              <w:right w:val="single" w:sz="4" w:space="0" w:color="auto"/>
            </w:tcBorders>
            <w:shd w:val="clear" w:color="auto" w:fill="auto"/>
            <w:noWrap/>
            <w:vAlign w:val="center"/>
            <w:hideMark/>
          </w:tcPr>
          <w:p w14:paraId="267B57F5"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内河</w:t>
            </w:r>
            <w:r w:rsidRPr="0037696F">
              <w:rPr>
                <w:rFonts w:eastAsia="宋体"/>
                <w:color w:val="000000"/>
                <w:kern w:val="0"/>
                <w:sz w:val="22"/>
              </w:rPr>
              <w:t xml:space="preserve">50% </w:t>
            </w:r>
            <w:r w:rsidRPr="0037696F">
              <w:rPr>
                <w:rFonts w:ascii="楷体" w:eastAsia="楷体" w:hAnsi="楷体" w:hint="eastAsia"/>
                <w:color w:val="000000"/>
                <w:kern w:val="0"/>
                <w:sz w:val="22"/>
              </w:rPr>
              <w:t>，沿海</w:t>
            </w:r>
            <w:r w:rsidRPr="0037696F">
              <w:rPr>
                <w:rFonts w:eastAsia="宋体"/>
                <w:color w:val="000000"/>
                <w:kern w:val="0"/>
                <w:sz w:val="22"/>
              </w:rPr>
              <w:t>20%</w:t>
            </w:r>
          </w:p>
        </w:tc>
        <w:tc>
          <w:tcPr>
            <w:tcW w:w="739" w:type="pct"/>
            <w:tcBorders>
              <w:top w:val="nil"/>
              <w:left w:val="nil"/>
              <w:bottom w:val="single" w:sz="4" w:space="0" w:color="auto"/>
              <w:right w:val="single" w:sz="4" w:space="0" w:color="auto"/>
            </w:tcBorders>
            <w:shd w:val="clear" w:color="auto" w:fill="auto"/>
            <w:noWrap/>
            <w:vAlign w:val="center"/>
            <w:hideMark/>
          </w:tcPr>
          <w:p w14:paraId="64EA0DF2"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内河</w:t>
            </w:r>
            <w:r w:rsidRPr="0037696F">
              <w:rPr>
                <w:rFonts w:eastAsia="宋体"/>
                <w:color w:val="000000"/>
                <w:kern w:val="0"/>
                <w:sz w:val="22"/>
              </w:rPr>
              <w:t>30%</w:t>
            </w:r>
            <w:r w:rsidRPr="0037696F">
              <w:rPr>
                <w:rFonts w:ascii="楷体" w:eastAsia="楷体" w:hAnsi="楷体" w:hint="eastAsia"/>
                <w:color w:val="000000"/>
                <w:kern w:val="0"/>
                <w:sz w:val="22"/>
              </w:rPr>
              <w:t>，沿海</w:t>
            </w:r>
            <w:r w:rsidRPr="0037696F">
              <w:rPr>
                <w:rFonts w:eastAsia="宋体"/>
                <w:color w:val="000000"/>
                <w:kern w:val="0"/>
                <w:sz w:val="22"/>
              </w:rPr>
              <w:t>10%.</w:t>
            </w:r>
          </w:p>
        </w:tc>
        <w:tc>
          <w:tcPr>
            <w:tcW w:w="530" w:type="pct"/>
            <w:tcBorders>
              <w:top w:val="nil"/>
              <w:left w:val="nil"/>
              <w:bottom w:val="single" w:sz="4" w:space="0" w:color="auto"/>
              <w:right w:val="single" w:sz="4" w:space="0" w:color="auto"/>
            </w:tcBorders>
            <w:shd w:val="clear" w:color="auto" w:fill="auto"/>
            <w:noWrap/>
            <w:vAlign w:val="center"/>
            <w:hideMark/>
          </w:tcPr>
          <w:p w14:paraId="0225E2BF"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内河</w:t>
            </w:r>
            <w:r w:rsidRPr="0037696F">
              <w:rPr>
                <w:rFonts w:eastAsia="宋体"/>
                <w:color w:val="000000"/>
                <w:kern w:val="0"/>
                <w:sz w:val="22"/>
              </w:rPr>
              <w:t xml:space="preserve">80% </w:t>
            </w:r>
            <w:r w:rsidRPr="0037696F">
              <w:rPr>
                <w:rFonts w:ascii="楷体" w:eastAsia="楷体" w:hAnsi="楷体" w:hint="eastAsia"/>
                <w:color w:val="000000"/>
                <w:kern w:val="0"/>
                <w:sz w:val="22"/>
              </w:rPr>
              <w:t>，沿海</w:t>
            </w:r>
            <w:r w:rsidRPr="0037696F">
              <w:rPr>
                <w:rFonts w:eastAsia="宋体"/>
                <w:color w:val="000000"/>
                <w:kern w:val="0"/>
                <w:sz w:val="22"/>
              </w:rPr>
              <w:t>50%</w:t>
            </w:r>
          </w:p>
        </w:tc>
      </w:tr>
      <w:tr w:rsidR="0037696F" w:rsidRPr="0037696F" w14:paraId="72B8B488" w14:textId="77777777" w:rsidTr="00B25539">
        <w:trPr>
          <w:trHeight w:val="288"/>
        </w:trPr>
        <w:tc>
          <w:tcPr>
            <w:tcW w:w="507" w:type="pct"/>
            <w:gridSpan w:val="2"/>
            <w:vMerge/>
            <w:tcBorders>
              <w:top w:val="single" w:sz="4" w:space="0" w:color="auto"/>
              <w:left w:val="single" w:sz="4" w:space="0" w:color="auto"/>
              <w:bottom w:val="single" w:sz="4" w:space="0" w:color="000000"/>
              <w:right w:val="single" w:sz="4" w:space="0" w:color="000000"/>
            </w:tcBorders>
            <w:vAlign w:val="center"/>
            <w:hideMark/>
          </w:tcPr>
          <w:p w14:paraId="6017D5EA" w14:textId="77777777" w:rsidR="0037696F" w:rsidRPr="0037696F" w:rsidRDefault="0037696F" w:rsidP="0037696F">
            <w:pPr>
              <w:widowControl/>
              <w:spacing w:line="240" w:lineRule="auto"/>
              <w:ind w:firstLineChars="0" w:firstLine="0"/>
              <w:jc w:val="left"/>
              <w:rPr>
                <w:rFonts w:eastAsia="宋体"/>
                <w:b/>
                <w:bCs/>
                <w:color w:val="000000"/>
                <w:kern w:val="0"/>
                <w:sz w:val="22"/>
              </w:rPr>
            </w:pPr>
          </w:p>
        </w:tc>
        <w:tc>
          <w:tcPr>
            <w:tcW w:w="559" w:type="pct"/>
            <w:tcBorders>
              <w:top w:val="nil"/>
              <w:left w:val="nil"/>
              <w:bottom w:val="single" w:sz="4" w:space="0" w:color="auto"/>
              <w:right w:val="single" w:sz="4" w:space="0" w:color="auto"/>
            </w:tcBorders>
            <w:shd w:val="clear" w:color="auto" w:fill="auto"/>
            <w:noWrap/>
            <w:vAlign w:val="center"/>
            <w:hideMark/>
          </w:tcPr>
          <w:p w14:paraId="0D766CD0"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民航运输生物质燃料应用比例</w:t>
            </w:r>
          </w:p>
        </w:tc>
        <w:tc>
          <w:tcPr>
            <w:tcW w:w="762" w:type="pct"/>
            <w:tcBorders>
              <w:top w:val="nil"/>
              <w:left w:val="nil"/>
              <w:bottom w:val="single" w:sz="4" w:space="0" w:color="auto"/>
              <w:right w:val="single" w:sz="4" w:space="0" w:color="auto"/>
            </w:tcBorders>
            <w:shd w:val="clear" w:color="auto" w:fill="auto"/>
            <w:noWrap/>
            <w:vAlign w:val="center"/>
            <w:hideMark/>
          </w:tcPr>
          <w:p w14:paraId="13392E99"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生物质燃料应用比例</w:t>
            </w:r>
            <w:r w:rsidRPr="0037696F">
              <w:rPr>
                <w:rFonts w:eastAsia="宋体"/>
                <w:color w:val="000000"/>
                <w:kern w:val="0"/>
                <w:sz w:val="22"/>
              </w:rPr>
              <w:t>18%</w:t>
            </w:r>
          </w:p>
        </w:tc>
        <w:tc>
          <w:tcPr>
            <w:tcW w:w="580" w:type="pct"/>
            <w:tcBorders>
              <w:top w:val="nil"/>
              <w:left w:val="nil"/>
              <w:bottom w:val="single" w:sz="4" w:space="0" w:color="auto"/>
              <w:right w:val="single" w:sz="4" w:space="0" w:color="auto"/>
            </w:tcBorders>
            <w:shd w:val="clear" w:color="auto" w:fill="auto"/>
            <w:noWrap/>
            <w:vAlign w:val="center"/>
            <w:hideMark/>
          </w:tcPr>
          <w:p w14:paraId="13BD5E8E"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生物质燃料应用比例</w:t>
            </w:r>
            <w:r w:rsidRPr="0037696F">
              <w:rPr>
                <w:rFonts w:eastAsia="宋体"/>
                <w:color w:val="000000"/>
                <w:kern w:val="0"/>
                <w:sz w:val="22"/>
              </w:rPr>
              <w:t>30%</w:t>
            </w:r>
          </w:p>
        </w:tc>
        <w:tc>
          <w:tcPr>
            <w:tcW w:w="741" w:type="pct"/>
            <w:tcBorders>
              <w:top w:val="nil"/>
              <w:left w:val="nil"/>
              <w:bottom w:val="single" w:sz="4" w:space="0" w:color="auto"/>
              <w:right w:val="single" w:sz="4" w:space="0" w:color="auto"/>
            </w:tcBorders>
            <w:shd w:val="clear" w:color="auto" w:fill="auto"/>
            <w:noWrap/>
            <w:vAlign w:val="center"/>
            <w:hideMark/>
          </w:tcPr>
          <w:p w14:paraId="62E11F30"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生物质燃料应用比例</w:t>
            </w:r>
            <w:r w:rsidRPr="0037696F">
              <w:rPr>
                <w:rFonts w:eastAsia="宋体"/>
                <w:color w:val="000000"/>
                <w:kern w:val="0"/>
                <w:sz w:val="22"/>
              </w:rPr>
              <w:t>30%</w:t>
            </w:r>
          </w:p>
        </w:tc>
        <w:tc>
          <w:tcPr>
            <w:tcW w:w="582" w:type="pct"/>
            <w:tcBorders>
              <w:top w:val="nil"/>
              <w:left w:val="nil"/>
              <w:bottom w:val="single" w:sz="4" w:space="0" w:color="auto"/>
              <w:right w:val="single" w:sz="4" w:space="0" w:color="auto"/>
            </w:tcBorders>
            <w:shd w:val="clear" w:color="auto" w:fill="auto"/>
            <w:noWrap/>
            <w:vAlign w:val="center"/>
            <w:hideMark/>
          </w:tcPr>
          <w:p w14:paraId="717657B7"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生物质燃料应用比例</w:t>
            </w:r>
            <w:r w:rsidRPr="0037696F">
              <w:rPr>
                <w:rFonts w:eastAsia="宋体"/>
                <w:color w:val="000000"/>
                <w:kern w:val="0"/>
                <w:sz w:val="22"/>
              </w:rPr>
              <w:t>50%</w:t>
            </w:r>
          </w:p>
        </w:tc>
        <w:tc>
          <w:tcPr>
            <w:tcW w:w="739" w:type="pct"/>
            <w:tcBorders>
              <w:top w:val="nil"/>
              <w:left w:val="nil"/>
              <w:bottom w:val="single" w:sz="4" w:space="0" w:color="auto"/>
              <w:right w:val="single" w:sz="4" w:space="0" w:color="auto"/>
            </w:tcBorders>
            <w:shd w:val="clear" w:color="auto" w:fill="auto"/>
            <w:noWrap/>
            <w:vAlign w:val="center"/>
            <w:hideMark/>
          </w:tcPr>
          <w:p w14:paraId="640FFB2B"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生物质燃料应用比例</w:t>
            </w:r>
            <w:r w:rsidRPr="0037696F">
              <w:rPr>
                <w:rFonts w:eastAsia="宋体"/>
                <w:color w:val="000000"/>
                <w:kern w:val="0"/>
                <w:sz w:val="22"/>
              </w:rPr>
              <w:t>50%</w:t>
            </w:r>
          </w:p>
        </w:tc>
        <w:tc>
          <w:tcPr>
            <w:tcW w:w="530" w:type="pct"/>
            <w:tcBorders>
              <w:top w:val="nil"/>
              <w:left w:val="nil"/>
              <w:bottom w:val="single" w:sz="4" w:space="0" w:color="auto"/>
              <w:right w:val="single" w:sz="4" w:space="0" w:color="auto"/>
            </w:tcBorders>
            <w:shd w:val="clear" w:color="auto" w:fill="auto"/>
            <w:noWrap/>
            <w:vAlign w:val="center"/>
            <w:hideMark/>
          </w:tcPr>
          <w:p w14:paraId="54238BD8"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生物质燃料应用比例</w:t>
            </w:r>
            <w:r w:rsidRPr="0037696F">
              <w:rPr>
                <w:rFonts w:eastAsia="宋体"/>
                <w:color w:val="000000"/>
                <w:kern w:val="0"/>
                <w:sz w:val="22"/>
              </w:rPr>
              <w:t>70%</w:t>
            </w:r>
          </w:p>
        </w:tc>
      </w:tr>
      <w:tr w:rsidR="0037696F" w:rsidRPr="0037696F" w14:paraId="5C5D4779" w14:textId="77777777" w:rsidTr="00B25539">
        <w:trPr>
          <w:trHeight w:val="1428"/>
        </w:trPr>
        <w:tc>
          <w:tcPr>
            <w:tcW w:w="507" w:type="pct"/>
            <w:gridSpan w:val="2"/>
            <w:vMerge/>
            <w:tcBorders>
              <w:top w:val="single" w:sz="4" w:space="0" w:color="auto"/>
              <w:left w:val="single" w:sz="4" w:space="0" w:color="auto"/>
              <w:bottom w:val="single" w:sz="4" w:space="0" w:color="000000"/>
              <w:right w:val="single" w:sz="4" w:space="0" w:color="000000"/>
            </w:tcBorders>
            <w:vAlign w:val="center"/>
            <w:hideMark/>
          </w:tcPr>
          <w:p w14:paraId="32F2C828" w14:textId="77777777" w:rsidR="0037696F" w:rsidRPr="0037696F" w:rsidRDefault="0037696F" w:rsidP="0037696F">
            <w:pPr>
              <w:widowControl/>
              <w:spacing w:line="240" w:lineRule="auto"/>
              <w:ind w:firstLineChars="0" w:firstLine="0"/>
              <w:jc w:val="left"/>
              <w:rPr>
                <w:rFonts w:eastAsia="宋体"/>
                <w:b/>
                <w:bCs/>
                <w:color w:val="000000"/>
                <w:kern w:val="0"/>
                <w:sz w:val="22"/>
              </w:rPr>
            </w:pPr>
          </w:p>
        </w:tc>
        <w:tc>
          <w:tcPr>
            <w:tcW w:w="559" w:type="pct"/>
            <w:tcBorders>
              <w:top w:val="nil"/>
              <w:left w:val="nil"/>
              <w:bottom w:val="single" w:sz="4" w:space="0" w:color="auto"/>
              <w:right w:val="single" w:sz="4" w:space="0" w:color="auto"/>
            </w:tcBorders>
            <w:shd w:val="clear" w:color="auto" w:fill="auto"/>
            <w:noWrap/>
            <w:vAlign w:val="center"/>
            <w:hideMark/>
          </w:tcPr>
          <w:p w14:paraId="26F57F06"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公路货运领域新能源应用比例</w:t>
            </w:r>
          </w:p>
        </w:tc>
        <w:tc>
          <w:tcPr>
            <w:tcW w:w="762" w:type="pct"/>
            <w:tcBorders>
              <w:top w:val="nil"/>
              <w:left w:val="nil"/>
              <w:bottom w:val="single" w:sz="4" w:space="0" w:color="auto"/>
              <w:right w:val="single" w:sz="4" w:space="0" w:color="auto"/>
            </w:tcBorders>
            <w:shd w:val="clear" w:color="auto" w:fill="auto"/>
            <w:vAlign w:val="center"/>
            <w:hideMark/>
          </w:tcPr>
          <w:p w14:paraId="3316D083"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轻型货车</w:t>
            </w:r>
            <w:r w:rsidRPr="0037696F">
              <w:rPr>
                <w:rFonts w:eastAsia="宋体"/>
                <w:color w:val="000000"/>
                <w:kern w:val="0"/>
                <w:sz w:val="22"/>
              </w:rPr>
              <w:t>55% ,</w:t>
            </w:r>
            <w:r w:rsidRPr="0037696F">
              <w:rPr>
                <w:rFonts w:ascii="楷体" w:eastAsia="楷体" w:hAnsi="楷体" w:hint="eastAsia"/>
                <w:color w:val="000000"/>
                <w:kern w:val="0"/>
                <w:sz w:val="22"/>
              </w:rPr>
              <w:t>中型货车</w:t>
            </w:r>
            <w:r w:rsidRPr="0037696F">
              <w:rPr>
                <w:rFonts w:eastAsia="宋体"/>
                <w:color w:val="000000"/>
                <w:kern w:val="0"/>
                <w:sz w:val="22"/>
              </w:rPr>
              <w:t xml:space="preserve">30% , </w:t>
            </w:r>
            <w:r w:rsidRPr="0037696F">
              <w:rPr>
                <w:rFonts w:ascii="楷体" w:eastAsia="楷体" w:hAnsi="楷体" w:hint="eastAsia"/>
                <w:color w:val="000000"/>
                <w:kern w:val="0"/>
                <w:sz w:val="22"/>
              </w:rPr>
              <w:t>重型货车</w:t>
            </w:r>
            <w:r w:rsidRPr="0037696F">
              <w:rPr>
                <w:rFonts w:eastAsia="宋体"/>
                <w:color w:val="000000"/>
                <w:kern w:val="0"/>
                <w:sz w:val="22"/>
              </w:rPr>
              <w:t>25%</w:t>
            </w:r>
          </w:p>
        </w:tc>
        <w:tc>
          <w:tcPr>
            <w:tcW w:w="580" w:type="pct"/>
            <w:tcBorders>
              <w:top w:val="nil"/>
              <w:left w:val="nil"/>
              <w:bottom w:val="single" w:sz="4" w:space="0" w:color="auto"/>
              <w:right w:val="single" w:sz="4" w:space="0" w:color="auto"/>
            </w:tcBorders>
            <w:shd w:val="clear" w:color="auto" w:fill="auto"/>
            <w:vAlign w:val="center"/>
            <w:hideMark/>
          </w:tcPr>
          <w:p w14:paraId="0D4A086F"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轻型货车</w:t>
            </w:r>
            <w:r w:rsidRPr="0037696F">
              <w:rPr>
                <w:rFonts w:eastAsia="宋体"/>
                <w:color w:val="000000"/>
                <w:kern w:val="0"/>
                <w:sz w:val="22"/>
              </w:rPr>
              <w:t>60% ,</w:t>
            </w:r>
            <w:r w:rsidRPr="0037696F">
              <w:rPr>
                <w:rFonts w:ascii="楷体" w:eastAsia="楷体" w:hAnsi="楷体" w:hint="eastAsia"/>
                <w:color w:val="000000"/>
                <w:kern w:val="0"/>
                <w:sz w:val="22"/>
              </w:rPr>
              <w:t>中型货车</w:t>
            </w:r>
            <w:r w:rsidRPr="0037696F">
              <w:rPr>
                <w:rFonts w:eastAsia="宋体"/>
                <w:color w:val="000000"/>
                <w:kern w:val="0"/>
                <w:sz w:val="22"/>
              </w:rPr>
              <w:t xml:space="preserve">35% , </w:t>
            </w:r>
            <w:r w:rsidRPr="0037696F">
              <w:rPr>
                <w:rFonts w:ascii="楷体" w:eastAsia="楷体" w:hAnsi="楷体" w:hint="eastAsia"/>
                <w:color w:val="000000"/>
                <w:kern w:val="0"/>
                <w:sz w:val="22"/>
              </w:rPr>
              <w:t>重型货车</w:t>
            </w:r>
            <w:r w:rsidRPr="0037696F">
              <w:rPr>
                <w:rFonts w:eastAsia="宋体"/>
                <w:color w:val="000000"/>
                <w:kern w:val="0"/>
                <w:sz w:val="22"/>
              </w:rPr>
              <w:t>40%</w:t>
            </w:r>
          </w:p>
        </w:tc>
        <w:tc>
          <w:tcPr>
            <w:tcW w:w="741" w:type="pct"/>
            <w:tcBorders>
              <w:top w:val="nil"/>
              <w:left w:val="nil"/>
              <w:bottom w:val="single" w:sz="4" w:space="0" w:color="auto"/>
              <w:right w:val="single" w:sz="4" w:space="0" w:color="auto"/>
            </w:tcBorders>
            <w:shd w:val="clear" w:color="auto" w:fill="auto"/>
            <w:vAlign w:val="center"/>
            <w:hideMark/>
          </w:tcPr>
          <w:p w14:paraId="6C3251CE"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轻型货车</w:t>
            </w:r>
            <w:r w:rsidRPr="0037696F">
              <w:rPr>
                <w:rFonts w:eastAsia="宋体"/>
                <w:color w:val="000000"/>
                <w:kern w:val="0"/>
                <w:sz w:val="22"/>
              </w:rPr>
              <w:t>90% ,</w:t>
            </w:r>
            <w:r w:rsidRPr="0037696F">
              <w:rPr>
                <w:rFonts w:ascii="楷体" w:eastAsia="楷体" w:hAnsi="楷体" w:hint="eastAsia"/>
                <w:color w:val="000000"/>
                <w:kern w:val="0"/>
                <w:sz w:val="22"/>
              </w:rPr>
              <w:t>中型货车</w:t>
            </w:r>
            <w:r w:rsidRPr="0037696F">
              <w:rPr>
                <w:rFonts w:eastAsia="宋体"/>
                <w:color w:val="000000"/>
                <w:kern w:val="0"/>
                <w:sz w:val="22"/>
              </w:rPr>
              <w:t xml:space="preserve">40% , </w:t>
            </w:r>
            <w:r w:rsidRPr="0037696F">
              <w:rPr>
                <w:rFonts w:ascii="楷体" w:eastAsia="楷体" w:hAnsi="楷体" w:hint="eastAsia"/>
                <w:color w:val="000000"/>
                <w:kern w:val="0"/>
                <w:sz w:val="22"/>
              </w:rPr>
              <w:t>重型货车</w:t>
            </w:r>
            <w:r w:rsidRPr="0037696F">
              <w:rPr>
                <w:rFonts w:eastAsia="宋体"/>
                <w:color w:val="000000"/>
                <w:kern w:val="0"/>
                <w:sz w:val="22"/>
              </w:rPr>
              <w:t>40%</w:t>
            </w:r>
          </w:p>
        </w:tc>
        <w:tc>
          <w:tcPr>
            <w:tcW w:w="582" w:type="pct"/>
            <w:tcBorders>
              <w:top w:val="nil"/>
              <w:left w:val="nil"/>
              <w:bottom w:val="single" w:sz="4" w:space="0" w:color="auto"/>
              <w:right w:val="single" w:sz="4" w:space="0" w:color="auto"/>
            </w:tcBorders>
            <w:shd w:val="clear" w:color="auto" w:fill="auto"/>
            <w:vAlign w:val="center"/>
            <w:hideMark/>
          </w:tcPr>
          <w:p w14:paraId="6179309D"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轻型货车</w:t>
            </w:r>
            <w:r w:rsidRPr="0037696F">
              <w:rPr>
                <w:rFonts w:eastAsia="宋体"/>
                <w:color w:val="000000"/>
                <w:kern w:val="0"/>
                <w:sz w:val="22"/>
              </w:rPr>
              <w:t>90% ,</w:t>
            </w:r>
            <w:r w:rsidRPr="0037696F">
              <w:rPr>
                <w:rFonts w:ascii="楷体" w:eastAsia="楷体" w:hAnsi="楷体" w:hint="eastAsia"/>
                <w:color w:val="000000"/>
                <w:kern w:val="0"/>
                <w:sz w:val="22"/>
              </w:rPr>
              <w:t>中型货车</w:t>
            </w:r>
            <w:r w:rsidRPr="0037696F">
              <w:rPr>
                <w:rFonts w:eastAsia="宋体"/>
                <w:color w:val="000000"/>
                <w:kern w:val="0"/>
                <w:sz w:val="22"/>
              </w:rPr>
              <w:t xml:space="preserve">40% , </w:t>
            </w:r>
            <w:r w:rsidRPr="0037696F">
              <w:rPr>
                <w:rFonts w:ascii="楷体" w:eastAsia="楷体" w:hAnsi="楷体" w:hint="eastAsia"/>
                <w:color w:val="000000"/>
                <w:kern w:val="0"/>
                <w:sz w:val="22"/>
              </w:rPr>
              <w:t>重型货车</w:t>
            </w:r>
            <w:r w:rsidRPr="0037696F">
              <w:rPr>
                <w:rFonts w:eastAsia="宋体"/>
                <w:color w:val="000000"/>
                <w:kern w:val="0"/>
                <w:sz w:val="22"/>
              </w:rPr>
              <w:t>60%</w:t>
            </w:r>
          </w:p>
        </w:tc>
        <w:tc>
          <w:tcPr>
            <w:tcW w:w="739" w:type="pct"/>
            <w:tcBorders>
              <w:top w:val="nil"/>
              <w:left w:val="nil"/>
              <w:bottom w:val="single" w:sz="4" w:space="0" w:color="auto"/>
              <w:right w:val="single" w:sz="4" w:space="0" w:color="auto"/>
            </w:tcBorders>
            <w:shd w:val="clear" w:color="auto" w:fill="auto"/>
            <w:vAlign w:val="center"/>
            <w:hideMark/>
          </w:tcPr>
          <w:p w14:paraId="014ADCB8"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轻型货车</w:t>
            </w:r>
            <w:r w:rsidRPr="0037696F">
              <w:rPr>
                <w:rFonts w:eastAsia="宋体"/>
                <w:color w:val="000000"/>
                <w:kern w:val="0"/>
                <w:sz w:val="22"/>
              </w:rPr>
              <w:t>80% ,</w:t>
            </w:r>
            <w:r w:rsidRPr="0037696F">
              <w:rPr>
                <w:rFonts w:ascii="楷体" w:eastAsia="楷体" w:hAnsi="楷体" w:hint="eastAsia"/>
                <w:color w:val="000000"/>
                <w:kern w:val="0"/>
                <w:sz w:val="22"/>
              </w:rPr>
              <w:t>中型货车</w:t>
            </w:r>
            <w:r w:rsidRPr="0037696F">
              <w:rPr>
                <w:rFonts w:eastAsia="宋体"/>
                <w:color w:val="000000"/>
                <w:kern w:val="0"/>
                <w:sz w:val="22"/>
              </w:rPr>
              <w:t xml:space="preserve">70% , </w:t>
            </w:r>
            <w:r w:rsidRPr="0037696F">
              <w:rPr>
                <w:rFonts w:ascii="楷体" w:eastAsia="楷体" w:hAnsi="楷体" w:hint="eastAsia"/>
                <w:color w:val="000000"/>
                <w:kern w:val="0"/>
                <w:sz w:val="22"/>
              </w:rPr>
              <w:t>重型货车</w:t>
            </w:r>
            <w:r w:rsidRPr="0037696F">
              <w:rPr>
                <w:rFonts w:eastAsia="宋体"/>
                <w:color w:val="000000"/>
                <w:kern w:val="0"/>
                <w:sz w:val="22"/>
              </w:rPr>
              <w:t>95%</w:t>
            </w:r>
          </w:p>
        </w:tc>
        <w:tc>
          <w:tcPr>
            <w:tcW w:w="530" w:type="pct"/>
            <w:tcBorders>
              <w:top w:val="nil"/>
              <w:left w:val="nil"/>
              <w:bottom w:val="single" w:sz="4" w:space="0" w:color="auto"/>
              <w:right w:val="single" w:sz="4" w:space="0" w:color="auto"/>
            </w:tcBorders>
            <w:shd w:val="clear" w:color="auto" w:fill="auto"/>
            <w:vAlign w:val="center"/>
            <w:hideMark/>
          </w:tcPr>
          <w:p w14:paraId="30021E9D"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轻型货车</w:t>
            </w:r>
            <w:r w:rsidRPr="0037696F">
              <w:rPr>
                <w:rFonts w:eastAsia="宋体"/>
                <w:color w:val="000000"/>
                <w:kern w:val="0"/>
                <w:sz w:val="22"/>
              </w:rPr>
              <w:t>100% ,</w:t>
            </w:r>
            <w:r w:rsidRPr="0037696F">
              <w:rPr>
                <w:rFonts w:ascii="楷体" w:eastAsia="楷体" w:hAnsi="楷体" w:hint="eastAsia"/>
                <w:color w:val="000000"/>
                <w:kern w:val="0"/>
                <w:sz w:val="22"/>
              </w:rPr>
              <w:t>中型货车</w:t>
            </w:r>
            <w:r w:rsidRPr="0037696F">
              <w:rPr>
                <w:rFonts w:eastAsia="宋体"/>
                <w:color w:val="000000"/>
                <w:kern w:val="0"/>
                <w:sz w:val="22"/>
              </w:rPr>
              <w:t xml:space="preserve">100% , </w:t>
            </w:r>
            <w:r w:rsidRPr="0037696F">
              <w:rPr>
                <w:rFonts w:ascii="楷体" w:eastAsia="楷体" w:hAnsi="楷体" w:hint="eastAsia"/>
                <w:color w:val="000000"/>
                <w:kern w:val="0"/>
                <w:sz w:val="22"/>
              </w:rPr>
              <w:t>重型货车</w:t>
            </w:r>
            <w:r w:rsidRPr="0037696F">
              <w:rPr>
                <w:rFonts w:eastAsia="宋体"/>
                <w:color w:val="000000"/>
                <w:kern w:val="0"/>
                <w:sz w:val="22"/>
              </w:rPr>
              <w:t>100%</w:t>
            </w:r>
          </w:p>
        </w:tc>
      </w:tr>
      <w:tr w:rsidR="0037696F" w:rsidRPr="0037696F" w14:paraId="6853C9DB" w14:textId="77777777" w:rsidTr="00B25539">
        <w:trPr>
          <w:trHeight w:val="288"/>
        </w:trPr>
        <w:tc>
          <w:tcPr>
            <w:tcW w:w="507" w:type="pct"/>
            <w:gridSpan w:val="2"/>
            <w:vMerge/>
            <w:tcBorders>
              <w:top w:val="single" w:sz="4" w:space="0" w:color="auto"/>
              <w:left w:val="single" w:sz="4" w:space="0" w:color="auto"/>
              <w:bottom w:val="single" w:sz="4" w:space="0" w:color="000000"/>
              <w:right w:val="single" w:sz="4" w:space="0" w:color="000000"/>
            </w:tcBorders>
            <w:vAlign w:val="center"/>
            <w:hideMark/>
          </w:tcPr>
          <w:p w14:paraId="018BDB85" w14:textId="77777777" w:rsidR="0037696F" w:rsidRPr="0037696F" w:rsidRDefault="0037696F" w:rsidP="0037696F">
            <w:pPr>
              <w:widowControl/>
              <w:spacing w:line="240" w:lineRule="auto"/>
              <w:ind w:firstLineChars="0" w:firstLine="0"/>
              <w:jc w:val="left"/>
              <w:rPr>
                <w:rFonts w:eastAsia="宋体"/>
                <w:b/>
                <w:bCs/>
                <w:color w:val="000000"/>
                <w:kern w:val="0"/>
                <w:sz w:val="22"/>
              </w:rPr>
            </w:pPr>
          </w:p>
        </w:tc>
        <w:tc>
          <w:tcPr>
            <w:tcW w:w="559" w:type="pct"/>
            <w:tcBorders>
              <w:top w:val="nil"/>
              <w:left w:val="nil"/>
              <w:bottom w:val="single" w:sz="4" w:space="0" w:color="auto"/>
              <w:right w:val="single" w:sz="4" w:space="0" w:color="auto"/>
            </w:tcBorders>
            <w:shd w:val="clear" w:color="auto" w:fill="auto"/>
            <w:noWrap/>
            <w:vAlign w:val="center"/>
            <w:hideMark/>
          </w:tcPr>
          <w:p w14:paraId="6D711DFC"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公路客运领域新能源应用比例</w:t>
            </w:r>
          </w:p>
        </w:tc>
        <w:tc>
          <w:tcPr>
            <w:tcW w:w="762" w:type="pct"/>
            <w:tcBorders>
              <w:top w:val="nil"/>
              <w:left w:val="nil"/>
              <w:bottom w:val="single" w:sz="4" w:space="0" w:color="auto"/>
              <w:right w:val="single" w:sz="4" w:space="0" w:color="auto"/>
            </w:tcBorders>
            <w:shd w:val="clear" w:color="auto" w:fill="auto"/>
            <w:noWrap/>
            <w:vAlign w:val="center"/>
            <w:hideMark/>
          </w:tcPr>
          <w:p w14:paraId="27982DE2"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占比</w:t>
            </w:r>
            <w:r w:rsidRPr="0037696F">
              <w:rPr>
                <w:rFonts w:eastAsia="宋体"/>
                <w:color w:val="000000"/>
                <w:kern w:val="0"/>
                <w:sz w:val="22"/>
              </w:rPr>
              <w:t>55%</w:t>
            </w:r>
          </w:p>
        </w:tc>
        <w:tc>
          <w:tcPr>
            <w:tcW w:w="580" w:type="pct"/>
            <w:tcBorders>
              <w:top w:val="nil"/>
              <w:left w:val="nil"/>
              <w:bottom w:val="single" w:sz="4" w:space="0" w:color="auto"/>
              <w:right w:val="single" w:sz="4" w:space="0" w:color="auto"/>
            </w:tcBorders>
            <w:shd w:val="clear" w:color="auto" w:fill="auto"/>
            <w:noWrap/>
            <w:vAlign w:val="center"/>
            <w:hideMark/>
          </w:tcPr>
          <w:p w14:paraId="1424F452"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占比</w:t>
            </w:r>
            <w:r w:rsidRPr="0037696F">
              <w:rPr>
                <w:rFonts w:eastAsia="宋体"/>
                <w:color w:val="000000"/>
                <w:kern w:val="0"/>
                <w:sz w:val="22"/>
              </w:rPr>
              <w:t>60%</w:t>
            </w:r>
          </w:p>
        </w:tc>
        <w:tc>
          <w:tcPr>
            <w:tcW w:w="741" w:type="pct"/>
            <w:tcBorders>
              <w:top w:val="nil"/>
              <w:left w:val="nil"/>
              <w:bottom w:val="single" w:sz="4" w:space="0" w:color="auto"/>
              <w:right w:val="single" w:sz="4" w:space="0" w:color="auto"/>
            </w:tcBorders>
            <w:shd w:val="clear" w:color="auto" w:fill="auto"/>
            <w:noWrap/>
            <w:vAlign w:val="center"/>
            <w:hideMark/>
          </w:tcPr>
          <w:p w14:paraId="68BDB09F"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占比</w:t>
            </w:r>
            <w:r w:rsidRPr="0037696F">
              <w:rPr>
                <w:rFonts w:eastAsia="宋体"/>
                <w:color w:val="000000"/>
                <w:kern w:val="0"/>
                <w:sz w:val="22"/>
              </w:rPr>
              <w:t>80%</w:t>
            </w:r>
          </w:p>
        </w:tc>
        <w:tc>
          <w:tcPr>
            <w:tcW w:w="582" w:type="pct"/>
            <w:tcBorders>
              <w:top w:val="nil"/>
              <w:left w:val="nil"/>
              <w:bottom w:val="single" w:sz="4" w:space="0" w:color="auto"/>
              <w:right w:val="single" w:sz="4" w:space="0" w:color="auto"/>
            </w:tcBorders>
            <w:shd w:val="clear" w:color="auto" w:fill="auto"/>
            <w:noWrap/>
            <w:vAlign w:val="center"/>
            <w:hideMark/>
          </w:tcPr>
          <w:p w14:paraId="502DC4DD"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占比</w:t>
            </w:r>
            <w:r w:rsidRPr="0037696F">
              <w:rPr>
                <w:rFonts w:eastAsia="宋体"/>
                <w:color w:val="000000"/>
                <w:kern w:val="0"/>
                <w:sz w:val="22"/>
              </w:rPr>
              <w:t>85%</w:t>
            </w:r>
          </w:p>
        </w:tc>
        <w:tc>
          <w:tcPr>
            <w:tcW w:w="739" w:type="pct"/>
            <w:tcBorders>
              <w:top w:val="nil"/>
              <w:left w:val="nil"/>
              <w:bottom w:val="single" w:sz="4" w:space="0" w:color="auto"/>
              <w:right w:val="single" w:sz="4" w:space="0" w:color="auto"/>
            </w:tcBorders>
            <w:shd w:val="clear" w:color="auto" w:fill="auto"/>
            <w:noWrap/>
            <w:vAlign w:val="center"/>
            <w:hideMark/>
          </w:tcPr>
          <w:p w14:paraId="06E62ADB"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占比</w:t>
            </w:r>
            <w:r w:rsidRPr="0037696F">
              <w:rPr>
                <w:rFonts w:eastAsia="宋体"/>
                <w:color w:val="000000"/>
                <w:kern w:val="0"/>
                <w:sz w:val="22"/>
              </w:rPr>
              <w:t>95%</w:t>
            </w:r>
          </w:p>
        </w:tc>
        <w:tc>
          <w:tcPr>
            <w:tcW w:w="530" w:type="pct"/>
            <w:tcBorders>
              <w:top w:val="nil"/>
              <w:left w:val="nil"/>
              <w:bottom w:val="single" w:sz="4" w:space="0" w:color="auto"/>
              <w:right w:val="single" w:sz="4" w:space="0" w:color="auto"/>
            </w:tcBorders>
            <w:shd w:val="clear" w:color="auto" w:fill="auto"/>
            <w:noWrap/>
            <w:vAlign w:val="center"/>
            <w:hideMark/>
          </w:tcPr>
          <w:p w14:paraId="4706BB7F"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占比</w:t>
            </w:r>
            <w:r w:rsidRPr="0037696F">
              <w:rPr>
                <w:rFonts w:eastAsia="宋体"/>
                <w:color w:val="000000"/>
                <w:kern w:val="0"/>
                <w:sz w:val="22"/>
              </w:rPr>
              <w:t>100%</w:t>
            </w:r>
          </w:p>
        </w:tc>
      </w:tr>
      <w:tr w:rsidR="0037696F" w:rsidRPr="0037696F" w14:paraId="67DA0954" w14:textId="77777777" w:rsidTr="00B25539">
        <w:trPr>
          <w:trHeight w:val="2016"/>
        </w:trPr>
        <w:tc>
          <w:tcPr>
            <w:tcW w:w="507" w:type="pct"/>
            <w:gridSpan w:val="2"/>
            <w:vMerge/>
            <w:tcBorders>
              <w:top w:val="single" w:sz="4" w:space="0" w:color="auto"/>
              <w:left w:val="single" w:sz="4" w:space="0" w:color="auto"/>
              <w:bottom w:val="single" w:sz="4" w:space="0" w:color="000000"/>
              <w:right w:val="single" w:sz="4" w:space="0" w:color="000000"/>
            </w:tcBorders>
            <w:vAlign w:val="center"/>
            <w:hideMark/>
          </w:tcPr>
          <w:p w14:paraId="7173C4C7" w14:textId="77777777" w:rsidR="0037696F" w:rsidRPr="0037696F" w:rsidRDefault="0037696F" w:rsidP="0037696F">
            <w:pPr>
              <w:widowControl/>
              <w:spacing w:line="240" w:lineRule="auto"/>
              <w:ind w:firstLineChars="0" w:firstLine="0"/>
              <w:jc w:val="left"/>
              <w:rPr>
                <w:rFonts w:eastAsia="宋体"/>
                <w:b/>
                <w:bCs/>
                <w:color w:val="000000"/>
                <w:kern w:val="0"/>
                <w:sz w:val="22"/>
              </w:rPr>
            </w:pPr>
          </w:p>
        </w:tc>
        <w:tc>
          <w:tcPr>
            <w:tcW w:w="559" w:type="pct"/>
            <w:tcBorders>
              <w:top w:val="nil"/>
              <w:left w:val="nil"/>
              <w:bottom w:val="single" w:sz="4" w:space="0" w:color="auto"/>
              <w:right w:val="single" w:sz="4" w:space="0" w:color="auto"/>
            </w:tcBorders>
            <w:shd w:val="clear" w:color="auto" w:fill="auto"/>
            <w:noWrap/>
            <w:vAlign w:val="center"/>
            <w:hideMark/>
          </w:tcPr>
          <w:p w14:paraId="0150E78E"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城市客运领域新能源应用比例</w:t>
            </w:r>
          </w:p>
        </w:tc>
        <w:tc>
          <w:tcPr>
            <w:tcW w:w="762" w:type="pct"/>
            <w:tcBorders>
              <w:top w:val="nil"/>
              <w:left w:val="nil"/>
              <w:bottom w:val="single" w:sz="4" w:space="0" w:color="auto"/>
              <w:right w:val="single" w:sz="4" w:space="0" w:color="auto"/>
            </w:tcBorders>
            <w:shd w:val="clear" w:color="auto" w:fill="auto"/>
            <w:vAlign w:val="center"/>
            <w:hideMark/>
          </w:tcPr>
          <w:p w14:paraId="17CFDD5F"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新能源车辆保有量比例</w:t>
            </w:r>
            <w:r w:rsidRPr="0037696F">
              <w:rPr>
                <w:rFonts w:eastAsia="宋体"/>
                <w:color w:val="000000"/>
                <w:kern w:val="0"/>
                <w:sz w:val="22"/>
              </w:rPr>
              <w:t>:</w:t>
            </w:r>
            <w:r w:rsidRPr="0037696F">
              <w:rPr>
                <w:rFonts w:ascii="楷体" w:eastAsia="楷体" w:hAnsi="楷体" w:hint="eastAsia"/>
                <w:color w:val="000000"/>
                <w:kern w:val="0"/>
                <w:sz w:val="22"/>
              </w:rPr>
              <w:t>私家车</w:t>
            </w:r>
            <w:r w:rsidRPr="0037696F">
              <w:rPr>
                <w:rFonts w:eastAsia="宋体"/>
                <w:color w:val="000000"/>
                <w:kern w:val="0"/>
                <w:sz w:val="22"/>
              </w:rPr>
              <w:t xml:space="preserve">47%, </w:t>
            </w:r>
            <w:r w:rsidRPr="0037696F">
              <w:rPr>
                <w:rFonts w:ascii="楷体" w:eastAsia="楷体" w:hAnsi="楷体" w:hint="eastAsia"/>
                <w:color w:val="000000"/>
                <w:kern w:val="0"/>
                <w:sz w:val="22"/>
              </w:rPr>
              <w:t>公交车</w:t>
            </w:r>
            <w:r w:rsidRPr="0037696F">
              <w:rPr>
                <w:rFonts w:eastAsia="宋体"/>
                <w:color w:val="000000"/>
                <w:kern w:val="0"/>
                <w:sz w:val="22"/>
              </w:rPr>
              <w:t xml:space="preserve">100% , </w:t>
            </w:r>
            <w:r w:rsidRPr="0037696F">
              <w:rPr>
                <w:rFonts w:ascii="楷体" w:eastAsia="楷体" w:hAnsi="楷体" w:hint="eastAsia"/>
                <w:color w:val="000000"/>
                <w:kern w:val="0"/>
                <w:sz w:val="22"/>
              </w:rPr>
              <w:t>出租车</w:t>
            </w:r>
            <w:r w:rsidRPr="0037696F">
              <w:rPr>
                <w:rFonts w:eastAsia="宋体"/>
                <w:color w:val="000000"/>
                <w:kern w:val="0"/>
                <w:sz w:val="22"/>
              </w:rPr>
              <w:t>100% ,</w:t>
            </w:r>
            <w:r w:rsidRPr="0037696F">
              <w:rPr>
                <w:rFonts w:ascii="楷体" w:eastAsia="楷体" w:hAnsi="楷体" w:hint="eastAsia"/>
                <w:color w:val="000000"/>
                <w:kern w:val="0"/>
                <w:sz w:val="22"/>
              </w:rPr>
              <w:t>网约车</w:t>
            </w:r>
            <w:r w:rsidRPr="0037696F">
              <w:rPr>
                <w:rFonts w:eastAsia="宋体"/>
                <w:color w:val="000000"/>
                <w:kern w:val="0"/>
                <w:sz w:val="22"/>
              </w:rPr>
              <w:t xml:space="preserve"> 80%</w:t>
            </w:r>
            <w:r w:rsidRPr="0037696F">
              <w:rPr>
                <w:rFonts w:ascii="楷体" w:eastAsia="楷体" w:hAnsi="楷体" w:hint="eastAsia"/>
                <w:color w:val="000000"/>
                <w:kern w:val="0"/>
                <w:sz w:val="22"/>
              </w:rPr>
              <w:t>。</w:t>
            </w:r>
          </w:p>
        </w:tc>
        <w:tc>
          <w:tcPr>
            <w:tcW w:w="580" w:type="pct"/>
            <w:tcBorders>
              <w:top w:val="nil"/>
              <w:left w:val="nil"/>
              <w:bottom w:val="single" w:sz="4" w:space="0" w:color="auto"/>
              <w:right w:val="single" w:sz="4" w:space="0" w:color="auto"/>
            </w:tcBorders>
            <w:shd w:val="clear" w:color="auto" w:fill="auto"/>
            <w:vAlign w:val="center"/>
            <w:hideMark/>
          </w:tcPr>
          <w:p w14:paraId="1C6C547D"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新能源车辆保有量比例</w:t>
            </w:r>
            <w:r w:rsidRPr="0037696F">
              <w:rPr>
                <w:rFonts w:eastAsia="宋体"/>
                <w:color w:val="000000"/>
                <w:kern w:val="0"/>
                <w:sz w:val="22"/>
              </w:rPr>
              <w:t>:</w:t>
            </w:r>
            <w:r w:rsidRPr="0037696F">
              <w:rPr>
                <w:rFonts w:ascii="楷体" w:eastAsia="楷体" w:hAnsi="楷体" w:hint="eastAsia"/>
                <w:color w:val="000000"/>
                <w:kern w:val="0"/>
                <w:sz w:val="22"/>
              </w:rPr>
              <w:t>私家车</w:t>
            </w:r>
            <w:r w:rsidRPr="0037696F">
              <w:rPr>
                <w:rFonts w:eastAsia="宋体"/>
                <w:color w:val="000000"/>
                <w:kern w:val="0"/>
                <w:sz w:val="22"/>
              </w:rPr>
              <w:t xml:space="preserve">57%, </w:t>
            </w:r>
            <w:r w:rsidRPr="0037696F">
              <w:rPr>
                <w:rFonts w:ascii="楷体" w:eastAsia="楷体" w:hAnsi="楷体" w:hint="eastAsia"/>
                <w:color w:val="000000"/>
                <w:kern w:val="0"/>
                <w:sz w:val="22"/>
              </w:rPr>
              <w:t>公交车</w:t>
            </w:r>
            <w:r w:rsidRPr="0037696F">
              <w:rPr>
                <w:rFonts w:eastAsia="宋体"/>
                <w:color w:val="000000"/>
                <w:kern w:val="0"/>
                <w:sz w:val="22"/>
              </w:rPr>
              <w:t xml:space="preserve">100% , </w:t>
            </w:r>
            <w:r w:rsidRPr="0037696F">
              <w:rPr>
                <w:rFonts w:ascii="楷体" w:eastAsia="楷体" w:hAnsi="楷体" w:hint="eastAsia"/>
                <w:color w:val="000000"/>
                <w:kern w:val="0"/>
                <w:sz w:val="22"/>
              </w:rPr>
              <w:t>出租车</w:t>
            </w:r>
            <w:r w:rsidRPr="0037696F">
              <w:rPr>
                <w:rFonts w:eastAsia="宋体"/>
                <w:color w:val="000000"/>
                <w:kern w:val="0"/>
                <w:sz w:val="22"/>
              </w:rPr>
              <w:t>100% ,</w:t>
            </w:r>
            <w:r w:rsidRPr="0037696F">
              <w:rPr>
                <w:rFonts w:ascii="楷体" w:eastAsia="楷体" w:hAnsi="楷体" w:hint="eastAsia"/>
                <w:color w:val="000000"/>
                <w:kern w:val="0"/>
                <w:sz w:val="22"/>
              </w:rPr>
              <w:t>网约车</w:t>
            </w:r>
            <w:r w:rsidRPr="0037696F">
              <w:rPr>
                <w:rFonts w:eastAsia="宋体"/>
                <w:color w:val="000000"/>
                <w:kern w:val="0"/>
                <w:sz w:val="22"/>
              </w:rPr>
              <w:t xml:space="preserve"> 95%</w:t>
            </w:r>
            <w:r w:rsidRPr="0037696F">
              <w:rPr>
                <w:rFonts w:ascii="楷体" w:eastAsia="楷体" w:hAnsi="楷体" w:hint="eastAsia"/>
                <w:color w:val="000000"/>
                <w:kern w:val="0"/>
                <w:sz w:val="22"/>
              </w:rPr>
              <w:t>。</w:t>
            </w:r>
          </w:p>
        </w:tc>
        <w:tc>
          <w:tcPr>
            <w:tcW w:w="741" w:type="pct"/>
            <w:tcBorders>
              <w:top w:val="nil"/>
              <w:left w:val="nil"/>
              <w:bottom w:val="single" w:sz="4" w:space="0" w:color="auto"/>
              <w:right w:val="single" w:sz="4" w:space="0" w:color="auto"/>
            </w:tcBorders>
            <w:shd w:val="clear" w:color="auto" w:fill="auto"/>
            <w:vAlign w:val="center"/>
            <w:hideMark/>
          </w:tcPr>
          <w:p w14:paraId="02F20FA0"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新能源车辆保有量比例</w:t>
            </w:r>
            <w:r w:rsidRPr="0037696F">
              <w:rPr>
                <w:rFonts w:eastAsia="宋体"/>
                <w:color w:val="000000"/>
                <w:kern w:val="0"/>
                <w:sz w:val="22"/>
              </w:rPr>
              <w:t>:</w:t>
            </w:r>
            <w:r w:rsidRPr="0037696F">
              <w:rPr>
                <w:rFonts w:ascii="楷体" w:eastAsia="楷体" w:hAnsi="楷体" w:hint="eastAsia"/>
                <w:color w:val="000000"/>
                <w:kern w:val="0"/>
                <w:sz w:val="22"/>
              </w:rPr>
              <w:t>私家车</w:t>
            </w:r>
            <w:r w:rsidRPr="0037696F">
              <w:rPr>
                <w:rFonts w:eastAsia="宋体"/>
                <w:color w:val="000000"/>
                <w:kern w:val="0"/>
                <w:sz w:val="22"/>
              </w:rPr>
              <w:t xml:space="preserve">78%, </w:t>
            </w:r>
            <w:r w:rsidRPr="0037696F">
              <w:rPr>
                <w:rFonts w:ascii="楷体" w:eastAsia="楷体" w:hAnsi="楷体" w:hint="eastAsia"/>
                <w:color w:val="000000"/>
                <w:kern w:val="0"/>
                <w:sz w:val="22"/>
              </w:rPr>
              <w:t>公交车</w:t>
            </w:r>
            <w:r w:rsidRPr="0037696F">
              <w:rPr>
                <w:rFonts w:eastAsia="宋体"/>
                <w:color w:val="000000"/>
                <w:kern w:val="0"/>
                <w:sz w:val="22"/>
              </w:rPr>
              <w:t xml:space="preserve">100% , </w:t>
            </w:r>
            <w:r w:rsidRPr="0037696F">
              <w:rPr>
                <w:rFonts w:ascii="楷体" w:eastAsia="楷体" w:hAnsi="楷体" w:hint="eastAsia"/>
                <w:color w:val="000000"/>
                <w:kern w:val="0"/>
                <w:sz w:val="22"/>
              </w:rPr>
              <w:t>出租车</w:t>
            </w:r>
            <w:r w:rsidRPr="0037696F">
              <w:rPr>
                <w:rFonts w:eastAsia="宋体"/>
                <w:color w:val="000000"/>
                <w:kern w:val="0"/>
                <w:sz w:val="22"/>
              </w:rPr>
              <w:t>100% ,</w:t>
            </w:r>
            <w:r w:rsidRPr="0037696F">
              <w:rPr>
                <w:rFonts w:ascii="楷体" w:eastAsia="楷体" w:hAnsi="楷体" w:hint="eastAsia"/>
                <w:color w:val="000000"/>
                <w:kern w:val="0"/>
                <w:sz w:val="22"/>
              </w:rPr>
              <w:t>网约车</w:t>
            </w:r>
            <w:r w:rsidRPr="0037696F">
              <w:rPr>
                <w:rFonts w:eastAsia="宋体"/>
                <w:color w:val="000000"/>
                <w:kern w:val="0"/>
                <w:sz w:val="22"/>
              </w:rPr>
              <w:t>100%</w:t>
            </w:r>
            <w:r w:rsidRPr="0037696F">
              <w:rPr>
                <w:rFonts w:ascii="楷体" w:eastAsia="楷体" w:hAnsi="楷体" w:hint="eastAsia"/>
                <w:color w:val="000000"/>
                <w:kern w:val="0"/>
                <w:sz w:val="22"/>
              </w:rPr>
              <w:t>。</w:t>
            </w:r>
          </w:p>
        </w:tc>
        <w:tc>
          <w:tcPr>
            <w:tcW w:w="582" w:type="pct"/>
            <w:tcBorders>
              <w:top w:val="nil"/>
              <w:left w:val="nil"/>
              <w:bottom w:val="single" w:sz="4" w:space="0" w:color="auto"/>
              <w:right w:val="single" w:sz="4" w:space="0" w:color="auto"/>
            </w:tcBorders>
            <w:shd w:val="clear" w:color="auto" w:fill="auto"/>
            <w:vAlign w:val="center"/>
            <w:hideMark/>
          </w:tcPr>
          <w:p w14:paraId="1B4E1E8B"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新能源车辆保有量比例</w:t>
            </w:r>
            <w:r w:rsidRPr="0037696F">
              <w:rPr>
                <w:rFonts w:eastAsia="宋体"/>
                <w:color w:val="000000"/>
                <w:kern w:val="0"/>
                <w:sz w:val="22"/>
              </w:rPr>
              <w:t>:</w:t>
            </w:r>
            <w:r w:rsidRPr="0037696F">
              <w:rPr>
                <w:rFonts w:ascii="楷体" w:eastAsia="楷体" w:hAnsi="楷体" w:hint="eastAsia"/>
                <w:color w:val="000000"/>
                <w:kern w:val="0"/>
                <w:sz w:val="22"/>
              </w:rPr>
              <w:t>私家车</w:t>
            </w:r>
            <w:r w:rsidRPr="0037696F">
              <w:rPr>
                <w:rFonts w:eastAsia="宋体"/>
                <w:color w:val="000000"/>
                <w:kern w:val="0"/>
                <w:sz w:val="22"/>
              </w:rPr>
              <w:t xml:space="preserve">87%, </w:t>
            </w:r>
            <w:r w:rsidRPr="0037696F">
              <w:rPr>
                <w:rFonts w:ascii="楷体" w:eastAsia="楷体" w:hAnsi="楷体" w:hint="eastAsia"/>
                <w:color w:val="000000"/>
                <w:kern w:val="0"/>
                <w:sz w:val="22"/>
              </w:rPr>
              <w:t>公交车</w:t>
            </w:r>
            <w:r w:rsidRPr="0037696F">
              <w:rPr>
                <w:rFonts w:eastAsia="宋体"/>
                <w:color w:val="000000"/>
                <w:kern w:val="0"/>
                <w:sz w:val="22"/>
              </w:rPr>
              <w:t xml:space="preserve">100% , </w:t>
            </w:r>
            <w:r w:rsidRPr="0037696F">
              <w:rPr>
                <w:rFonts w:ascii="楷体" w:eastAsia="楷体" w:hAnsi="楷体" w:hint="eastAsia"/>
                <w:color w:val="000000"/>
                <w:kern w:val="0"/>
                <w:sz w:val="22"/>
              </w:rPr>
              <w:t>出租车</w:t>
            </w:r>
            <w:r w:rsidRPr="0037696F">
              <w:rPr>
                <w:rFonts w:eastAsia="宋体"/>
                <w:color w:val="000000"/>
                <w:kern w:val="0"/>
                <w:sz w:val="22"/>
              </w:rPr>
              <w:t>100% ,</w:t>
            </w:r>
            <w:r w:rsidRPr="0037696F">
              <w:rPr>
                <w:rFonts w:ascii="楷体" w:eastAsia="楷体" w:hAnsi="楷体" w:hint="eastAsia"/>
                <w:color w:val="000000"/>
                <w:kern w:val="0"/>
                <w:sz w:val="22"/>
              </w:rPr>
              <w:t>网约车</w:t>
            </w:r>
            <w:r w:rsidRPr="0037696F">
              <w:rPr>
                <w:rFonts w:eastAsia="宋体"/>
                <w:color w:val="000000"/>
                <w:kern w:val="0"/>
                <w:sz w:val="22"/>
              </w:rPr>
              <w:t xml:space="preserve"> 100%</w:t>
            </w:r>
            <w:r w:rsidRPr="0037696F">
              <w:rPr>
                <w:rFonts w:ascii="楷体" w:eastAsia="楷体" w:hAnsi="楷体" w:hint="eastAsia"/>
                <w:color w:val="000000"/>
                <w:kern w:val="0"/>
                <w:sz w:val="22"/>
              </w:rPr>
              <w:t>。</w:t>
            </w:r>
          </w:p>
        </w:tc>
        <w:tc>
          <w:tcPr>
            <w:tcW w:w="739" w:type="pct"/>
            <w:tcBorders>
              <w:top w:val="nil"/>
              <w:left w:val="nil"/>
              <w:bottom w:val="single" w:sz="4" w:space="0" w:color="auto"/>
              <w:right w:val="single" w:sz="4" w:space="0" w:color="auto"/>
            </w:tcBorders>
            <w:shd w:val="clear" w:color="auto" w:fill="auto"/>
            <w:vAlign w:val="center"/>
            <w:hideMark/>
          </w:tcPr>
          <w:p w14:paraId="1EF6792E"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新能源车辆保有量比例</w:t>
            </w:r>
            <w:r w:rsidRPr="0037696F">
              <w:rPr>
                <w:rFonts w:eastAsia="宋体"/>
                <w:color w:val="000000"/>
                <w:kern w:val="0"/>
                <w:sz w:val="22"/>
              </w:rPr>
              <w:t>:</w:t>
            </w:r>
            <w:r w:rsidRPr="0037696F">
              <w:rPr>
                <w:rFonts w:ascii="楷体" w:eastAsia="楷体" w:hAnsi="楷体" w:hint="eastAsia"/>
                <w:color w:val="000000"/>
                <w:kern w:val="0"/>
                <w:sz w:val="22"/>
              </w:rPr>
              <w:t>私家车</w:t>
            </w:r>
            <w:r w:rsidRPr="0037696F">
              <w:rPr>
                <w:rFonts w:eastAsia="宋体"/>
                <w:color w:val="000000"/>
                <w:kern w:val="0"/>
                <w:sz w:val="22"/>
              </w:rPr>
              <w:t xml:space="preserve">99%, </w:t>
            </w:r>
            <w:r w:rsidRPr="0037696F">
              <w:rPr>
                <w:rFonts w:ascii="楷体" w:eastAsia="楷体" w:hAnsi="楷体" w:hint="eastAsia"/>
                <w:color w:val="000000"/>
                <w:kern w:val="0"/>
                <w:sz w:val="22"/>
              </w:rPr>
              <w:t>公交车</w:t>
            </w:r>
            <w:r w:rsidRPr="0037696F">
              <w:rPr>
                <w:rFonts w:eastAsia="宋体"/>
                <w:color w:val="000000"/>
                <w:kern w:val="0"/>
                <w:sz w:val="22"/>
              </w:rPr>
              <w:t xml:space="preserve">100% , </w:t>
            </w:r>
            <w:r w:rsidRPr="0037696F">
              <w:rPr>
                <w:rFonts w:ascii="楷体" w:eastAsia="楷体" w:hAnsi="楷体" w:hint="eastAsia"/>
                <w:color w:val="000000"/>
                <w:kern w:val="0"/>
                <w:sz w:val="22"/>
              </w:rPr>
              <w:t>出租车</w:t>
            </w:r>
            <w:r w:rsidRPr="0037696F">
              <w:rPr>
                <w:rFonts w:eastAsia="宋体"/>
                <w:color w:val="000000"/>
                <w:kern w:val="0"/>
                <w:sz w:val="22"/>
              </w:rPr>
              <w:t>100% ,</w:t>
            </w:r>
            <w:r w:rsidRPr="0037696F">
              <w:rPr>
                <w:rFonts w:ascii="楷体" w:eastAsia="楷体" w:hAnsi="楷体" w:hint="eastAsia"/>
                <w:color w:val="000000"/>
                <w:kern w:val="0"/>
                <w:sz w:val="22"/>
              </w:rPr>
              <w:t>网约车</w:t>
            </w:r>
            <w:r w:rsidRPr="0037696F">
              <w:rPr>
                <w:rFonts w:eastAsia="宋体"/>
                <w:color w:val="000000"/>
                <w:kern w:val="0"/>
                <w:sz w:val="22"/>
              </w:rPr>
              <w:t xml:space="preserve"> 100%</w:t>
            </w:r>
            <w:r w:rsidRPr="0037696F">
              <w:rPr>
                <w:rFonts w:ascii="楷体" w:eastAsia="楷体" w:hAnsi="楷体" w:hint="eastAsia"/>
                <w:color w:val="000000"/>
                <w:kern w:val="0"/>
                <w:sz w:val="22"/>
              </w:rPr>
              <w:t>。</w:t>
            </w:r>
          </w:p>
        </w:tc>
        <w:tc>
          <w:tcPr>
            <w:tcW w:w="530" w:type="pct"/>
            <w:tcBorders>
              <w:top w:val="nil"/>
              <w:left w:val="nil"/>
              <w:bottom w:val="single" w:sz="4" w:space="0" w:color="auto"/>
              <w:right w:val="single" w:sz="4" w:space="0" w:color="auto"/>
            </w:tcBorders>
            <w:shd w:val="clear" w:color="auto" w:fill="auto"/>
            <w:vAlign w:val="center"/>
            <w:hideMark/>
          </w:tcPr>
          <w:p w14:paraId="70938ECC" w14:textId="77777777" w:rsidR="0037696F" w:rsidRPr="0037696F" w:rsidRDefault="0037696F" w:rsidP="0037696F">
            <w:pPr>
              <w:widowControl/>
              <w:spacing w:line="240" w:lineRule="auto"/>
              <w:ind w:firstLineChars="0" w:firstLine="0"/>
              <w:jc w:val="left"/>
              <w:rPr>
                <w:rFonts w:eastAsia="宋体"/>
                <w:color w:val="000000"/>
                <w:kern w:val="0"/>
                <w:sz w:val="22"/>
              </w:rPr>
            </w:pPr>
            <w:r w:rsidRPr="0037696F">
              <w:rPr>
                <w:rFonts w:ascii="楷体" w:eastAsia="楷体" w:hAnsi="楷体" w:hint="eastAsia"/>
                <w:color w:val="000000"/>
                <w:kern w:val="0"/>
                <w:sz w:val="22"/>
              </w:rPr>
              <w:t>新能源车辆保有量比例</w:t>
            </w:r>
            <w:r w:rsidRPr="0037696F">
              <w:rPr>
                <w:rFonts w:eastAsia="宋体"/>
                <w:color w:val="000000"/>
                <w:kern w:val="0"/>
                <w:sz w:val="22"/>
              </w:rPr>
              <w:t>:</w:t>
            </w:r>
            <w:r w:rsidRPr="0037696F">
              <w:rPr>
                <w:rFonts w:ascii="楷体" w:eastAsia="楷体" w:hAnsi="楷体" w:hint="eastAsia"/>
                <w:color w:val="000000"/>
                <w:kern w:val="0"/>
                <w:sz w:val="22"/>
              </w:rPr>
              <w:t>私家车</w:t>
            </w:r>
            <w:r w:rsidRPr="0037696F">
              <w:rPr>
                <w:rFonts w:eastAsia="宋体"/>
                <w:color w:val="000000"/>
                <w:kern w:val="0"/>
                <w:sz w:val="22"/>
              </w:rPr>
              <w:t xml:space="preserve">10%, </w:t>
            </w:r>
            <w:r w:rsidRPr="0037696F">
              <w:rPr>
                <w:rFonts w:ascii="楷体" w:eastAsia="楷体" w:hAnsi="楷体" w:hint="eastAsia"/>
                <w:color w:val="000000"/>
                <w:kern w:val="0"/>
                <w:sz w:val="22"/>
              </w:rPr>
              <w:t>公交车</w:t>
            </w:r>
            <w:r w:rsidRPr="0037696F">
              <w:rPr>
                <w:rFonts w:eastAsia="宋体"/>
                <w:color w:val="000000"/>
                <w:kern w:val="0"/>
                <w:sz w:val="22"/>
              </w:rPr>
              <w:t xml:space="preserve">100% , </w:t>
            </w:r>
            <w:r w:rsidRPr="0037696F">
              <w:rPr>
                <w:rFonts w:ascii="楷体" w:eastAsia="楷体" w:hAnsi="楷体" w:hint="eastAsia"/>
                <w:color w:val="000000"/>
                <w:kern w:val="0"/>
                <w:sz w:val="22"/>
              </w:rPr>
              <w:t>出租车</w:t>
            </w:r>
            <w:r w:rsidRPr="0037696F">
              <w:rPr>
                <w:rFonts w:eastAsia="宋体"/>
                <w:color w:val="000000"/>
                <w:kern w:val="0"/>
                <w:sz w:val="22"/>
              </w:rPr>
              <w:t>100% ,</w:t>
            </w:r>
            <w:r w:rsidRPr="0037696F">
              <w:rPr>
                <w:rFonts w:ascii="楷体" w:eastAsia="楷体" w:hAnsi="楷体" w:hint="eastAsia"/>
                <w:color w:val="000000"/>
                <w:kern w:val="0"/>
                <w:sz w:val="22"/>
              </w:rPr>
              <w:t>网约车</w:t>
            </w:r>
            <w:r w:rsidRPr="0037696F">
              <w:rPr>
                <w:rFonts w:eastAsia="宋体"/>
                <w:color w:val="000000"/>
                <w:kern w:val="0"/>
                <w:sz w:val="22"/>
              </w:rPr>
              <w:t xml:space="preserve"> 100%</w:t>
            </w:r>
            <w:r w:rsidRPr="0037696F">
              <w:rPr>
                <w:rFonts w:ascii="楷体" w:eastAsia="楷体" w:hAnsi="楷体" w:hint="eastAsia"/>
                <w:color w:val="000000"/>
                <w:kern w:val="0"/>
                <w:sz w:val="22"/>
              </w:rPr>
              <w:t>。</w:t>
            </w:r>
          </w:p>
        </w:tc>
      </w:tr>
    </w:tbl>
    <w:p w14:paraId="324C922D" w14:textId="77777777" w:rsidR="0037696F" w:rsidRDefault="0037696F" w:rsidP="00706FC4">
      <w:pPr>
        <w:ind w:firstLineChars="0" w:firstLine="0"/>
      </w:pPr>
    </w:p>
    <w:p w14:paraId="2494DF00" w14:textId="75301C24" w:rsidR="00706FC4" w:rsidRDefault="00706FC4" w:rsidP="00706FC4">
      <w:pPr>
        <w:ind w:firstLineChars="0" w:firstLine="0"/>
      </w:pPr>
    </w:p>
    <w:p w14:paraId="71B6E91E" w14:textId="77777777" w:rsidR="0037696F" w:rsidRDefault="0037696F" w:rsidP="00706FC4">
      <w:pPr>
        <w:ind w:firstLineChars="0" w:firstLine="0"/>
        <w:sectPr w:rsidR="0037696F" w:rsidSect="00B01D38">
          <w:pgSz w:w="16838" w:h="11906" w:orient="landscape"/>
          <w:pgMar w:top="1800" w:right="1440" w:bottom="1800" w:left="1440" w:header="851" w:footer="992" w:gutter="0"/>
          <w:pgNumType w:fmt="numberInDash"/>
          <w:cols w:space="425"/>
          <w:docGrid w:type="lines" w:linePitch="381"/>
        </w:sectPr>
      </w:pPr>
    </w:p>
    <w:p w14:paraId="703E5105" w14:textId="50CC2DA3" w:rsidR="00563861" w:rsidRPr="0059548B" w:rsidRDefault="00601353" w:rsidP="00563861">
      <w:pPr>
        <w:pStyle w:val="2"/>
      </w:pPr>
      <w:bookmarkStart w:id="55" w:name="_Toc93782319"/>
      <w:r>
        <w:lastRenderedPageBreak/>
        <w:t>5</w:t>
      </w:r>
      <w:r w:rsidR="00563861">
        <w:t xml:space="preserve">. </w:t>
      </w:r>
      <w:r w:rsidR="00563861" w:rsidRPr="00563861">
        <w:rPr>
          <w:rFonts w:hint="eastAsia"/>
        </w:rPr>
        <w:t>中国交通部门近零排放转型发展</w:t>
      </w:r>
      <w:r w:rsidR="005D2FFD">
        <w:rPr>
          <w:rFonts w:hint="eastAsia"/>
        </w:rPr>
        <w:t>路径</w:t>
      </w:r>
      <w:bookmarkEnd w:id="55"/>
    </w:p>
    <w:p w14:paraId="7281509E" w14:textId="6B072E98" w:rsidR="00AC0B93" w:rsidRDefault="00563861" w:rsidP="00563861">
      <w:pPr>
        <w:ind w:firstLine="560"/>
      </w:pPr>
      <w:r w:rsidRPr="00563861">
        <w:rPr>
          <w:rFonts w:hint="eastAsia"/>
        </w:rPr>
        <w:t>从国家</w:t>
      </w:r>
      <w:r>
        <w:rPr>
          <w:rFonts w:hint="eastAsia"/>
        </w:rPr>
        <w:t>实现“碳达峰”“碳中和”目标、推进</w:t>
      </w:r>
      <w:r w:rsidRPr="00563861">
        <w:rPr>
          <w:rFonts w:hint="eastAsia"/>
        </w:rPr>
        <w:t>生态文明建设</w:t>
      </w:r>
      <w:r>
        <w:rPr>
          <w:rFonts w:hint="eastAsia"/>
        </w:rPr>
        <w:t>的要求</w:t>
      </w:r>
      <w:r w:rsidRPr="00563861">
        <w:rPr>
          <w:rFonts w:hint="eastAsia"/>
        </w:rPr>
        <w:t>、国际上应对气候变化的要求、交通运输自身发展的要求等角度出发，分析中国中长期（</w:t>
      </w:r>
      <w:r w:rsidRPr="00563861">
        <w:rPr>
          <w:rFonts w:hint="eastAsia"/>
        </w:rPr>
        <w:t>2030</w:t>
      </w:r>
      <w:r w:rsidRPr="00563861">
        <w:rPr>
          <w:rFonts w:hint="eastAsia"/>
        </w:rPr>
        <w:t>年，</w:t>
      </w:r>
      <w:r w:rsidRPr="00563861">
        <w:rPr>
          <w:rFonts w:hint="eastAsia"/>
        </w:rPr>
        <w:t>2035</w:t>
      </w:r>
      <w:r w:rsidRPr="00563861">
        <w:rPr>
          <w:rFonts w:hint="eastAsia"/>
        </w:rPr>
        <w:t>年，</w:t>
      </w:r>
      <w:r w:rsidRPr="00563861">
        <w:rPr>
          <w:rFonts w:hint="eastAsia"/>
        </w:rPr>
        <w:t>2050</w:t>
      </w:r>
      <w:r w:rsidRPr="00563861">
        <w:rPr>
          <w:rFonts w:hint="eastAsia"/>
        </w:rPr>
        <w:t>年，</w:t>
      </w:r>
      <w:r w:rsidRPr="00563861">
        <w:rPr>
          <w:rFonts w:hint="eastAsia"/>
        </w:rPr>
        <w:t>2060</w:t>
      </w:r>
      <w:r w:rsidRPr="00563861">
        <w:rPr>
          <w:rFonts w:hint="eastAsia"/>
        </w:rPr>
        <w:t>年）交通部门近零排放转型发展的战略需求以及交通对国家中长期目标实现的贡献。</w:t>
      </w:r>
    </w:p>
    <w:p w14:paraId="230D3713" w14:textId="3F41DB0E" w:rsidR="00563861" w:rsidRDefault="00601353" w:rsidP="00560FB1">
      <w:pPr>
        <w:pStyle w:val="3"/>
      </w:pPr>
      <w:bookmarkStart w:id="56" w:name="_Toc93782320"/>
      <w:r>
        <w:t>5</w:t>
      </w:r>
      <w:r w:rsidR="00563861">
        <w:t xml:space="preserve">.1 </w:t>
      </w:r>
      <w:r w:rsidR="00C830A5">
        <w:rPr>
          <w:rFonts w:hint="eastAsia"/>
        </w:rPr>
        <w:t>低碳发展路径</w:t>
      </w:r>
      <w:bookmarkEnd w:id="56"/>
    </w:p>
    <w:p w14:paraId="78867800" w14:textId="55BB300C" w:rsidR="00C830A5" w:rsidRDefault="00C830A5" w:rsidP="00C830A5">
      <w:pPr>
        <w:ind w:firstLine="562"/>
      </w:pPr>
      <w:r w:rsidRPr="00F6192D">
        <w:rPr>
          <w:rFonts w:hint="eastAsia"/>
          <w:b/>
          <w:bCs/>
        </w:rPr>
        <w:t>一是提升交通运输能源利用效率。</w:t>
      </w:r>
      <w:r>
        <w:rPr>
          <w:rFonts w:hint="eastAsia"/>
        </w:rPr>
        <w:t>把节能贯穿于交通运输发展的全过程和各方面，提高燃油车船能效和碳排放准入标准，加快老旧运输工具更新改造，积极推进智能交通示范应用。健全能源管理体系，推动交通运输企业能效提升，建立低碳交通“领跑者”认证机制。</w:t>
      </w:r>
    </w:p>
    <w:p w14:paraId="59B68D1D" w14:textId="2137151F" w:rsidR="00C830A5" w:rsidRDefault="00C830A5" w:rsidP="00C830A5">
      <w:pPr>
        <w:ind w:firstLine="562"/>
      </w:pPr>
      <w:r w:rsidRPr="00F6192D">
        <w:rPr>
          <w:rFonts w:hint="eastAsia"/>
          <w:b/>
          <w:bCs/>
        </w:rPr>
        <w:t>二是加快优化调整运输结构。</w:t>
      </w:r>
      <w:r>
        <w:rPr>
          <w:rFonts w:hint="eastAsia"/>
        </w:rPr>
        <w:t>持续推进大宗货物和中长途货物“公转铁”“公转水”，完善干线铁路集疏运体系，加快大型工矿企业、物流园区以及港口铁路专用线建设，大力发展多式联运，创新多式联运组织模式。加快发展绿色物流，推动道路货运集约高效发展，推进城市货运配送绿色发展，加快互联网在货运物流领域的应用，鼓励共同配送、集中配送、夜间配送等运输组织模式发展，有效整合物流资源，提高利用效率。</w:t>
      </w:r>
    </w:p>
    <w:p w14:paraId="4B5067C7" w14:textId="70B07204" w:rsidR="00C830A5" w:rsidRDefault="00C830A5" w:rsidP="00C830A5">
      <w:pPr>
        <w:ind w:firstLine="562"/>
      </w:pPr>
      <w:r w:rsidRPr="00F6192D">
        <w:rPr>
          <w:rFonts w:hint="eastAsia"/>
          <w:b/>
          <w:bCs/>
        </w:rPr>
        <w:t>三是大力推广应用低碳技术装备。</w:t>
      </w:r>
      <w:r>
        <w:rPr>
          <w:rFonts w:hint="eastAsia"/>
        </w:rPr>
        <w:t>推进铁路电气化改造，推动城市公交、出租、城市配送、作业机械电气化替代，积极探索电能、氢能、液化天然气等动力在重载货运车辆、船舶领域的应用，加快发展非粮食原料先进生物液体燃料，逐步扩大在航空、航运业的应用。推</w:t>
      </w:r>
      <w:r>
        <w:rPr>
          <w:rFonts w:hint="eastAsia"/>
        </w:rPr>
        <w:lastRenderedPageBreak/>
        <w:t>动相关部门完善新能源、清洁能源配套设施建设，为新能源和清洁能源车船换充电、加气（注）、加氢、使用岸电创造条件。</w:t>
      </w:r>
    </w:p>
    <w:p w14:paraId="66AA19C1" w14:textId="3CA90202" w:rsidR="00C830A5" w:rsidRDefault="00C830A5" w:rsidP="00C830A5">
      <w:pPr>
        <w:ind w:firstLine="562"/>
      </w:pPr>
      <w:r w:rsidRPr="00F6192D">
        <w:rPr>
          <w:rFonts w:hint="eastAsia"/>
          <w:b/>
          <w:bCs/>
        </w:rPr>
        <w:t>四是引导绿色低碳出行。</w:t>
      </w:r>
      <w:r>
        <w:rPr>
          <w:rFonts w:hint="eastAsia"/>
        </w:rPr>
        <w:t>深入实施城市优先发展公共交通战略，推动完善城市公共交通服务网络，构建以轨道交通为骨干，常规公交为主体的城市公共交通系统，强化“轨道</w:t>
      </w:r>
      <w:r>
        <w:rPr>
          <w:rFonts w:hint="eastAsia"/>
        </w:rPr>
        <w:t>+</w:t>
      </w:r>
      <w:r>
        <w:rPr>
          <w:rFonts w:hint="eastAsia"/>
        </w:rPr>
        <w:t>公交</w:t>
      </w:r>
      <w:r>
        <w:rPr>
          <w:rFonts w:hint="eastAsia"/>
        </w:rPr>
        <w:t>+</w:t>
      </w:r>
      <w:r>
        <w:rPr>
          <w:rFonts w:hint="eastAsia"/>
        </w:rPr>
        <w:t>慢行”网络融合发展，引导公众主动选择绿色低碳出行方式。优化客运组织，引导客运企业规模化、集约化经营，开展“一站式”联程运输服务，推进客运出行服务快速化、便捷化。</w:t>
      </w:r>
    </w:p>
    <w:p w14:paraId="26AAE080" w14:textId="4732D26D" w:rsidR="00C830A5" w:rsidRDefault="00C830A5" w:rsidP="00C830A5">
      <w:pPr>
        <w:ind w:firstLine="562"/>
      </w:pPr>
      <w:r w:rsidRPr="00F6192D">
        <w:rPr>
          <w:rFonts w:hint="eastAsia"/>
          <w:b/>
          <w:bCs/>
        </w:rPr>
        <w:t>五是推进绿色低碳基础设施建设。</w:t>
      </w:r>
      <w:r>
        <w:rPr>
          <w:rFonts w:hint="eastAsia"/>
        </w:rPr>
        <w:t>构建以铁路为主干，以公路为基础，水运和民航比较优势充分发挥的国家综合立体交通网。建设绿色低碳交通基础设施，积极打造绿色公路、绿色铁路、绿色航道、绿色港口、绿色空港。推进交通基础设施网与能源网融合发展，强化交通与能源基础设施共建共享。</w:t>
      </w:r>
    </w:p>
    <w:p w14:paraId="4CE12F78" w14:textId="5330D253" w:rsidR="00AC57BF" w:rsidRDefault="00601353" w:rsidP="00AC57BF">
      <w:pPr>
        <w:pStyle w:val="3"/>
      </w:pPr>
      <w:bookmarkStart w:id="57" w:name="_Toc93782321"/>
      <w:r>
        <w:t>5</w:t>
      </w:r>
      <w:r w:rsidR="00AC57BF">
        <w:t xml:space="preserve">.2 </w:t>
      </w:r>
      <w:r w:rsidR="00C830A5" w:rsidRPr="00046F77">
        <w:rPr>
          <w:rFonts w:hint="eastAsia"/>
        </w:rPr>
        <w:t>交通部门近零排放发展路径</w:t>
      </w:r>
      <w:r w:rsidR="00C830A5">
        <w:rPr>
          <w:rFonts w:hint="eastAsia"/>
        </w:rPr>
        <w:t>探索</w:t>
      </w:r>
      <w:bookmarkEnd w:id="57"/>
    </w:p>
    <w:p w14:paraId="25EEEC6C" w14:textId="04FD5DB7" w:rsidR="00D14D26" w:rsidRPr="00E91F9C" w:rsidRDefault="0093405E" w:rsidP="00C830A5">
      <w:pPr>
        <w:ind w:firstLine="560"/>
      </w:pPr>
      <w:r>
        <w:rPr>
          <w:rFonts w:hint="eastAsia"/>
        </w:rPr>
        <w:t>依照前文研究，交通部门想要实现“近零排放</w:t>
      </w:r>
      <w:r w:rsidR="00D14D26">
        <w:rPr>
          <w:rFonts w:hint="eastAsia"/>
        </w:rPr>
        <w:t>”</w:t>
      </w:r>
      <w:r>
        <w:rPr>
          <w:rFonts w:hint="eastAsia"/>
        </w:rPr>
        <w:t>，需要实现</w:t>
      </w:r>
      <w:r w:rsidRPr="0093405E">
        <w:rPr>
          <w:rFonts w:hint="eastAsia"/>
        </w:rPr>
        <w:t>全面电动化，包括电动汽车、电气化铁路，乃</w:t>
      </w:r>
      <w:r>
        <w:rPr>
          <w:rFonts w:hint="eastAsia"/>
        </w:rPr>
        <w:t>电气飞机、轮船，并需要建设相应的基础设施。但考虑到部分运载工具电气化技术还不成熟，</w:t>
      </w:r>
      <w:r w:rsidR="00D14D26">
        <w:rPr>
          <w:rFonts w:hint="eastAsia"/>
        </w:rPr>
        <w:t>实现“近零排放”排放需要在</w:t>
      </w:r>
      <w:r w:rsidRPr="0093405E">
        <w:rPr>
          <w:rFonts w:hint="eastAsia"/>
        </w:rPr>
        <w:t>管理机制、法律法规、标准体系及其他相应支持政策</w:t>
      </w:r>
      <w:r w:rsidR="00D14D26">
        <w:rPr>
          <w:rFonts w:hint="eastAsia"/>
        </w:rPr>
        <w:t>协同发力。</w:t>
      </w:r>
      <w:r w:rsidR="00D14D26" w:rsidRPr="00E91F9C">
        <w:rPr>
          <w:rFonts w:hint="eastAsia"/>
          <w:b/>
          <w:bCs/>
        </w:rPr>
        <w:t>尤其是需要强化和改善政策执行。中国多年的行政经验表明，</w:t>
      </w:r>
      <w:r w:rsidR="00E91F9C" w:rsidRPr="00E91F9C">
        <w:rPr>
          <w:rFonts w:hint="eastAsia"/>
          <w:b/>
          <w:bCs/>
        </w:rPr>
        <w:t>通过试点先行，在</w:t>
      </w:r>
      <w:r w:rsidR="00D14D26" w:rsidRPr="00E91F9C">
        <w:rPr>
          <w:rFonts w:hint="eastAsia"/>
          <w:b/>
          <w:bCs/>
        </w:rPr>
        <w:t>以点带面</w:t>
      </w:r>
      <w:r w:rsidR="00E91F9C" w:rsidRPr="00E91F9C">
        <w:rPr>
          <w:rFonts w:hint="eastAsia"/>
          <w:b/>
          <w:bCs/>
        </w:rPr>
        <w:t>推进政策落实的方式，是行之有效的施策方式。</w:t>
      </w:r>
      <w:r w:rsidR="00E91F9C" w:rsidRPr="00E91F9C">
        <w:rPr>
          <w:rFonts w:hint="eastAsia"/>
        </w:rPr>
        <w:t>因此，</w:t>
      </w:r>
      <w:r w:rsidR="00E91F9C">
        <w:rPr>
          <w:rFonts w:hint="eastAsia"/>
        </w:rPr>
        <w:t>课题组设置了一系列近零碳试点方案，以期实现全交通运输领域的“近零排放”。</w:t>
      </w:r>
    </w:p>
    <w:p w14:paraId="28764548" w14:textId="72E5EC49" w:rsidR="008A2FDC" w:rsidRDefault="008A2FDC" w:rsidP="00116736">
      <w:pPr>
        <w:ind w:firstLine="562"/>
        <w:outlineLvl w:val="3"/>
        <w:rPr>
          <w:b/>
          <w:bCs/>
        </w:rPr>
      </w:pPr>
      <w:r>
        <w:rPr>
          <w:rFonts w:hint="eastAsia"/>
          <w:b/>
          <w:bCs/>
        </w:rPr>
        <w:lastRenderedPageBreak/>
        <w:t>（</w:t>
      </w:r>
      <w:r>
        <w:rPr>
          <w:rFonts w:hint="eastAsia"/>
          <w:b/>
          <w:bCs/>
        </w:rPr>
        <w:t>1</w:t>
      </w:r>
      <w:r>
        <w:rPr>
          <w:rFonts w:hint="eastAsia"/>
          <w:b/>
          <w:bCs/>
        </w:rPr>
        <w:t>）</w:t>
      </w:r>
      <w:r w:rsidR="00E66547" w:rsidRPr="008A2FDC">
        <w:rPr>
          <w:rFonts w:hint="eastAsia"/>
          <w:b/>
          <w:bCs/>
        </w:rPr>
        <w:t>“近零碳服务区”建设试点</w:t>
      </w:r>
    </w:p>
    <w:p w14:paraId="07D22099" w14:textId="77777777" w:rsidR="008A2FDC" w:rsidRDefault="008A2FDC" w:rsidP="00C830A5">
      <w:pPr>
        <w:ind w:firstLine="560"/>
      </w:pPr>
      <w:r w:rsidRPr="008A2FDC">
        <w:rPr>
          <w:rFonts w:hint="eastAsia"/>
        </w:rPr>
        <w:t>“（近）零碳服务区”</w:t>
      </w:r>
      <w:r>
        <w:rPr>
          <w:rFonts w:hint="eastAsia"/>
        </w:rPr>
        <w:t>旨在</w:t>
      </w:r>
      <w:r w:rsidRPr="008A2FDC">
        <w:rPr>
          <w:rFonts w:hint="eastAsia"/>
        </w:rPr>
        <w:t>服务区运营期间，全年的能耗基本由场区产生的可再生能源提供，碳排放趋近于零。</w:t>
      </w:r>
      <w:r>
        <w:rPr>
          <w:rFonts w:hint="eastAsia"/>
        </w:rPr>
        <w:t>主要措施是</w:t>
      </w:r>
      <w:r w:rsidRPr="008A2FDC">
        <w:rPr>
          <w:rFonts w:hint="eastAsia"/>
        </w:rPr>
        <w:t>从服务区建筑耗能等源头减少能源消耗，充分利用服务区场区内太阳能、浅层地热能等可再生能源，实现（近）零碳排放。</w:t>
      </w:r>
      <w:r>
        <w:rPr>
          <w:rFonts w:hint="eastAsia"/>
        </w:rPr>
        <w:t>主要任务包括：</w:t>
      </w:r>
    </w:p>
    <w:p w14:paraId="447301A9" w14:textId="59F0690E" w:rsidR="008A2FDC" w:rsidRDefault="008A2FDC" w:rsidP="00C830A5">
      <w:pPr>
        <w:ind w:firstLine="562"/>
      </w:pPr>
      <w:r w:rsidRPr="00FE471F">
        <w:rPr>
          <w:rFonts w:hint="eastAsia"/>
          <w:b/>
          <w:bCs/>
        </w:rPr>
        <w:t>一是强化建筑节能设计。</w:t>
      </w:r>
      <w:r w:rsidRPr="008A2FDC">
        <w:rPr>
          <w:rFonts w:hint="eastAsia"/>
        </w:rPr>
        <w:t>加强建筑全寿命周期能耗管理，优化建筑空间布局，充分利用自然采光和通风，提高维护结构热工性能，合理采用遮阳隔热措施，从源头降低服务区建筑供暖、空调等运行能耗。</w:t>
      </w:r>
    </w:p>
    <w:p w14:paraId="0DA1B109" w14:textId="6F1F5C79" w:rsidR="008A2FDC" w:rsidRDefault="008A2FDC" w:rsidP="008A2FDC">
      <w:pPr>
        <w:ind w:firstLine="562"/>
      </w:pPr>
      <w:r w:rsidRPr="00FE471F">
        <w:rPr>
          <w:rFonts w:hint="eastAsia"/>
          <w:b/>
          <w:bCs/>
        </w:rPr>
        <w:t>二是推广应用节能技术。</w:t>
      </w:r>
      <w:r>
        <w:rPr>
          <w:rFonts w:hint="eastAsia"/>
        </w:rPr>
        <w:t>加强服务区空调冷热源系统、供配电系统、照明系统等节能设计，推广应用节能高效用电设备，积极采取智能控制系统，提高节能技术应用水平。</w:t>
      </w:r>
    </w:p>
    <w:p w14:paraId="212B81A6" w14:textId="23C3229E" w:rsidR="008A2FDC" w:rsidRDefault="008A2FDC" w:rsidP="008A2FDC">
      <w:pPr>
        <w:ind w:firstLine="562"/>
      </w:pPr>
      <w:r w:rsidRPr="00FE471F">
        <w:rPr>
          <w:rFonts w:hint="eastAsia"/>
          <w:b/>
          <w:bCs/>
        </w:rPr>
        <w:t>三是积极利用可再生能源。</w:t>
      </w:r>
      <w:r>
        <w:rPr>
          <w:rFonts w:hint="eastAsia"/>
        </w:rPr>
        <w:t>充分利用服务区场地条件，因地制宜加大太阳能、风能、水能、地热能等可再生能源的应用，构建服务区新能源微电网，与市电等并网供电。配合发展改革、电力等部门，加快推进服务区充换电设施建设。</w:t>
      </w:r>
    </w:p>
    <w:p w14:paraId="1782894F" w14:textId="389F0340" w:rsidR="008A2FDC" w:rsidRDefault="008A2FDC" w:rsidP="008A2FDC">
      <w:pPr>
        <w:ind w:firstLine="562"/>
      </w:pPr>
      <w:r w:rsidRPr="00E04B14">
        <w:rPr>
          <w:rFonts w:hint="eastAsia"/>
          <w:b/>
          <w:bCs/>
        </w:rPr>
        <w:t>四是增强绿化植被碳汇潜力。</w:t>
      </w:r>
      <w:r>
        <w:rPr>
          <w:rFonts w:hint="eastAsia"/>
        </w:rPr>
        <w:t>完善服务区绿地系统，合理布局绿化用地，推进留白增绿，做到应绿尽绿。因地制宜开展立体绿化，推广生态绿化方式，提高本地适生植物及碳汇能力强的植物的应用比例，增强服务区生态系统碳汇能力。</w:t>
      </w:r>
    </w:p>
    <w:p w14:paraId="3358C78B" w14:textId="32D094D3" w:rsidR="008A2FDC" w:rsidRPr="008A2FDC" w:rsidRDefault="008A2FDC" w:rsidP="008A2FDC">
      <w:pPr>
        <w:ind w:firstLine="562"/>
      </w:pPr>
      <w:r w:rsidRPr="00E04B14">
        <w:rPr>
          <w:rFonts w:hint="eastAsia"/>
          <w:b/>
          <w:bCs/>
        </w:rPr>
        <w:t>五是提升碳排放管理能力。</w:t>
      </w:r>
      <w:r>
        <w:rPr>
          <w:rFonts w:hint="eastAsia"/>
        </w:rPr>
        <w:t>鼓励建设能耗在线监测系统，在各类能耗装备上安装智能传感和节能控制设备，自动采集和监控能源使用情况，实现能源使用统一管理、分析和优化，提升碳减排管理能力。</w:t>
      </w:r>
    </w:p>
    <w:p w14:paraId="09545E55" w14:textId="79A6AD9E" w:rsidR="008A2FDC" w:rsidRPr="00FF2A7C" w:rsidRDefault="008A2FDC" w:rsidP="00116736">
      <w:pPr>
        <w:ind w:firstLine="562"/>
        <w:outlineLvl w:val="3"/>
        <w:rPr>
          <w:b/>
          <w:bCs/>
        </w:rPr>
      </w:pPr>
      <w:r w:rsidRPr="00FF2A7C">
        <w:rPr>
          <w:rFonts w:hint="eastAsia"/>
          <w:b/>
          <w:bCs/>
        </w:rPr>
        <w:lastRenderedPageBreak/>
        <w:t>（</w:t>
      </w:r>
      <w:r w:rsidRPr="00FF2A7C">
        <w:rPr>
          <w:rFonts w:hint="eastAsia"/>
          <w:b/>
          <w:bCs/>
        </w:rPr>
        <w:t>2</w:t>
      </w:r>
      <w:r w:rsidRPr="00FF2A7C">
        <w:rPr>
          <w:rFonts w:hint="eastAsia"/>
          <w:b/>
          <w:bCs/>
        </w:rPr>
        <w:t>）</w:t>
      </w:r>
      <w:r w:rsidR="00FF2A7C" w:rsidRPr="00FF2A7C">
        <w:rPr>
          <w:rFonts w:hint="eastAsia"/>
          <w:b/>
          <w:bCs/>
        </w:rPr>
        <w:t>近零碳客货运枢纽（物流园区）建设试点</w:t>
      </w:r>
    </w:p>
    <w:p w14:paraId="79202CC7" w14:textId="3C8013DC" w:rsidR="008A2FDC" w:rsidRDefault="00AE0175" w:rsidP="00C830A5">
      <w:pPr>
        <w:ind w:firstLine="560"/>
      </w:pPr>
      <w:r w:rsidRPr="008A2FDC">
        <w:rPr>
          <w:rFonts w:hint="eastAsia"/>
        </w:rPr>
        <w:t>“</w:t>
      </w:r>
      <w:r w:rsidRPr="00AE0175">
        <w:rPr>
          <w:rFonts w:hint="eastAsia"/>
        </w:rPr>
        <w:t>近零碳客货运枢纽（物流园区）</w:t>
      </w:r>
      <w:r w:rsidRPr="008A2FDC">
        <w:rPr>
          <w:rFonts w:hint="eastAsia"/>
        </w:rPr>
        <w:t>”</w:t>
      </w:r>
      <w:r>
        <w:rPr>
          <w:rFonts w:hint="eastAsia"/>
        </w:rPr>
        <w:t>旨在</w:t>
      </w:r>
      <w:r w:rsidRPr="008A2FDC">
        <w:rPr>
          <w:rFonts w:hint="eastAsia"/>
        </w:rPr>
        <w:t>服务区运营期间，全年的能耗基本由场区产生的可再生能源提供，碳排放趋近于零。</w:t>
      </w:r>
      <w:r>
        <w:rPr>
          <w:rFonts w:hint="eastAsia"/>
        </w:rPr>
        <w:t>主要任务包括：</w:t>
      </w:r>
    </w:p>
    <w:p w14:paraId="36312633" w14:textId="2C9D0581" w:rsidR="00AE0175" w:rsidRDefault="00AE0175" w:rsidP="00AE0175">
      <w:pPr>
        <w:ind w:firstLine="562"/>
      </w:pPr>
      <w:r w:rsidRPr="00AE0175">
        <w:rPr>
          <w:rFonts w:hint="eastAsia"/>
          <w:b/>
          <w:bCs/>
        </w:rPr>
        <w:t>一是构建清洁能源体系。</w:t>
      </w:r>
      <w:r>
        <w:rPr>
          <w:rFonts w:hint="eastAsia"/>
        </w:rPr>
        <w:t>鼓励分布式能源技术、先进储能技术等在客运枢纽应用的应用，通过利用站房屋面布局光伏设备、安装地源热泵等措施，提升枢纽对光能、地热能等可再生能源的利用水平。提高枢纽中电能的使用率，降低煤炭、石油产品的使用率。</w:t>
      </w:r>
    </w:p>
    <w:p w14:paraId="2878CB44" w14:textId="0251A76F" w:rsidR="00AE0175" w:rsidRDefault="00AE0175" w:rsidP="00AE0175">
      <w:pPr>
        <w:ind w:firstLine="562"/>
      </w:pPr>
      <w:r w:rsidRPr="00AE0175">
        <w:rPr>
          <w:rFonts w:hint="eastAsia"/>
          <w:b/>
          <w:bCs/>
        </w:rPr>
        <w:t>二是加强低碳技术应用。</w:t>
      </w:r>
      <w:r>
        <w:rPr>
          <w:rFonts w:hint="eastAsia"/>
        </w:rPr>
        <w:t>引导客运枢纽建设采用绿色建筑技术与新型技能材料，加强外墙保温、门窗隔温等节能建设与改造。鼓励枢纽采用分区照明、智能温控等技术，利用节能灯具、节能空调、智能电梯、电气化供热设备等节能低碳设备，提高绿化面积，降低枢纽碳排放。</w:t>
      </w:r>
    </w:p>
    <w:p w14:paraId="46459B98" w14:textId="5A306E28" w:rsidR="00AE0175" w:rsidRDefault="00AE0175" w:rsidP="00AE0175">
      <w:pPr>
        <w:ind w:firstLine="562"/>
      </w:pPr>
      <w:r w:rsidRPr="00AE0175">
        <w:rPr>
          <w:rFonts w:hint="eastAsia"/>
          <w:b/>
          <w:bCs/>
        </w:rPr>
        <w:t>三是优化运输组织方式。</w:t>
      </w:r>
      <w:r>
        <w:rPr>
          <w:rFonts w:hint="eastAsia"/>
        </w:rPr>
        <w:t>推动客运枢纽与其他运输方式、城市公共交通共享交通功能空间，共用换乘设施设备。优化客运枢纽场区内车辆运行流线，完善客流高低峰时期枢纽站房内候乘空间调整优化模式。加快枢纽内建设充电桩、换电站等设施，引导购置新能源车辆。优化客运枢纽集疏运运力配置与多交通方式协同运行，提高枢纽旅客集散效率。</w:t>
      </w:r>
    </w:p>
    <w:p w14:paraId="73DCF990" w14:textId="1F6DFC83" w:rsidR="00AE0175" w:rsidRDefault="00AE0175" w:rsidP="00AE0175">
      <w:pPr>
        <w:ind w:firstLine="562"/>
      </w:pPr>
      <w:r w:rsidRPr="00AE0175">
        <w:rPr>
          <w:rFonts w:hint="eastAsia"/>
          <w:b/>
          <w:bCs/>
        </w:rPr>
        <w:t>四是加快智慧枢纽建设。</w:t>
      </w:r>
      <w:r>
        <w:rPr>
          <w:rFonts w:hint="eastAsia"/>
        </w:rPr>
        <w:t>推广应用道路客运电子客票，鼓励发展综合客运一体衔接的全程电子化服务模式，推动售取票、检票、安检、乘降、换乘、停车等客运服务“一码通行”。推动枢纽内旅客联程运</w:t>
      </w:r>
      <w:r>
        <w:rPr>
          <w:rFonts w:hint="eastAsia"/>
        </w:rPr>
        <w:lastRenderedPageBreak/>
        <w:t>输服务设施建设，鼓励建设智能联程导航、票务服务、安检互认、标识引导、换乘通道等服务设施，实现不同运输方式的有效衔接。</w:t>
      </w:r>
    </w:p>
    <w:p w14:paraId="1886C37A" w14:textId="2DC5206B" w:rsidR="00AE0175" w:rsidRDefault="00AE0175" w:rsidP="00AE0175">
      <w:pPr>
        <w:ind w:firstLine="562"/>
      </w:pPr>
      <w:r w:rsidRPr="00AE0175">
        <w:rPr>
          <w:rFonts w:hint="eastAsia"/>
          <w:b/>
          <w:bCs/>
        </w:rPr>
        <w:t>五是提升减排管理能力。</w:t>
      </w:r>
      <w:r>
        <w:rPr>
          <w:rFonts w:hint="eastAsia"/>
        </w:rPr>
        <w:t>建立客运枢纽减碳管理体系，健全企业能源管理、技术管理制度及操作规程。完善能耗及减排数据统计体系，提升枢纽节能减排降碳建能力。</w:t>
      </w:r>
    </w:p>
    <w:p w14:paraId="6382188D" w14:textId="2138B68C" w:rsidR="00B01D38" w:rsidRDefault="00AE0175" w:rsidP="00116736">
      <w:pPr>
        <w:ind w:firstLine="562"/>
        <w:outlineLvl w:val="3"/>
        <w:rPr>
          <w:b/>
          <w:bCs/>
        </w:rPr>
      </w:pPr>
      <w:r w:rsidRPr="00AE0175">
        <w:rPr>
          <w:rFonts w:hint="eastAsia"/>
          <w:b/>
          <w:bCs/>
        </w:rPr>
        <w:t>（</w:t>
      </w:r>
      <w:r w:rsidRPr="00AE0175">
        <w:rPr>
          <w:rFonts w:hint="eastAsia"/>
          <w:b/>
          <w:bCs/>
        </w:rPr>
        <w:t>3</w:t>
      </w:r>
      <w:r w:rsidRPr="00AE0175">
        <w:rPr>
          <w:rFonts w:hint="eastAsia"/>
          <w:b/>
          <w:bCs/>
        </w:rPr>
        <w:t>）零碳港口建设试点</w:t>
      </w:r>
    </w:p>
    <w:p w14:paraId="17BFE045" w14:textId="4BC6EC1D" w:rsidR="00E32473" w:rsidRDefault="00E32473" w:rsidP="00E32473">
      <w:pPr>
        <w:ind w:firstLine="560"/>
      </w:pPr>
      <w:r w:rsidRPr="00E32473">
        <w:rPr>
          <w:rFonts w:hint="eastAsia"/>
        </w:rPr>
        <w:t>以调整港口行业能源消费结构和提高能效为核心，通过提高使用清洁能源和可再生能源比例、推进节能低碳技术应用、优化改进生产工艺和组织方式等一系列切实有效的措施，大幅度降低碳排放，抵减碳足迹，实现港口零碳排放。</w:t>
      </w:r>
      <w:r>
        <w:rPr>
          <w:rFonts w:hint="eastAsia"/>
        </w:rPr>
        <w:t>主要任务包括：</w:t>
      </w:r>
    </w:p>
    <w:p w14:paraId="6862B9FE" w14:textId="4BD86B18" w:rsidR="00E32473" w:rsidRDefault="00E32473" w:rsidP="00E32473">
      <w:pPr>
        <w:ind w:firstLine="562"/>
      </w:pPr>
      <w:r w:rsidRPr="00116736">
        <w:rPr>
          <w:rFonts w:hint="eastAsia"/>
          <w:b/>
          <w:bCs/>
        </w:rPr>
        <w:t>一是构建清洁低碳的港口能源体系。</w:t>
      </w:r>
      <w:r>
        <w:rPr>
          <w:rFonts w:hint="eastAsia"/>
        </w:rPr>
        <w:t>调整能源消费结构。提升清洁能源和可再生能源利用比例，推动风电、光伏发电发展，因地制宜发展地热能、氢能等。推广清洁低碳的港作机械和运输装备，既有作业机械加大电气化改造力度，新购置或淘汰更新的港口作业机械要优先使用电力、新能源驱动。</w:t>
      </w:r>
    </w:p>
    <w:p w14:paraId="295CDF2A" w14:textId="7AAFE6FC" w:rsidR="00E32473" w:rsidRDefault="00E32473" w:rsidP="00E32473">
      <w:pPr>
        <w:ind w:firstLine="562"/>
      </w:pPr>
      <w:r w:rsidRPr="00116736">
        <w:rPr>
          <w:rFonts w:hint="eastAsia"/>
          <w:b/>
          <w:bCs/>
        </w:rPr>
        <w:t>二是推动可再生和清洁能源基础设施建设。</w:t>
      </w:r>
      <w:r>
        <w:rPr>
          <w:rFonts w:hint="eastAsia"/>
        </w:rPr>
        <w:t>根据区域条件和规划，推动发布式风力发电、光伏发电基础设施在港口的建设。加强港区供电、加气和加氢等配套基础设施建设。加快港口储能技术研发推广，鼓励港口分布式发电项目安装储能设施，提升供电灵活性和稳定性，达到港口能量“自平衡”。</w:t>
      </w:r>
    </w:p>
    <w:p w14:paraId="396469D2" w14:textId="66CA62D3" w:rsidR="00E32473" w:rsidRDefault="00116736" w:rsidP="00E32473">
      <w:pPr>
        <w:ind w:firstLine="562"/>
      </w:pPr>
      <w:r w:rsidRPr="00116736">
        <w:rPr>
          <w:rFonts w:hint="eastAsia"/>
          <w:b/>
          <w:bCs/>
        </w:rPr>
        <w:t>三是</w:t>
      </w:r>
      <w:r w:rsidR="00E32473" w:rsidRPr="00116736">
        <w:rPr>
          <w:rFonts w:hint="eastAsia"/>
          <w:b/>
          <w:bCs/>
        </w:rPr>
        <w:t>加大低碳技术推广应用。</w:t>
      </w:r>
      <w:r w:rsidR="00E32473">
        <w:rPr>
          <w:rFonts w:hint="eastAsia"/>
        </w:rPr>
        <w:t>根据港口实际，因地制宜，推广应用节能减排新技术、新装备，重点推广应用列入行业节能低碳目录的</w:t>
      </w:r>
      <w:r w:rsidR="00E32473">
        <w:rPr>
          <w:rFonts w:hint="eastAsia"/>
        </w:rPr>
        <w:lastRenderedPageBreak/>
        <w:t>节能低碳技术。积极推广应用电能回馈、变频控制、无功补偿等节能低碳先进技术和产品。</w:t>
      </w:r>
    </w:p>
    <w:p w14:paraId="493D4DC7" w14:textId="46916CC0" w:rsidR="00E32473" w:rsidRDefault="00116736" w:rsidP="00E32473">
      <w:pPr>
        <w:ind w:firstLine="562"/>
      </w:pPr>
      <w:r w:rsidRPr="00116736">
        <w:rPr>
          <w:rFonts w:hint="eastAsia"/>
          <w:b/>
          <w:bCs/>
        </w:rPr>
        <w:t>四是</w:t>
      </w:r>
      <w:r w:rsidR="00E32473" w:rsidRPr="00116736">
        <w:rPr>
          <w:rFonts w:hint="eastAsia"/>
          <w:b/>
          <w:bCs/>
        </w:rPr>
        <w:t>采用节能低碳设备产品。</w:t>
      </w:r>
      <w:r w:rsidR="00E32473">
        <w:rPr>
          <w:rFonts w:hint="eastAsia"/>
        </w:rPr>
        <w:t>全面推进节能型通用设备在港口的应用，变压器、泵、空调、风机等均采用国家标准规定的低能耗、高能效产品。照明系统采用</w:t>
      </w:r>
      <w:r w:rsidR="00E32473">
        <w:rPr>
          <w:rFonts w:hint="eastAsia"/>
        </w:rPr>
        <w:t>LED</w:t>
      </w:r>
      <w:r w:rsidR="00E32473">
        <w:rPr>
          <w:rFonts w:hint="eastAsia"/>
        </w:rPr>
        <w:t>等绿色照明灯具并实施智能化控制。鼓励可再生资源利用，供热采用地源热泵、空气源热泵、海水源热泵以及太阳能热水器等。</w:t>
      </w:r>
    </w:p>
    <w:p w14:paraId="5405D55E" w14:textId="24B35137" w:rsidR="00116736" w:rsidRDefault="00116736" w:rsidP="00E32473">
      <w:pPr>
        <w:ind w:firstLine="562"/>
      </w:pPr>
      <w:r w:rsidRPr="00116736">
        <w:rPr>
          <w:rFonts w:hint="eastAsia"/>
          <w:b/>
          <w:bCs/>
        </w:rPr>
        <w:t>五是改进码头装卸工艺系统。</w:t>
      </w:r>
      <w:r w:rsidRPr="00116736">
        <w:rPr>
          <w:rFonts w:hint="eastAsia"/>
        </w:rPr>
        <w:t>针对各类码头，优化工艺运输组织，使工艺系统各环节能力匹配，提高装卸效率、降低能耗。集装箱码头采用全场设备智能调度作业系统。干散货码头水平运输采用燃油流动机械改为电力流程化作业，实现作业工艺“油改电”。通用码头针对干散货或件杂货选择高效节能的工艺流程，使用专业工属具。鼓励实施集装箱和干散货的自动化工艺流程改造等。</w:t>
      </w:r>
    </w:p>
    <w:p w14:paraId="0E3F758A" w14:textId="05804501" w:rsidR="00116736" w:rsidRPr="00E32473" w:rsidRDefault="00116736" w:rsidP="00E32473">
      <w:pPr>
        <w:ind w:firstLine="562"/>
      </w:pPr>
      <w:r w:rsidRPr="00116736">
        <w:rPr>
          <w:rFonts w:hint="eastAsia"/>
          <w:b/>
          <w:bCs/>
        </w:rPr>
        <w:t>六是优化港口集疏运组织方式。</w:t>
      </w:r>
      <w:r w:rsidRPr="00116736">
        <w:rPr>
          <w:rFonts w:hint="eastAsia"/>
        </w:rPr>
        <w:t>港口货物集疏运尽量通过水路、铁路方式完成，压缩公路集疏运比例。优先安排铁路进港等优化港口集疏运的项目实施。大力发展铁水联运、江海联运、江海直达、水水中转等多式联运运输组织方式。</w:t>
      </w:r>
    </w:p>
    <w:sectPr w:rsidR="00116736" w:rsidRPr="00E32473" w:rsidSect="00B01D3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0F61E" w14:textId="77777777" w:rsidR="007A5567" w:rsidRDefault="007A5567" w:rsidP="003450F0">
      <w:pPr>
        <w:spacing w:line="240" w:lineRule="auto"/>
        <w:ind w:firstLine="560"/>
      </w:pPr>
      <w:r>
        <w:separator/>
      </w:r>
    </w:p>
  </w:endnote>
  <w:endnote w:type="continuationSeparator" w:id="0">
    <w:p w14:paraId="13009AB6" w14:textId="77777777" w:rsidR="007A5567" w:rsidRDefault="007A5567" w:rsidP="003450F0">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仿宋">
    <w:panose1 w:val="020B0604020202020204"/>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B0604020202020204"/>
    <w:charset w:val="86"/>
    <w:family w:val="modern"/>
    <w:pitch w:val="fixed"/>
    <w:sig w:usb0="800002BF" w:usb1="38CF7CFA" w:usb2="00000016" w:usb3="00000000" w:csb0="00040001" w:csb1="00000000"/>
  </w:font>
  <w:font w:name="方正小标宋简体">
    <w:altName w:val="Arial Unicode MS"/>
    <w:panose1 w:val="020B0604020202020204"/>
    <w:charset w:val="86"/>
    <w:family w:val="script"/>
    <w:pitch w:val="fixed"/>
    <w:sig w:usb0="00000001" w:usb1="080E0000" w:usb2="00000010" w:usb3="00000000" w:csb0="00040000" w:csb1="00000000"/>
  </w:font>
  <w:font w:name="仿宋_GB2312">
    <w:altName w:val="微软雅黑"/>
    <w:panose1 w:val="02010609030101010101"/>
    <w:charset w:val="86"/>
    <w:family w:val="modern"/>
    <w:pitch w:val="fixed"/>
    <w:sig w:usb0="00000001" w:usb1="080E0000" w:usb2="00000010" w:usb3="00000000" w:csb0="00040001" w:csb1="00000000"/>
  </w:font>
  <w:font w:name="微软雅黑">
    <w:panose1 w:val="020B0503020204020204"/>
    <w:charset w:val="86"/>
    <w:family w:val="swiss"/>
    <w:pitch w:val="variable"/>
    <w:sig w:usb0="80000287" w:usb1="28C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5F773" w14:textId="77777777" w:rsidR="002D32D5" w:rsidRDefault="002D32D5">
    <w:pPr>
      <w:pStyle w:val="a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3323018"/>
      <w:docPartObj>
        <w:docPartGallery w:val="Page Numbers (Bottom of Page)"/>
        <w:docPartUnique/>
      </w:docPartObj>
    </w:sdtPr>
    <w:sdtEndPr>
      <w:rPr>
        <w:sz w:val="21"/>
        <w:szCs w:val="21"/>
      </w:rPr>
    </w:sdtEndPr>
    <w:sdtContent>
      <w:p w14:paraId="7DDE9E3D" w14:textId="4AC56636" w:rsidR="002D32D5" w:rsidRPr="002402BE" w:rsidRDefault="002D32D5" w:rsidP="002402BE">
        <w:pPr>
          <w:pStyle w:val="ae"/>
          <w:ind w:firstLine="360"/>
          <w:jc w:val="center"/>
          <w:rPr>
            <w:sz w:val="21"/>
            <w:szCs w:val="21"/>
          </w:rPr>
        </w:pPr>
        <w:r w:rsidRPr="002402BE">
          <w:rPr>
            <w:sz w:val="21"/>
            <w:szCs w:val="21"/>
          </w:rPr>
          <w:fldChar w:fldCharType="begin"/>
        </w:r>
        <w:r w:rsidRPr="002402BE">
          <w:rPr>
            <w:sz w:val="21"/>
            <w:szCs w:val="21"/>
          </w:rPr>
          <w:instrText>PAGE   \* MERGEFORMAT</w:instrText>
        </w:r>
        <w:r w:rsidRPr="002402BE">
          <w:rPr>
            <w:sz w:val="21"/>
            <w:szCs w:val="21"/>
          </w:rPr>
          <w:fldChar w:fldCharType="separate"/>
        </w:r>
        <w:r w:rsidRPr="00E36DF6">
          <w:rPr>
            <w:noProof/>
            <w:sz w:val="21"/>
            <w:szCs w:val="21"/>
            <w:lang w:val="zh-CN"/>
          </w:rPr>
          <w:t>4</w:t>
        </w:r>
        <w:r w:rsidRPr="00E36DF6">
          <w:rPr>
            <w:noProof/>
            <w:sz w:val="21"/>
            <w:szCs w:val="21"/>
            <w:lang w:val="zh-CN"/>
          </w:rPr>
          <w:t>7</w:t>
        </w:r>
        <w:r w:rsidRPr="002402BE">
          <w:rPr>
            <w:sz w:val="21"/>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54B95" w14:textId="77777777" w:rsidR="002D32D5" w:rsidRDefault="002D32D5">
    <w:pPr>
      <w:pStyle w:val="a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0700F" w14:textId="77777777" w:rsidR="007A5567" w:rsidRDefault="007A5567" w:rsidP="003450F0">
      <w:pPr>
        <w:spacing w:line="240" w:lineRule="auto"/>
        <w:ind w:firstLine="560"/>
      </w:pPr>
      <w:r>
        <w:separator/>
      </w:r>
    </w:p>
  </w:footnote>
  <w:footnote w:type="continuationSeparator" w:id="0">
    <w:p w14:paraId="72F55A5B" w14:textId="77777777" w:rsidR="007A5567" w:rsidRDefault="007A5567" w:rsidP="003450F0">
      <w:pPr>
        <w:spacing w:line="240" w:lineRule="auto"/>
        <w:ind w:firstLine="560"/>
      </w:pPr>
      <w:r>
        <w:continuationSeparator/>
      </w:r>
    </w:p>
  </w:footnote>
  <w:footnote w:id="1">
    <w:p w14:paraId="25EC0D81" w14:textId="4A8AC15F" w:rsidR="002D32D5" w:rsidRPr="000759D0" w:rsidRDefault="002D32D5">
      <w:pPr>
        <w:pStyle w:val="a9"/>
        <w:ind w:firstLine="360"/>
      </w:pPr>
      <w:r w:rsidRPr="000759D0">
        <w:rPr>
          <w:rStyle w:val="ab"/>
          <w:vertAlign w:val="baseline"/>
        </w:rPr>
        <w:footnoteRef/>
      </w:r>
      <w:r w:rsidRPr="000759D0">
        <w:t xml:space="preserve"> </w:t>
      </w:r>
      <w:r>
        <w:rPr>
          <w:rFonts w:hint="eastAsia"/>
        </w:rPr>
        <w:t>现阶段文件还未发布，将</w:t>
      </w:r>
    </w:p>
  </w:footnote>
  <w:footnote w:id="2">
    <w:p w14:paraId="5E676981" w14:textId="77777777" w:rsidR="002D32D5" w:rsidRDefault="002D32D5" w:rsidP="003450F0">
      <w:pPr>
        <w:pStyle w:val="a9"/>
        <w:ind w:firstLine="360"/>
      </w:pPr>
      <w:r w:rsidRPr="00855F1E">
        <w:rPr>
          <w:rStyle w:val="ab"/>
          <w:vertAlign w:val="baseline"/>
        </w:rPr>
        <w:footnoteRef/>
      </w:r>
      <w:r w:rsidRPr="00855F1E">
        <w:t xml:space="preserve"> </w:t>
      </w:r>
      <w:r>
        <w:rPr>
          <w:rFonts w:hint="eastAsia"/>
        </w:rPr>
        <w:t>《中国交通低碳发展战略研究》</w:t>
      </w:r>
    </w:p>
  </w:footnote>
  <w:footnote w:id="3">
    <w:p w14:paraId="6231BA4D" w14:textId="1E22136C" w:rsidR="002D32D5" w:rsidRDefault="002D32D5">
      <w:pPr>
        <w:pStyle w:val="a9"/>
        <w:ind w:firstLine="360"/>
      </w:pPr>
      <w:r>
        <w:rPr>
          <w:rStyle w:val="ab"/>
        </w:rPr>
        <w:footnoteRef/>
      </w:r>
      <w:r>
        <w:t xml:space="preserve"> </w:t>
      </w:r>
      <w:r>
        <w:rPr>
          <w:rFonts w:hint="eastAsia"/>
        </w:rPr>
        <w:t>该量化指标的选取以双碳政策推演情景为例。</w:t>
      </w:r>
    </w:p>
  </w:footnote>
  <w:footnote w:id="4">
    <w:p w14:paraId="107B71AD" w14:textId="0D7F6496" w:rsidR="002D32D5" w:rsidRDefault="002D32D5">
      <w:pPr>
        <w:pStyle w:val="a9"/>
        <w:ind w:firstLine="360"/>
      </w:pPr>
      <w:r>
        <w:rPr>
          <w:rStyle w:val="ab"/>
        </w:rPr>
        <w:footnoteRef/>
      </w:r>
      <w:r>
        <w:t xml:space="preserve"> </w:t>
      </w:r>
      <w:r>
        <w:rPr>
          <w:rFonts w:hint="eastAsia"/>
        </w:rPr>
        <w:t>该量化指标的选取以双碳政策推演情景为例。</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04C32" w14:textId="77777777" w:rsidR="002D32D5" w:rsidRDefault="002D32D5">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BE7BB" w14:textId="77777777" w:rsidR="002D32D5" w:rsidRDefault="002D32D5" w:rsidP="002402BE">
    <w:pPr>
      <w:pStyle w:val="ac"/>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08D91" w14:textId="77777777" w:rsidR="002D32D5" w:rsidRDefault="002D32D5" w:rsidP="00C718FF">
    <w:pPr>
      <w:pStyle w:val="ac"/>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7D44"/>
    <w:multiLevelType w:val="hybridMultilevel"/>
    <w:tmpl w:val="C302D4AE"/>
    <w:lvl w:ilvl="0" w:tplc="180CF07C">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 w15:restartNumberingAfterBreak="0">
    <w:nsid w:val="1C7C7C93"/>
    <w:multiLevelType w:val="hybridMultilevel"/>
    <w:tmpl w:val="878CA540"/>
    <w:lvl w:ilvl="0" w:tplc="180CF07C">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 w15:restartNumberingAfterBreak="0">
    <w:nsid w:val="1CB8786A"/>
    <w:multiLevelType w:val="hybridMultilevel"/>
    <w:tmpl w:val="864A3CFE"/>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 w15:restartNumberingAfterBreak="0">
    <w:nsid w:val="1E392326"/>
    <w:multiLevelType w:val="hybridMultilevel"/>
    <w:tmpl w:val="366ACDCA"/>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 w15:restartNumberingAfterBreak="0">
    <w:nsid w:val="24AA58F4"/>
    <w:multiLevelType w:val="hybridMultilevel"/>
    <w:tmpl w:val="C5C0D030"/>
    <w:lvl w:ilvl="0" w:tplc="180CF07C">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5" w15:restartNumberingAfterBreak="0">
    <w:nsid w:val="26216C04"/>
    <w:multiLevelType w:val="hybridMultilevel"/>
    <w:tmpl w:val="5E2420DC"/>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6" w15:restartNumberingAfterBreak="0">
    <w:nsid w:val="306132B0"/>
    <w:multiLevelType w:val="hybridMultilevel"/>
    <w:tmpl w:val="6ED69AE6"/>
    <w:lvl w:ilvl="0" w:tplc="180CF07C">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7" w15:restartNumberingAfterBreak="0">
    <w:nsid w:val="333A6641"/>
    <w:multiLevelType w:val="hybridMultilevel"/>
    <w:tmpl w:val="39304D5C"/>
    <w:lvl w:ilvl="0" w:tplc="180CF07C">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8" w15:restartNumberingAfterBreak="0">
    <w:nsid w:val="366339F6"/>
    <w:multiLevelType w:val="hybridMultilevel"/>
    <w:tmpl w:val="64C68FD8"/>
    <w:lvl w:ilvl="0" w:tplc="180CF07C">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9" w15:restartNumberingAfterBreak="0">
    <w:nsid w:val="47820406"/>
    <w:multiLevelType w:val="hybridMultilevel"/>
    <w:tmpl w:val="1FFC6742"/>
    <w:lvl w:ilvl="0" w:tplc="180CF07C">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0" w15:restartNumberingAfterBreak="0">
    <w:nsid w:val="4BE146E3"/>
    <w:multiLevelType w:val="hybridMultilevel"/>
    <w:tmpl w:val="4CD6337C"/>
    <w:lvl w:ilvl="0" w:tplc="180CF07C">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1" w15:restartNumberingAfterBreak="0">
    <w:nsid w:val="55822C00"/>
    <w:multiLevelType w:val="hybridMultilevel"/>
    <w:tmpl w:val="B93491FA"/>
    <w:lvl w:ilvl="0" w:tplc="180CF07C">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2" w15:restartNumberingAfterBreak="0">
    <w:nsid w:val="57FF11F4"/>
    <w:multiLevelType w:val="hybridMultilevel"/>
    <w:tmpl w:val="C9AEAA0E"/>
    <w:lvl w:ilvl="0" w:tplc="180CF07C">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3" w15:restartNumberingAfterBreak="0">
    <w:nsid w:val="613277B0"/>
    <w:multiLevelType w:val="hybridMultilevel"/>
    <w:tmpl w:val="31BAF77C"/>
    <w:lvl w:ilvl="0" w:tplc="180CF07C">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4" w15:restartNumberingAfterBreak="0">
    <w:nsid w:val="65D90A57"/>
    <w:multiLevelType w:val="hybridMultilevel"/>
    <w:tmpl w:val="DCA0757C"/>
    <w:lvl w:ilvl="0" w:tplc="180CF07C">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5" w15:restartNumberingAfterBreak="0">
    <w:nsid w:val="6F850AFE"/>
    <w:multiLevelType w:val="hybridMultilevel"/>
    <w:tmpl w:val="B712A640"/>
    <w:lvl w:ilvl="0" w:tplc="180CF07C">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6" w15:restartNumberingAfterBreak="0">
    <w:nsid w:val="79405D3F"/>
    <w:multiLevelType w:val="hybridMultilevel"/>
    <w:tmpl w:val="F216B84C"/>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num w:numId="1">
    <w:abstractNumId w:val="1"/>
  </w:num>
  <w:num w:numId="2">
    <w:abstractNumId w:val="8"/>
  </w:num>
  <w:num w:numId="3">
    <w:abstractNumId w:val="0"/>
  </w:num>
  <w:num w:numId="4">
    <w:abstractNumId w:val="4"/>
  </w:num>
  <w:num w:numId="5">
    <w:abstractNumId w:val="13"/>
  </w:num>
  <w:num w:numId="6">
    <w:abstractNumId w:val="15"/>
  </w:num>
  <w:num w:numId="7">
    <w:abstractNumId w:val="12"/>
  </w:num>
  <w:num w:numId="8">
    <w:abstractNumId w:val="14"/>
  </w:num>
  <w:num w:numId="9">
    <w:abstractNumId w:val="11"/>
  </w:num>
  <w:num w:numId="10">
    <w:abstractNumId w:val="16"/>
  </w:num>
  <w:num w:numId="11">
    <w:abstractNumId w:val="3"/>
  </w:num>
  <w:num w:numId="12">
    <w:abstractNumId w:val="2"/>
  </w:num>
  <w:num w:numId="13">
    <w:abstractNumId w:val="5"/>
  </w:num>
  <w:num w:numId="14">
    <w:abstractNumId w:val="7"/>
  </w:num>
  <w:num w:numId="15">
    <w:abstractNumId w:val="6"/>
  </w:num>
  <w:num w:numId="16">
    <w:abstractNumId w:val="9"/>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bordersDoNotSurroundHeader/>
  <w:bordersDoNotSurroundFooter/>
  <w:proofState w:spelling="clean" w:grammar="clean"/>
  <w:defaultTabStop w:val="420"/>
  <w:drawingGridHorizontalSpacing w:val="140"/>
  <w:drawingGridVerticalSpacing w:val="381"/>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BE"/>
    <w:rsid w:val="000000F6"/>
    <w:rsid w:val="00000106"/>
    <w:rsid w:val="00010735"/>
    <w:rsid w:val="00011A60"/>
    <w:rsid w:val="00014DC8"/>
    <w:rsid w:val="00015E87"/>
    <w:rsid w:val="00033DDB"/>
    <w:rsid w:val="00046F77"/>
    <w:rsid w:val="00051439"/>
    <w:rsid w:val="0005429A"/>
    <w:rsid w:val="00055AAF"/>
    <w:rsid w:val="00057973"/>
    <w:rsid w:val="00061538"/>
    <w:rsid w:val="0006389B"/>
    <w:rsid w:val="00065AE0"/>
    <w:rsid w:val="000661BA"/>
    <w:rsid w:val="000667A9"/>
    <w:rsid w:val="00066A9B"/>
    <w:rsid w:val="000735B3"/>
    <w:rsid w:val="000759D0"/>
    <w:rsid w:val="00075A99"/>
    <w:rsid w:val="00076963"/>
    <w:rsid w:val="00076E33"/>
    <w:rsid w:val="00081B36"/>
    <w:rsid w:val="00083ABA"/>
    <w:rsid w:val="00084E31"/>
    <w:rsid w:val="000A42B5"/>
    <w:rsid w:val="000B411A"/>
    <w:rsid w:val="000B7F9E"/>
    <w:rsid w:val="000C34F3"/>
    <w:rsid w:val="000C5216"/>
    <w:rsid w:val="000C54EB"/>
    <w:rsid w:val="000C74DD"/>
    <w:rsid w:val="000D282C"/>
    <w:rsid w:val="000D2A41"/>
    <w:rsid w:val="000D4288"/>
    <w:rsid w:val="000D698D"/>
    <w:rsid w:val="000E68D4"/>
    <w:rsid w:val="000E6A2F"/>
    <w:rsid w:val="000F04F3"/>
    <w:rsid w:val="000F126E"/>
    <w:rsid w:val="000F1A22"/>
    <w:rsid w:val="000F1FDC"/>
    <w:rsid w:val="000F6128"/>
    <w:rsid w:val="000F7B83"/>
    <w:rsid w:val="001053E1"/>
    <w:rsid w:val="00105924"/>
    <w:rsid w:val="00107073"/>
    <w:rsid w:val="00116736"/>
    <w:rsid w:val="00117A76"/>
    <w:rsid w:val="001306A3"/>
    <w:rsid w:val="00130815"/>
    <w:rsid w:val="00132711"/>
    <w:rsid w:val="00134113"/>
    <w:rsid w:val="001425ED"/>
    <w:rsid w:val="00143DF1"/>
    <w:rsid w:val="001462ED"/>
    <w:rsid w:val="00156484"/>
    <w:rsid w:val="00156967"/>
    <w:rsid w:val="001576EC"/>
    <w:rsid w:val="001800AD"/>
    <w:rsid w:val="001815B2"/>
    <w:rsid w:val="00182F2C"/>
    <w:rsid w:val="00194086"/>
    <w:rsid w:val="001958F7"/>
    <w:rsid w:val="00196AD5"/>
    <w:rsid w:val="0019726A"/>
    <w:rsid w:val="00197980"/>
    <w:rsid w:val="00197DA3"/>
    <w:rsid w:val="001A45C9"/>
    <w:rsid w:val="001A4D1A"/>
    <w:rsid w:val="001B238A"/>
    <w:rsid w:val="001C28D8"/>
    <w:rsid w:val="001D3698"/>
    <w:rsid w:val="001D6245"/>
    <w:rsid w:val="001D7233"/>
    <w:rsid w:val="001E22FE"/>
    <w:rsid w:val="001E4E5E"/>
    <w:rsid w:val="001F293F"/>
    <w:rsid w:val="001F5D77"/>
    <w:rsid w:val="00204D74"/>
    <w:rsid w:val="00211173"/>
    <w:rsid w:val="00211659"/>
    <w:rsid w:val="002116C3"/>
    <w:rsid w:val="002170D4"/>
    <w:rsid w:val="0022226F"/>
    <w:rsid w:val="0022730C"/>
    <w:rsid w:val="00230375"/>
    <w:rsid w:val="00230E77"/>
    <w:rsid w:val="002402BE"/>
    <w:rsid w:val="00251CBD"/>
    <w:rsid w:val="00266EA7"/>
    <w:rsid w:val="00274ACF"/>
    <w:rsid w:val="002827C1"/>
    <w:rsid w:val="002A2046"/>
    <w:rsid w:val="002A247A"/>
    <w:rsid w:val="002A4997"/>
    <w:rsid w:val="002B29A1"/>
    <w:rsid w:val="002C66CB"/>
    <w:rsid w:val="002D32D5"/>
    <w:rsid w:val="002D50E0"/>
    <w:rsid w:val="002E2707"/>
    <w:rsid w:val="002F092D"/>
    <w:rsid w:val="002F72CC"/>
    <w:rsid w:val="00302CAB"/>
    <w:rsid w:val="003108A3"/>
    <w:rsid w:val="00315EF0"/>
    <w:rsid w:val="00321486"/>
    <w:rsid w:val="003307F8"/>
    <w:rsid w:val="00330DA2"/>
    <w:rsid w:val="00331183"/>
    <w:rsid w:val="00332C26"/>
    <w:rsid w:val="00342777"/>
    <w:rsid w:val="0034368D"/>
    <w:rsid w:val="003439AF"/>
    <w:rsid w:val="003439F3"/>
    <w:rsid w:val="003450F0"/>
    <w:rsid w:val="00346692"/>
    <w:rsid w:val="00347FBA"/>
    <w:rsid w:val="00360B58"/>
    <w:rsid w:val="00361F3E"/>
    <w:rsid w:val="00371801"/>
    <w:rsid w:val="0037696F"/>
    <w:rsid w:val="0039386D"/>
    <w:rsid w:val="00396A93"/>
    <w:rsid w:val="003A040E"/>
    <w:rsid w:val="003A4233"/>
    <w:rsid w:val="003A7441"/>
    <w:rsid w:val="003B0AAE"/>
    <w:rsid w:val="003B2DBE"/>
    <w:rsid w:val="003B634E"/>
    <w:rsid w:val="003C0A0C"/>
    <w:rsid w:val="003C61B3"/>
    <w:rsid w:val="003C6C74"/>
    <w:rsid w:val="003C70FC"/>
    <w:rsid w:val="003E2495"/>
    <w:rsid w:val="003E5CA6"/>
    <w:rsid w:val="003F16FD"/>
    <w:rsid w:val="003F2DB9"/>
    <w:rsid w:val="003F657D"/>
    <w:rsid w:val="00403235"/>
    <w:rsid w:val="00410B2B"/>
    <w:rsid w:val="004169E4"/>
    <w:rsid w:val="0042567B"/>
    <w:rsid w:val="00430050"/>
    <w:rsid w:val="00430B66"/>
    <w:rsid w:val="0043252B"/>
    <w:rsid w:val="00432B50"/>
    <w:rsid w:val="00440B86"/>
    <w:rsid w:val="004502FA"/>
    <w:rsid w:val="00450D4A"/>
    <w:rsid w:val="00454984"/>
    <w:rsid w:val="00457D2F"/>
    <w:rsid w:val="00463609"/>
    <w:rsid w:val="00463CD8"/>
    <w:rsid w:val="00464048"/>
    <w:rsid w:val="00466ACB"/>
    <w:rsid w:val="00471B96"/>
    <w:rsid w:val="004740A9"/>
    <w:rsid w:val="004753DD"/>
    <w:rsid w:val="00484809"/>
    <w:rsid w:val="00485D67"/>
    <w:rsid w:val="00487D13"/>
    <w:rsid w:val="004905DB"/>
    <w:rsid w:val="0049412E"/>
    <w:rsid w:val="00495167"/>
    <w:rsid w:val="00495975"/>
    <w:rsid w:val="0049707F"/>
    <w:rsid w:val="004A5413"/>
    <w:rsid w:val="004B1381"/>
    <w:rsid w:val="004C4D49"/>
    <w:rsid w:val="004D1BA5"/>
    <w:rsid w:val="004D4495"/>
    <w:rsid w:val="004D4E1C"/>
    <w:rsid w:val="004D6CA0"/>
    <w:rsid w:val="004E3C75"/>
    <w:rsid w:val="004E604F"/>
    <w:rsid w:val="004E7327"/>
    <w:rsid w:val="004F2373"/>
    <w:rsid w:val="005004EF"/>
    <w:rsid w:val="005059F6"/>
    <w:rsid w:val="00505CAA"/>
    <w:rsid w:val="005130A8"/>
    <w:rsid w:val="005161D5"/>
    <w:rsid w:val="00520969"/>
    <w:rsid w:val="00520F50"/>
    <w:rsid w:val="00522EE0"/>
    <w:rsid w:val="005236CE"/>
    <w:rsid w:val="00524562"/>
    <w:rsid w:val="00525EC7"/>
    <w:rsid w:val="00526514"/>
    <w:rsid w:val="00527A69"/>
    <w:rsid w:val="005342DC"/>
    <w:rsid w:val="005356F4"/>
    <w:rsid w:val="0053737F"/>
    <w:rsid w:val="00546874"/>
    <w:rsid w:val="00552DA0"/>
    <w:rsid w:val="00560FB1"/>
    <w:rsid w:val="00562B60"/>
    <w:rsid w:val="00562E68"/>
    <w:rsid w:val="00563861"/>
    <w:rsid w:val="00567322"/>
    <w:rsid w:val="00567DF4"/>
    <w:rsid w:val="00570F7F"/>
    <w:rsid w:val="00573931"/>
    <w:rsid w:val="00575327"/>
    <w:rsid w:val="00590072"/>
    <w:rsid w:val="00591567"/>
    <w:rsid w:val="00594BD0"/>
    <w:rsid w:val="005950C4"/>
    <w:rsid w:val="0059548B"/>
    <w:rsid w:val="00596C78"/>
    <w:rsid w:val="00597F8C"/>
    <w:rsid w:val="005B536E"/>
    <w:rsid w:val="005C6ECA"/>
    <w:rsid w:val="005C7324"/>
    <w:rsid w:val="005D2FFD"/>
    <w:rsid w:val="005D4B29"/>
    <w:rsid w:val="005D59BD"/>
    <w:rsid w:val="005D6537"/>
    <w:rsid w:val="005E04F0"/>
    <w:rsid w:val="005E1E4C"/>
    <w:rsid w:val="005E5087"/>
    <w:rsid w:val="005E55A5"/>
    <w:rsid w:val="005E6A04"/>
    <w:rsid w:val="005F5771"/>
    <w:rsid w:val="00601353"/>
    <w:rsid w:val="00602CA8"/>
    <w:rsid w:val="006071A8"/>
    <w:rsid w:val="00617557"/>
    <w:rsid w:val="006231F2"/>
    <w:rsid w:val="0062514F"/>
    <w:rsid w:val="0062581E"/>
    <w:rsid w:val="00631D2E"/>
    <w:rsid w:val="00634C92"/>
    <w:rsid w:val="006363C0"/>
    <w:rsid w:val="00637811"/>
    <w:rsid w:val="00643372"/>
    <w:rsid w:val="006452CE"/>
    <w:rsid w:val="00652BEE"/>
    <w:rsid w:val="0065407E"/>
    <w:rsid w:val="00673B77"/>
    <w:rsid w:val="00674CEF"/>
    <w:rsid w:val="006917F6"/>
    <w:rsid w:val="00695638"/>
    <w:rsid w:val="006A16B2"/>
    <w:rsid w:val="006A60A9"/>
    <w:rsid w:val="006C43F0"/>
    <w:rsid w:val="006C4586"/>
    <w:rsid w:val="006C5388"/>
    <w:rsid w:val="006D1603"/>
    <w:rsid w:val="006E36D0"/>
    <w:rsid w:val="006E4D84"/>
    <w:rsid w:val="006F4F53"/>
    <w:rsid w:val="006F6DA0"/>
    <w:rsid w:val="006F721F"/>
    <w:rsid w:val="00706FC4"/>
    <w:rsid w:val="0071644D"/>
    <w:rsid w:val="007164A2"/>
    <w:rsid w:val="00720211"/>
    <w:rsid w:val="007234E3"/>
    <w:rsid w:val="00725C50"/>
    <w:rsid w:val="00726C62"/>
    <w:rsid w:val="00732D83"/>
    <w:rsid w:val="00732E35"/>
    <w:rsid w:val="00754E72"/>
    <w:rsid w:val="00754E8E"/>
    <w:rsid w:val="00755DFF"/>
    <w:rsid w:val="00756103"/>
    <w:rsid w:val="007616A1"/>
    <w:rsid w:val="00770DEC"/>
    <w:rsid w:val="0077335C"/>
    <w:rsid w:val="0077344D"/>
    <w:rsid w:val="007737A1"/>
    <w:rsid w:val="0077507F"/>
    <w:rsid w:val="00775097"/>
    <w:rsid w:val="007767B9"/>
    <w:rsid w:val="00782014"/>
    <w:rsid w:val="0079124C"/>
    <w:rsid w:val="00791FB2"/>
    <w:rsid w:val="007A5567"/>
    <w:rsid w:val="007A5571"/>
    <w:rsid w:val="007B0949"/>
    <w:rsid w:val="007B1C4A"/>
    <w:rsid w:val="007B2D37"/>
    <w:rsid w:val="007C1993"/>
    <w:rsid w:val="007C3391"/>
    <w:rsid w:val="007C760A"/>
    <w:rsid w:val="007C7D87"/>
    <w:rsid w:val="007D05CA"/>
    <w:rsid w:val="007D5EF4"/>
    <w:rsid w:val="007E6BB4"/>
    <w:rsid w:val="00806ACA"/>
    <w:rsid w:val="008102C6"/>
    <w:rsid w:val="0081187F"/>
    <w:rsid w:val="0081609E"/>
    <w:rsid w:val="008277C7"/>
    <w:rsid w:val="00832BEC"/>
    <w:rsid w:val="00835D2B"/>
    <w:rsid w:val="0084017B"/>
    <w:rsid w:val="00842281"/>
    <w:rsid w:val="00843C18"/>
    <w:rsid w:val="00846313"/>
    <w:rsid w:val="00851ED8"/>
    <w:rsid w:val="00852FE0"/>
    <w:rsid w:val="00855F1E"/>
    <w:rsid w:val="008568AB"/>
    <w:rsid w:val="008653AF"/>
    <w:rsid w:val="00870C01"/>
    <w:rsid w:val="008718F4"/>
    <w:rsid w:val="0087740E"/>
    <w:rsid w:val="00877BF6"/>
    <w:rsid w:val="00882877"/>
    <w:rsid w:val="0088725B"/>
    <w:rsid w:val="008905E6"/>
    <w:rsid w:val="0089198D"/>
    <w:rsid w:val="0089556D"/>
    <w:rsid w:val="00896A97"/>
    <w:rsid w:val="00896C90"/>
    <w:rsid w:val="008A2FDC"/>
    <w:rsid w:val="008B0CDE"/>
    <w:rsid w:val="008B45DB"/>
    <w:rsid w:val="008B6E9B"/>
    <w:rsid w:val="008C4142"/>
    <w:rsid w:val="008D23AA"/>
    <w:rsid w:val="008D312A"/>
    <w:rsid w:val="008D6DB7"/>
    <w:rsid w:val="008E25D8"/>
    <w:rsid w:val="008E4BB8"/>
    <w:rsid w:val="008E6B4F"/>
    <w:rsid w:val="008F70BF"/>
    <w:rsid w:val="00912FB8"/>
    <w:rsid w:val="00913264"/>
    <w:rsid w:val="0091402F"/>
    <w:rsid w:val="009176E2"/>
    <w:rsid w:val="00917F84"/>
    <w:rsid w:val="0093405E"/>
    <w:rsid w:val="009440CE"/>
    <w:rsid w:val="0094728D"/>
    <w:rsid w:val="00950359"/>
    <w:rsid w:val="00957D5B"/>
    <w:rsid w:val="00965B48"/>
    <w:rsid w:val="00973122"/>
    <w:rsid w:val="009774CB"/>
    <w:rsid w:val="0098310A"/>
    <w:rsid w:val="009838A4"/>
    <w:rsid w:val="009869C5"/>
    <w:rsid w:val="00991E65"/>
    <w:rsid w:val="009926FE"/>
    <w:rsid w:val="0099323E"/>
    <w:rsid w:val="009970D0"/>
    <w:rsid w:val="00997FCB"/>
    <w:rsid w:val="009A5481"/>
    <w:rsid w:val="009B7C90"/>
    <w:rsid w:val="009C2454"/>
    <w:rsid w:val="009E09F3"/>
    <w:rsid w:val="009E13FB"/>
    <w:rsid w:val="009E3989"/>
    <w:rsid w:val="009E407E"/>
    <w:rsid w:val="00A009D2"/>
    <w:rsid w:val="00A15D68"/>
    <w:rsid w:val="00A20FBA"/>
    <w:rsid w:val="00A21B75"/>
    <w:rsid w:val="00A276AD"/>
    <w:rsid w:val="00A31980"/>
    <w:rsid w:val="00A32D7C"/>
    <w:rsid w:val="00A568C4"/>
    <w:rsid w:val="00A7330C"/>
    <w:rsid w:val="00A75483"/>
    <w:rsid w:val="00A754D1"/>
    <w:rsid w:val="00A81C75"/>
    <w:rsid w:val="00A83CC7"/>
    <w:rsid w:val="00A84199"/>
    <w:rsid w:val="00A8551D"/>
    <w:rsid w:val="00A97F61"/>
    <w:rsid w:val="00AA5D59"/>
    <w:rsid w:val="00AA6853"/>
    <w:rsid w:val="00AA68F0"/>
    <w:rsid w:val="00AB1A75"/>
    <w:rsid w:val="00AB2B66"/>
    <w:rsid w:val="00AB2C23"/>
    <w:rsid w:val="00AB54DA"/>
    <w:rsid w:val="00AB65E5"/>
    <w:rsid w:val="00AC0406"/>
    <w:rsid w:val="00AC0B93"/>
    <w:rsid w:val="00AC57BF"/>
    <w:rsid w:val="00AC68B8"/>
    <w:rsid w:val="00AD3003"/>
    <w:rsid w:val="00AE0175"/>
    <w:rsid w:val="00AE6586"/>
    <w:rsid w:val="00AF13DA"/>
    <w:rsid w:val="00AF191B"/>
    <w:rsid w:val="00AF1BA6"/>
    <w:rsid w:val="00AF5809"/>
    <w:rsid w:val="00AF58E9"/>
    <w:rsid w:val="00AF6138"/>
    <w:rsid w:val="00AF7522"/>
    <w:rsid w:val="00B01D38"/>
    <w:rsid w:val="00B05649"/>
    <w:rsid w:val="00B11DB5"/>
    <w:rsid w:val="00B13C98"/>
    <w:rsid w:val="00B14EE4"/>
    <w:rsid w:val="00B177EA"/>
    <w:rsid w:val="00B25539"/>
    <w:rsid w:val="00B31EB2"/>
    <w:rsid w:val="00B430B8"/>
    <w:rsid w:val="00B46E12"/>
    <w:rsid w:val="00B477B2"/>
    <w:rsid w:val="00B526E1"/>
    <w:rsid w:val="00B52C65"/>
    <w:rsid w:val="00B53B8E"/>
    <w:rsid w:val="00B53EED"/>
    <w:rsid w:val="00B61B8A"/>
    <w:rsid w:val="00B62169"/>
    <w:rsid w:val="00B6608B"/>
    <w:rsid w:val="00B67063"/>
    <w:rsid w:val="00B8363E"/>
    <w:rsid w:val="00B91820"/>
    <w:rsid w:val="00B93A8F"/>
    <w:rsid w:val="00B9426C"/>
    <w:rsid w:val="00B94391"/>
    <w:rsid w:val="00BA14E2"/>
    <w:rsid w:val="00BA40FC"/>
    <w:rsid w:val="00BA5AAB"/>
    <w:rsid w:val="00BA61E9"/>
    <w:rsid w:val="00BB5ED0"/>
    <w:rsid w:val="00BC2EF6"/>
    <w:rsid w:val="00BC4F79"/>
    <w:rsid w:val="00BC5076"/>
    <w:rsid w:val="00BC57A1"/>
    <w:rsid w:val="00BC69CF"/>
    <w:rsid w:val="00BC7D46"/>
    <w:rsid w:val="00BD0811"/>
    <w:rsid w:val="00BD2EBA"/>
    <w:rsid w:val="00BD452C"/>
    <w:rsid w:val="00BE1511"/>
    <w:rsid w:val="00BE2AD8"/>
    <w:rsid w:val="00BE5A06"/>
    <w:rsid w:val="00C006C0"/>
    <w:rsid w:val="00C3292A"/>
    <w:rsid w:val="00C358BB"/>
    <w:rsid w:val="00C37525"/>
    <w:rsid w:val="00C41219"/>
    <w:rsid w:val="00C50A5E"/>
    <w:rsid w:val="00C5210F"/>
    <w:rsid w:val="00C54076"/>
    <w:rsid w:val="00C54874"/>
    <w:rsid w:val="00C603FF"/>
    <w:rsid w:val="00C623FB"/>
    <w:rsid w:val="00C661DD"/>
    <w:rsid w:val="00C718FF"/>
    <w:rsid w:val="00C72625"/>
    <w:rsid w:val="00C73530"/>
    <w:rsid w:val="00C830A5"/>
    <w:rsid w:val="00C843BE"/>
    <w:rsid w:val="00C84468"/>
    <w:rsid w:val="00C91B8F"/>
    <w:rsid w:val="00C946A1"/>
    <w:rsid w:val="00CA2606"/>
    <w:rsid w:val="00CA30F3"/>
    <w:rsid w:val="00CA4D67"/>
    <w:rsid w:val="00CA54C2"/>
    <w:rsid w:val="00CB29CD"/>
    <w:rsid w:val="00CC0650"/>
    <w:rsid w:val="00CD29F3"/>
    <w:rsid w:val="00CD32C3"/>
    <w:rsid w:val="00CD564A"/>
    <w:rsid w:val="00CD787E"/>
    <w:rsid w:val="00D015E1"/>
    <w:rsid w:val="00D03755"/>
    <w:rsid w:val="00D03E2B"/>
    <w:rsid w:val="00D1039F"/>
    <w:rsid w:val="00D14D26"/>
    <w:rsid w:val="00D155E5"/>
    <w:rsid w:val="00D3584B"/>
    <w:rsid w:val="00D35F51"/>
    <w:rsid w:val="00D45EA6"/>
    <w:rsid w:val="00D473E3"/>
    <w:rsid w:val="00D502D0"/>
    <w:rsid w:val="00D51E10"/>
    <w:rsid w:val="00D56C6B"/>
    <w:rsid w:val="00D576E2"/>
    <w:rsid w:val="00D6698A"/>
    <w:rsid w:val="00D67C85"/>
    <w:rsid w:val="00D72451"/>
    <w:rsid w:val="00D91C8D"/>
    <w:rsid w:val="00D92673"/>
    <w:rsid w:val="00D94219"/>
    <w:rsid w:val="00D94E2F"/>
    <w:rsid w:val="00DA170F"/>
    <w:rsid w:val="00DB1C9B"/>
    <w:rsid w:val="00DB4174"/>
    <w:rsid w:val="00DB5A8A"/>
    <w:rsid w:val="00DB7045"/>
    <w:rsid w:val="00DC6733"/>
    <w:rsid w:val="00DC67F8"/>
    <w:rsid w:val="00DC6E9C"/>
    <w:rsid w:val="00DD0455"/>
    <w:rsid w:val="00DD5236"/>
    <w:rsid w:val="00DE1486"/>
    <w:rsid w:val="00DE4766"/>
    <w:rsid w:val="00DE4C35"/>
    <w:rsid w:val="00E0027A"/>
    <w:rsid w:val="00E04B14"/>
    <w:rsid w:val="00E05307"/>
    <w:rsid w:val="00E06120"/>
    <w:rsid w:val="00E064CD"/>
    <w:rsid w:val="00E16B9F"/>
    <w:rsid w:val="00E27D80"/>
    <w:rsid w:val="00E32395"/>
    <w:rsid w:val="00E32473"/>
    <w:rsid w:val="00E36DF6"/>
    <w:rsid w:val="00E44B2B"/>
    <w:rsid w:val="00E44C45"/>
    <w:rsid w:val="00E47F27"/>
    <w:rsid w:val="00E514BB"/>
    <w:rsid w:val="00E64647"/>
    <w:rsid w:val="00E66547"/>
    <w:rsid w:val="00E66F9F"/>
    <w:rsid w:val="00E728E4"/>
    <w:rsid w:val="00E75044"/>
    <w:rsid w:val="00E83F84"/>
    <w:rsid w:val="00E86CDC"/>
    <w:rsid w:val="00E91F9C"/>
    <w:rsid w:val="00E9306D"/>
    <w:rsid w:val="00E95BCF"/>
    <w:rsid w:val="00E96CC9"/>
    <w:rsid w:val="00EA0370"/>
    <w:rsid w:val="00EA4FCC"/>
    <w:rsid w:val="00EA597E"/>
    <w:rsid w:val="00EA5BFE"/>
    <w:rsid w:val="00EB2831"/>
    <w:rsid w:val="00EC1F4E"/>
    <w:rsid w:val="00EC5145"/>
    <w:rsid w:val="00ED1809"/>
    <w:rsid w:val="00ED2758"/>
    <w:rsid w:val="00EE1A62"/>
    <w:rsid w:val="00EE4C44"/>
    <w:rsid w:val="00F064DD"/>
    <w:rsid w:val="00F13AAB"/>
    <w:rsid w:val="00F15CAA"/>
    <w:rsid w:val="00F166AF"/>
    <w:rsid w:val="00F20C18"/>
    <w:rsid w:val="00F232B2"/>
    <w:rsid w:val="00F26F66"/>
    <w:rsid w:val="00F371A5"/>
    <w:rsid w:val="00F45CB1"/>
    <w:rsid w:val="00F46FFF"/>
    <w:rsid w:val="00F47F1D"/>
    <w:rsid w:val="00F616FD"/>
    <w:rsid w:val="00F6192D"/>
    <w:rsid w:val="00F667D7"/>
    <w:rsid w:val="00F76685"/>
    <w:rsid w:val="00FA2999"/>
    <w:rsid w:val="00FA3908"/>
    <w:rsid w:val="00FB5ED5"/>
    <w:rsid w:val="00FE0161"/>
    <w:rsid w:val="00FE0CF5"/>
    <w:rsid w:val="00FE14F2"/>
    <w:rsid w:val="00FE471F"/>
    <w:rsid w:val="00FE7912"/>
    <w:rsid w:val="00FE7AE9"/>
    <w:rsid w:val="00FF2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6DE49"/>
  <w15:chartTrackingRefBased/>
  <w15:docId w15:val="{87A17DE1-8E6D-4D03-8BBB-4D4E1228D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69C5"/>
    <w:pPr>
      <w:widowControl w:val="0"/>
      <w:spacing w:line="360" w:lineRule="auto"/>
      <w:ind w:firstLineChars="200" w:firstLine="200"/>
      <w:jc w:val="both"/>
    </w:pPr>
    <w:rPr>
      <w:rFonts w:ascii="Times New Roman" w:eastAsia="仿宋" w:hAnsi="Times New Roman" w:cs="Times New Roman"/>
      <w:sz w:val="28"/>
    </w:rPr>
  </w:style>
  <w:style w:type="paragraph" w:styleId="1">
    <w:name w:val="heading 1"/>
    <w:basedOn w:val="a"/>
    <w:next w:val="a"/>
    <w:link w:val="10"/>
    <w:uiPriority w:val="9"/>
    <w:qFormat/>
    <w:rsid w:val="009869C5"/>
    <w:pPr>
      <w:keepNext/>
      <w:keepLines/>
      <w:spacing w:before="240" w:after="240" w:line="578" w:lineRule="auto"/>
      <w:jc w:val="center"/>
      <w:outlineLvl w:val="0"/>
    </w:pPr>
    <w:rPr>
      <w:rFonts w:eastAsia="黑体"/>
      <w:bCs/>
      <w:kern w:val="44"/>
      <w:sz w:val="36"/>
      <w:szCs w:val="44"/>
    </w:rPr>
  </w:style>
  <w:style w:type="paragraph" w:styleId="2">
    <w:name w:val="heading 2"/>
    <w:basedOn w:val="a"/>
    <w:next w:val="a"/>
    <w:link w:val="20"/>
    <w:uiPriority w:val="9"/>
    <w:unhideWhenUsed/>
    <w:qFormat/>
    <w:rsid w:val="009869C5"/>
    <w:pPr>
      <w:keepNext/>
      <w:keepLines/>
      <w:spacing w:before="120" w:after="120"/>
      <w:ind w:firstLineChars="0" w:firstLine="0"/>
      <w:outlineLvl w:val="1"/>
    </w:pPr>
    <w:rPr>
      <w:rFonts w:eastAsia="黑体" w:cstheme="majorBidi"/>
      <w:bCs/>
      <w:sz w:val="32"/>
      <w:szCs w:val="32"/>
    </w:rPr>
  </w:style>
  <w:style w:type="paragraph" w:styleId="3">
    <w:name w:val="heading 3"/>
    <w:basedOn w:val="a"/>
    <w:next w:val="a"/>
    <w:link w:val="30"/>
    <w:uiPriority w:val="9"/>
    <w:unhideWhenUsed/>
    <w:qFormat/>
    <w:rsid w:val="009869C5"/>
    <w:pPr>
      <w:keepNext/>
      <w:keepLines/>
      <w:ind w:firstLineChars="0" w:firstLine="0"/>
      <w:outlineLvl w:val="2"/>
    </w:pPr>
    <w:rPr>
      <w:rFonts w:eastAsia="黑体"/>
      <w:bCs/>
      <w:sz w:val="30"/>
      <w:szCs w:val="32"/>
    </w:rPr>
  </w:style>
  <w:style w:type="paragraph" w:styleId="4">
    <w:name w:val="heading 4"/>
    <w:basedOn w:val="a"/>
    <w:next w:val="a"/>
    <w:link w:val="40"/>
    <w:uiPriority w:val="9"/>
    <w:unhideWhenUsed/>
    <w:qFormat/>
    <w:rsid w:val="009869C5"/>
    <w:pPr>
      <w:keepNext/>
      <w:keepLines/>
      <w:ind w:firstLineChars="0" w:firstLine="0"/>
      <w:outlineLvl w:val="3"/>
    </w:pPr>
    <w:rPr>
      <w:rFonts w:eastAsia="黑体" w:cstheme="majorBidi"/>
      <w:bCs/>
      <w:szCs w:val="28"/>
    </w:rPr>
  </w:style>
  <w:style w:type="paragraph" w:styleId="5">
    <w:name w:val="heading 5"/>
    <w:basedOn w:val="a"/>
    <w:next w:val="a"/>
    <w:link w:val="50"/>
    <w:uiPriority w:val="9"/>
    <w:semiHidden/>
    <w:unhideWhenUsed/>
    <w:qFormat/>
    <w:rsid w:val="00ED1809"/>
    <w:pPr>
      <w:keepNext/>
      <w:keepLines/>
      <w:spacing w:before="280" w:after="290" w:line="376" w:lineRule="auto"/>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y">
    <w:name w:val="my正文"/>
    <w:basedOn w:val="a"/>
    <w:qFormat/>
    <w:rsid w:val="009869C5"/>
    <w:pPr>
      <w:keepNext/>
      <w:keepLines/>
    </w:pPr>
    <w:rPr>
      <w:bCs/>
      <w:sz w:val="32"/>
      <w:szCs w:val="32"/>
    </w:rPr>
  </w:style>
  <w:style w:type="character" w:customStyle="1" w:styleId="10">
    <w:name w:val="标题 1 字符"/>
    <w:basedOn w:val="a0"/>
    <w:link w:val="1"/>
    <w:uiPriority w:val="9"/>
    <w:rsid w:val="009869C5"/>
    <w:rPr>
      <w:rFonts w:ascii="Times New Roman" w:eastAsia="黑体" w:hAnsi="Times New Roman" w:cs="Times New Roman"/>
      <w:bCs/>
      <w:kern w:val="44"/>
      <w:sz w:val="36"/>
      <w:szCs w:val="44"/>
    </w:rPr>
  </w:style>
  <w:style w:type="character" w:customStyle="1" w:styleId="20">
    <w:name w:val="标题 2 字符"/>
    <w:basedOn w:val="a0"/>
    <w:link w:val="2"/>
    <w:uiPriority w:val="9"/>
    <w:rsid w:val="009869C5"/>
    <w:rPr>
      <w:rFonts w:ascii="Times New Roman" w:eastAsia="黑体" w:hAnsi="Times New Roman" w:cstheme="majorBidi"/>
      <w:bCs/>
      <w:sz w:val="32"/>
      <w:szCs w:val="32"/>
    </w:rPr>
  </w:style>
  <w:style w:type="character" w:customStyle="1" w:styleId="30">
    <w:name w:val="标题 3 字符"/>
    <w:basedOn w:val="a0"/>
    <w:link w:val="3"/>
    <w:uiPriority w:val="9"/>
    <w:rsid w:val="009869C5"/>
    <w:rPr>
      <w:rFonts w:ascii="Times New Roman" w:eastAsia="黑体" w:hAnsi="Times New Roman" w:cs="Times New Roman"/>
      <w:bCs/>
      <w:sz w:val="30"/>
      <w:szCs w:val="32"/>
    </w:rPr>
  </w:style>
  <w:style w:type="character" w:customStyle="1" w:styleId="40">
    <w:name w:val="标题 4 字符"/>
    <w:basedOn w:val="a0"/>
    <w:link w:val="4"/>
    <w:uiPriority w:val="9"/>
    <w:rsid w:val="009869C5"/>
    <w:rPr>
      <w:rFonts w:ascii="Times New Roman" w:eastAsia="黑体" w:hAnsi="Times New Roman" w:cstheme="majorBidi"/>
      <w:bCs/>
      <w:sz w:val="28"/>
      <w:szCs w:val="28"/>
    </w:rPr>
  </w:style>
  <w:style w:type="paragraph" w:customStyle="1" w:styleId="a3">
    <w:name w:val="表格"/>
    <w:basedOn w:val="a"/>
    <w:qFormat/>
    <w:rsid w:val="009869C5"/>
    <w:pPr>
      <w:spacing w:line="240" w:lineRule="auto"/>
      <w:ind w:firstLineChars="0" w:firstLine="0"/>
      <w:jc w:val="center"/>
    </w:pPr>
    <w:rPr>
      <w:rFonts w:eastAsia="宋体"/>
      <w:sz w:val="24"/>
    </w:rPr>
  </w:style>
  <w:style w:type="paragraph" w:styleId="a4">
    <w:name w:val="Balloon Text"/>
    <w:basedOn w:val="a"/>
    <w:link w:val="a5"/>
    <w:uiPriority w:val="99"/>
    <w:semiHidden/>
    <w:unhideWhenUsed/>
    <w:rsid w:val="00396A93"/>
    <w:pPr>
      <w:spacing w:line="240" w:lineRule="auto"/>
    </w:pPr>
    <w:rPr>
      <w:sz w:val="18"/>
      <w:szCs w:val="18"/>
    </w:rPr>
  </w:style>
  <w:style w:type="character" w:customStyle="1" w:styleId="a5">
    <w:name w:val="批注框文本 字符"/>
    <w:basedOn w:val="a0"/>
    <w:link w:val="a4"/>
    <w:uiPriority w:val="99"/>
    <w:semiHidden/>
    <w:rsid w:val="00396A93"/>
    <w:rPr>
      <w:rFonts w:ascii="Times New Roman" w:eastAsia="仿宋" w:hAnsi="Times New Roman" w:cs="Times New Roman"/>
      <w:sz w:val="18"/>
      <w:szCs w:val="18"/>
    </w:rPr>
  </w:style>
  <w:style w:type="paragraph" w:styleId="a6">
    <w:name w:val="Date"/>
    <w:basedOn w:val="a"/>
    <w:next w:val="a"/>
    <w:link w:val="a7"/>
    <w:uiPriority w:val="99"/>
    <w:semiHidden/>
    <w:unhideWhenUsed/>
    <w:rsid w:val="006F6DA0"/>
    <w:pPr>
      <w:ind w:leftChars="2500" w:left="100"/>
    </w:pPr>
  </w:style>
  <w:style w:type="character" w:customStyle="1" w:styleId="a7">
    <w:name w:val="日期 字符"/>
    <w:basedOn w:val="a0"/>
    <w:link w:val="a6"/>
    <w:uiPriority w:val="99"/>
    <w:semiHidden/>
    <w:rsid w:val="006F6DA0"/>
    <w:rPr>
      <w:rFonts w:ascii="Times New Roman" w:eastAsia="仿宋" w:hAnsi="Times New Roman" w:cs="Times New Roman"/>
      <w:sz w:val="28"/>
    </w:rPr>
  </w:style>
  <w:style w:type="paragraph" w:styleId="a8">
    <w:name w:val="List Paragraph"/>
    <w:basedOn w:val="a"/>
    <w:uiPriority w:val="34"/>
    <w:qFormat/>
    <w:rsid w:val="00DB7045"/>
    <w:pPr>
      <w:ind w:firstLine="420"/>
    </w:pPr>
  </w:style>
  <w:style w:type="paragraph" w:styleId="a9">
    <w:name w:val="footnote text"/>
    <w:basedOn w:val="a"/>
    <w:link w:val="aa"/>
    <w:uiPriority w:val="99"/>
    <w:unhideWhenUsed/>
    <w:qFormat/>
    <w:rsid w:val="003450F0"/>
    <w:pPr>
      <w:snapToGrid w:val="0"/>
      <w:jc w:val="left"/>
    </w:pPr>
    <w:rPr>
      <w:sz w:val="18"/>
      <w:szCs w:val="18"/>
    </w:rPr>
  </w:style>
  <w:style w:type="character" w:customStyle="1" w:styleId="aa">
    <w:name w:val="脚注文本 字符"/>
    <w:basedOn w:val="a0"/>
    <w:link w:val="a9"/>
    <w:uiPriority w:val="99"/>
    <w:qFormat/>
    <w:rsid w:val="003450F0"/>
    <w:rPr>
      <w:rFonts w:ascii="Times New Roman" w:eastAsia="仿宋" w:hAnsi="Times New Roman" w:cs="Times New Roman"/>
      <w:sz w:val="18"/>
      <w:szCs w:val="18"/>
    </w:rPr>
  </w:style>
  <w:style w:type="character" w:styleId="ab">
    <w:name w:val="footnote reference"/>
    <w:basedOn w:val="a0"/>
    <w:uiPriority w:val="99"/>
    <w:semiHidden/>
    <w:unhideWhenUsed/>
    <w:qFormat/>
    <w:rsid w:val="003450F0"/>
    <w:rPr>
      <w:vertAlign w:val="superscript"/>
    </w:rPr>
  </w:style>
  <w:style w:type="paragraph" w:styleId="ac">
    <w:name w:val="header"/>
    <w:basedOn w:val="a"/>
    <w:link w:val="ad"/>
    <w:uiPriority w:val="99"/>
    <w:unhideWhenUsed/>
    <w:rsid w:val="002402BE"/>
    <w:pPr>
      <w:pBdr>
        <w:bottom w:val="single" w:sz="6" w:space="1" w:color="auto"/>
      </w:pBd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2402BE"/>
    <w:rPr>
      <w:rFonts w:ascii="Times New Roman" w:eastAsia="仿宋" w:hAnsi="Times New Roman" w:cs="Times New Roman"/>
      <w:sz w:val="18"/>
      <w:szCs w:val="18"/>
    </w:rPr>
  </w:style>
  <w:style w:type="paragraph" w:styleId="ae">
    <w:name w:val="footer"/>
    <w:basedOn w:val="a"/>
    <w:link w:val="af"/>
    <w:uiPriority w:val="99"/>
    <w:unhideWhenUsed/>
    <w:rsid w:val="002402BE"/>
    <w:pPr>
      <w:tabs>
        <w:tab w:val="center" w:pos="4153"/>
        <w:tab w:val="right" w:pos="8306"/>
      </w:tabs>
      <w:snapToGrid w:val="0"/>
      <w:spacing w:line="240" w:lineRule="auto"/>
      <w:jc w:val="left"/>
    </w:pPr>
    <w:rPr>
      <w:sz w:val="18"/>
      <w:szCs w:val="18"/>
    </w:rPr>
  </w:style>
  <w:style w:type="character" w:customStyle="1" w:styleId="af">
    <w:name w:val="页脚 字符"/>
    <w:basedOn w:val="a0"/>
    <w:link w:val="ae"/>
    <w:uiPriority w:val="99"/>
    <w:rsid w:val="002402BE"/>
    <w:rPr>
      <w:rFonts w:ascii="Times New Roman" w:eastAsia="仿宋" w:hAnsi="Times New Roman" w:cs="Times New Roman"/>
      <w:sz w:val="18"/>
      <w:szCs w:val="18"/>
    </w:rPr>
  </w:style>
  <w:style w:type="character" w:customStyle="1" w:styleId="50">
    <w:name w:val="标题 5 字符"/>
    <w:basedOn w:val="a0"/>
    <w:link w:val="5"/>
    <w:uiPriority w:val="9"/>
    <w:semiHidden/>
    <w:rsid w:val="00ED1809"/>
    <w:rPr>
      <w:rFonts w:ascii="Times New Roman" w:eastAsia="仿宋" w:hAnsi="Times New Roman" w:cs="Times New Roman"/>
      <w:b/>
      <w:bCs/>
      <w:sz w:val="28"/>
      <w:szCs w:val="28"/>
    </w:rPr>
  </w:style>
  <w:style w:type="table" w:customStyle="1" w:styleId="21">
    <w:name w:val="无格式表格 21"/>
    <w:basedOn w:val="a1"/>
    <w:next w:val="22"/>
    <w:uiPriority w:val="42"/>
    <w:rsid w:val="0042567B"/>
    <w:rPr>
      <w:rFonts w:ascii="DengXian" w:eastAsia="DengXian" w:hAnsi="DengXian" w:cs="Times New Roman"/>
    </w:rPr>
    <w:tblPr>
      <w:tblStyleRowBandSize w:val="1"/>
      <w:tblStyleColBandSize w:val="1"/>
      <w:tblInd w:w="0" w:type="nil"/>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22">
    <w:name w:val="Plain Table 2"/>
    <w:basedOn w:val="a1"/>
    <w:uiPriority w:val="42"/>
    <w:rsid w:val="0042567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
    <w:name w:val="TOC Heading"/>
    <w:basedOn w:val="1"/>
    <w:next w:val="a"/>
    <w:uiPriority w:val="39"/>
    <w:unhideWhenUsed/>
    <w:qFormat/>
    <w:rsid w:val="00347FBA"/>
    <w:pPr>
      <w:widowControl/>
      <w:spacing w:after="0" w:line="259" w:lineRule="auto"/>
      <w:ind w:firstLineChars="0" w:firstLine="0"/>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1">
    <w:name w:val="toc 1"/>
    <w:basedOn w:val="a"/>
    <w:next w:val="a"/>
    <w:autoRedefine/>
    <w:uiPriority w:val="39"/>
    <w:unhideWhenUsed/>
    <w:rsid w:val="00347FBA"/>
  </w:style>
  <w:style w:type="paragraph" w:styleId="TOC2">
    <w:name w:val="toc 2"/>
    <w:basedOn w:val="a"/>
    <w:next w:val="a"/>
    <w:autoRedefine/>
    <w:uiPriority w:val="39"/>
    <w:unhideWhenUsed/>
    <w:rsid w:val="00347FBA"/>
    <w:pPr>
      <w:ind w:leftChars="200" w:left="420"/>
    </w:pPr>
  </w:style>
  <w:style w:type="paragraph" w:styleId="TOC3">
    <w:name w:val="toc 3"/>
    <w:basedOn w:val="a"/>
    <w:next w:val="a"/>
    <w:autoRedefine/>
    <w:uiPriority w:val="39"/>
    <w:unhideWhenUsed/>
    <w:rsid w:val="00347FBA"/>
    <w:pPr>
      <w:ind w:leftChars="400" w:left="840"/>
    </w:pPr>
  </w:style>
  <w:style w:type="character" w:styleId="af0">
    <w:name w:val="Hyperlink"/>
    <w:basedOn w:val="a0"/>
    <w:uiPriority w:val="99"/>
    <w:unhideWhenUsed/>
    <w:rsid w:val="00347FBA"/>
    <w:rPr>
      <w:color w:val="0563C1" w:themeColor="hyperlink"/>
      <w:u w:val="single"/>
    </w:rPr>
  </w:style>
  <w:style w:type="paragraph" w:styleId="af1">
    <w:name w:val="Normal (Web)"/>
    <w:basedOn w:val="a"/>
    <w:uiPriority w:val="99"/>
    <w:semiHidden/>
    <w:unhideWhenUsed/>
    <w:rsid w:val="00EA0370"/>
    <w:pPr>
      <w:widowControl/>
      <w:spacing w:before="100" w:beforeAutospacing="1" w:after="100" w:afterAutospacing="1" w:line="240" w:lineRule="auto"/>
      <w:ind w:firstLineChars="0" w:firstLine="0"/>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0916">
      <w:bodyDiv w:val="1"/>
      <w:marLeft w:val="0"/>
      <w:marRight w:val="0"/>
      <w:marTop w:val="0"/>
      <w:marBottom w:val="0"/>
      <w:divBdr>
        <w:top w:val="none" w:sz="0" w:space="0" w:color="auto"/>
        <w:left w:val="none" w:sz="0" w:space="0" w:color="auto"/>
        <w:bottom w:val="none" w:sz="0" w:space="0" w:color="auto"/>
        <w:right w:val="none" w:sz="0" w:space="0" w:color="auto"/>
      </w:divBdr>
    </w:div>
    <w:div w:id="193081073">
      <w:bodyDiv w:val="1"/>
      <w:marLeft w:val="0"/>
      <w:marRight w:val="0"/>
      <w:marTop w:val="0"/>
      <w:marBottom w:val="0"/>
      <w:divBdr>
        <w:top w:val="none" w:sz="0" w:space="0" w:color="auto"/>
        <w:left w:val="none" w:sz="0" w:space="0" w:color="auto"/>
        <w:bottom w:val="none" w:sz="0" w:space="0" w:color="auto"/>
        <w:right w:val="none" w:sz="0" w:space="0" w:color="auto"/>
      </w:divBdr>
    </w:div>
    <w:div w:id="201066265">
      <w:bodyDiv w:val="1"/>
      <w:marLeft w:val="0"/>
      <w:marRight w:val="0"/>
      <w:marTop w:val="0"/>
      <w:marBottom w:val="0"/>
      <w:divBdr>
        <w:top w:val="none" w:sz="0" w:space="0" w:color="auto"/>
        <w:left w:val="none" w:sz="0" w:space="0" w:color="auto"/>
        <w:bottom w:val="none" w:sz="0" w:space="0" w:color="auto"/>
        <w:right w:val="none" w:sz="0" w:space="0" w:color="auto"/>
      </w:divBdr>
    </w:div>
    <w:div w:id="233660596">
      <w:bodyDiv w:val="1"/>
      <w:marLeft w:val="0"/>
      <w:marRight w:val="0"/>
      <w:marTop w:val="0"/>
      <w:marBottom w:val="0"/>
      <w:divBdr>
        <w:top w:val="none" w:sz="0" w:space="0" w:color="auto"/>
        <w:left w:val="none" w:sz="0" w:space="0" w:color="auto"/>
        <w:bottom w:val="none" w:sz="0" w:space="0" w:color="auto"/>
        <w:right w:val="none" w:sz="0" w:space="0" w:color="auto"/>
      </w:divBdr>
    </w:div>
    <w:div w:id="287860233">
      <w:bodyDiv w:val="1"/>
      <w:marLeft w:val="0"/>
      <w:marRight w:val="0"/>
      <w:marTop w:val="0"/>
      <w:marBottom w:val="0"/>
      <w:divBdr>
        <w:top w:val="none" w:sz="0" w:space="0" w:color="auto"/>
        <w:left w:val="none" w:sz="0" w:space="0" w:color="auto"/>
        <w:bottom w:val="none" w:sz="0" w:space="0" w:color="auto"/>
        <w:right w:val="none" w:sz="0" w:space="0" w:color="auto"/>
      </w:divBdr>
    </w:div>
    <w:div w:id="292637100">
      <w:bodyDiv w:val="1"/>
      <w:marLeft w:val="0"/>
      <w:marRight w:val="0"/>
      <w:marTop w:val="0"/>
      <w:marBottom w:val="0"/>
      <w:divBdr>
        <w:top w:val="none" w:sz="0" w:space="0" w:color="auto"/>
        <w:left w:val="none" w:sz="0" w:space="0" w:color="auto"/>
        <w:bottom w:val="none" w:sz="0" w:space="0" w:color="auto"/>
        <w:right w:val="none" w:sz="0" w:space="0" w:color="auto"/>
      </w:divBdr>
    </w:div>
    <w:div w:id="343821947">
      <w:bodyDiv w:val="1"/>
      <w:marLeft w:val="0"/>
      <w:marRight w:val="0"/>
      <w:marTop w:val="0"/>
      <w:marBottom w:val="0"/>
      <w:divBdr>
        <w:top w:val="none" w:sz="0" w:space="0" w:color="auto"/>
        <w:left w:val="none" w:sz="0" w:space="0" w:color="auto"/>
        <w:bottom w:val="none" w:sz="0" w:space="0" w:color="auto"/>
        <w:right w:val="none" w:sz="0" w:space="0" w:color="auto"/>
      </w:divBdr>
    </w:div>
    <w:div w:id="367145198">
      <w:bodyDiv w:val="1"/>
      <w:marLeft w:val="0"/>
      <w:marRight w:val="0"/>
      <w:marTop w:val="0"/>
      <w:marBottom w:val="0"/>
      <w:divBdr>
        <w:top w:val="none" w:sz="0" w:space="0" w:color="auto"/>
        <w:left w:val="none" w:sz="0" w:space="0" w:color="auto"/>
        <w:bottom w:val="none" w:sz="0" w:space="0" w:color="auto"/>
        <w:right w:val="none" w:sz="0" w:space="0" w:color="auto"/>
      </w:divBdr>
    </w:div>
    <w:div w:id="442070386">
      <w:bodyDiv w:val="1"/>
      <w:marLeft w:val="0"/>
      <w:marRight w:val="0"/>
      <w:marTop w:val="0"/>
      <w:marBottom w:val="0"/>
      <w:divBdr>
        <w:top w:val="none" w:sz="0" w:space="0" w:color="auto"/>
        <w:left w:val="none" w:sz="0" w:space="0" w:color="auto"/>
        <w:bottom w:val="none" w:sz="0" w:space="0" w:color="auto"/>
        <w:right w:val="none" w:sz="0" w:space="0" w:color="auto"/>
      </w:divBdr>
    </w:div>
    <w:div w:id="449708776">
      <w:bodyDiv w:val="1"/>
      <w:marLeft w:val="0"/>
      <w:marRight w:val="0"/>
      <w:marTop w:val="0"/>
      <w:marBottom w:val="0"/>
      <w:divBdr>
        <w:top w:val="none" w:sz="0" w:space="0" w:color="auto"/>
        <w:left w:val="none" w:sz="0" w:space="0" w:color="auto"/>
        <w:bottom w:val="none" w:sz="0" w:space="0" w:color="auto"/>
        <w:right w:val="none" w:sz="0" w:space="0" w:color="auto"/>
      </w:divBdr>
    </w:div>
    <w:div w:id="602110483">
      <w:bodyDiv w:val="1"/>
      <w:marLeft w:val="0"/>
      <w:marRight w:val="0"/>
      <w:marTop w:val="0"/>
      <w:marBottom w:val="0"/>
      <w:divBdr>
        <w:top w:val="none" w:sz="0" w:space="0" w:color="auto"/>
        <w:left w:val="none" w:sz="0" w:space="0" w:color="auto"/>
        <w:bottom w:val="none" w:sz="0" w:space="0" w:color="auto"/>
        <w:right w:val="none" w:sz="0" w:space="0" w:color="auto"/>
      </w:divBdr>
    </w:div>
    <w:div w:id="684477125">
      <w:bodyDiv w:val="1"/>
      <w:marLeft w:val="0"/>
      <w:marRight w:val="0"/>
      <w:marTop w:val="0"/>
      <w:marBottom w:val="0"/>
      <w:divBdr>
        <w:top w:val="none" w:sz="0" w:space="0" w:color="auto"/>
        <w:left w:val="none" w:sz="0" w:space="0" w:color="auto"/>
        <w:bottom w:val="none" w:sz="0" w:space="0" w:color="auto"/>
        <w:right w:val="none" w:sz="0" w:space="0" w:color="auto"/>
      </w:divBdr>
    </w:div>
    <w:div w:id="706568259">
      <w:bodyDiv w:val="1"/>
      <w:marLeft w:val="0"/>
      <w:marRight w:val="0"/>
      <w:marTop w:val="0"/>
      <w:marBottom w:val="0"/>
      <w:divBdr>
        <w:top w:val="none" w:sz="0" w:space="0" w:color="auto"/>
        <w:left w:val="none" w:sz="0" w:space="0" w:color="auto"/>
        <w:bottom w:val="none" w:sz="0" w:space="0" w:color="auto"/>
        <w:right w:val="none" w:sz="0" w:space="0" w:color="auto"/>
      </w:divBdr>
    </w:div>
    <w:div w:id="718095652">
      <w:bodyDiv w:val="1"/>
      <w:marLeft w:val="0"/>
      <w:marRight w:val="0"/>
      <w:marTop w:val="0"/>
      <w:marBottom w:val="0"/>
      <w:divBdr>
        <w:top w:val="none" w:sz="0" w:space="0" w:color="auto"/>
        <w:left w:val="none" w:sz="0" w:space="0" w:color="auto"/>
        <w:bottom w:val="none" w:sz="0" w:space="0" w:color="auto"/>
        <w:right w:val="none" w:sz="0" w:space="0" w:color="auto"/>
      </w:divBdr>
    </w:div>
    <w:div w:id="721830695">
      <w:bodyDiv w:val="1"/>
      <w:marLeft w:val="0"/>
      <w:marRight w:val="0"/>
      <w:marTop w:val="0"/>
      <w:marBottom w:val="0"/>
      <w:divBdr>
        <w:top w:val="none" w:sz="0" w:space="0" w:color="auto"/>
        <w:left w:val="none" w:sz="0" w:space="0" w:color="auto"/>
        <w:bottom w:val="none" w:sz="0" w:space="0" w:color="auto"/>
        <w:right w:val="none" w:sz="0" w:space="0" w:color="auto"/>
      </w:divBdr>
    </w:div>
    <w:div w:id="771320740">
      <w:bodyDiv w:val="1"/>
      <w:marLeft w:val="0"/>
      <w:marRight w:val="0"/>
      <w:marTop w:val="0"/>
      <w:marBottom w:val="0"/>
      <w:divBdr>
        <w:top w:val="none" w:sz="0" w:space="0" w:color="auto"/>
        <w:left w:val="none" w:sz="0" w:space="0" w:color="auto"/>
        <w:bottom w:val="none" w:sz="0" w:space="0" w:color="auto"/>
        <w:right w:val="none" w:sz="0" w:space="0" w:color="auto"/>
      </w:divBdr>
    </w:div>
    <w:div w:id="845941774">
      <w:bodyDiv w:val="1"/>
      <w:marLeft w:val="0"/>
      <w:marRight w:val="0"/>
      <w:marTop w:val="0"/>
      <w:marBottom w:val="0"/>
      <w:divBdr>
        <w:top w:val="none" w:sz="0" w:space="0" w:color="auto"/>
        <w:left w:val="none" w:sz="0" w:space="0" w:color="auto"/>
        <w:bottom w:val="none" w:sz="0" w:space="0" w:color="auto"/>
        <w:right w:val="none" w:sz="0" w:space="0" w:color="auto"/>
      </w:divBdr>
    </w:div>
    <w:div w:id="932932585">
      <w:bodyDiv w:val="1"/>
      <w:marLeft w:val="0"/>
      <w:marRight w:val="0"/>
      <w:marTop w:val="0"/>
      <w:marBottom w:val="0"/>
      <w:divBdr>
        <w:top w:val="none" w:sz="0" w:space="0" w:color="auto"/>
        <w:left w:val="none" w:sz="0" w:space="0" w:color="auto"/>
        <w:bottom w:val="none" w:sz="0" w:space="0" w:color="auto"/>
        <w:right w:val="none" w:sz="0" w:space="0" w:color="auto"/>
      </w:divBdr>
    </w:div>
    <w:div w:id="948315860">
      <w:bodyDiv w:val="1"/>
      <w:marLeft w:val="0"/>
      <w:marRight w:val="0"/>
      <w:marTop w:val="0"/>
      <w:marBottom w:val="0"/>
      <w:divBdr>
        <w:top w:val="none" w:sz="0" w:space="0" w:color="auto"/>
        <w:left w:val="none" w:sz="0" w:space="0" w:color="auto"/>
        <w:bottom w:val="none" w:sz="0" w:space="0" w:color="auto"/>
        <w:right w:val="none" w:sz="0" w:space="0" w:color="auto"/>
      </w:divBdr>
    </w:div>
    <w:div w:id="955255824">
      <w:bodyDiv w:val="1"/>
      <w:marLeft w:val="0"/>
      <w:marRight w:val="0"/>
      <w:marTop w:val="0"/>
      <w:marBottom w:val="0"/>
      <w:divBdr>
        <w:top w:val="none" w:sz="0" w:space="0" w:color="auto"/>
        <w:left w:val="none" w:sz="0" w:space="0" w:color="auto"/>
        <w:bottom w:val="none" w:sz="0" w:space="0" w:color="auto"/>
        <w:right w:val="none" w:sz="0" w:space="0" w:color="auto"/>
      </w:divBdr>
    </w:div>
    <w:div w:id="969631191">
      <w:bodyDiv w:val="1"/>
      <w:marLeft w:val="0"/>
      <w:marRight w:val="0"/>
      <w:marTop w:val="0"/>
      <w:marBottom w:val="0"/>
      <w:divBdr>
        <w:top w:val="none" w:sz="0" w:space="0" w:color="auto"/>
        <w:left w:val="none" w:sz="0" w:space="0" w:color="auto"/>
        <w:bottom w:val="none" w:sz="0" w:space="0" w:color="auto"/>
        <w:right w:val="none" w:sz="0" w:space="0" w:color="auto"/>
      </w:divBdr>
    </w:div>
    <w:div w:id="1034580676">
      <w:bodyDiv w:val="1"/>
      <w:marLeft w:val="0"/>
      <w:marRight w:val="0"/>
      <w:marTop w:val="0"/>
      <w:marBottom w:val="0"/>
      <w:divBdr>
        <w:top w:val="none" w:sz="0" w:space="0" w:color="auto"/>
        <w:left w:val="none" w:sz="0" w:space="0" w:color="auto"/>
        <w:bottom w:val="none" w:sz="0" w:space="0" w:color="auto"/>
        <w:right w:val="none" w:sz="0" w:space="0" w:color="auto"/>
      </w:divBdr>
    </w:div>
    <w:div w:id="1100371086">
      <w:bodyDiv w:val="1"/>
      <w:marLeft w:val="0"/>
      <w:marRight w:val="0"/>
      <w:marTop w:val="0"/>
      <w:marBottom w:val="0"/>
      <w:divBdr>
        <w:top w:val="none" w:sz="0" w:space="0" w:color="auto"/>
        <w:left w:val="none" w:sz="0" w:space="0" w:color="auto"/>
        <w:bottom w:val="none" w:sz="0" w:space="0" w:color="auto"/>
        <w:right w:val="none" w:sz="0" w:space="0" w:color="auto"/>
      </w:divBdr>
    </w:div>
    <w:div w:id="1221601221">
      <w:bodyDiv w:val="1"/>
      <w:marLeft w:val="0"/>
      <w:marRight w:val="0"/>
      <w:marTop w:val="0"/>
      <w:marBottom w:val="0"/>
      <w:divBdr>
        <w:top w:val="none" w:sz="0" w:space="0" w:color="auto"/>
        <w:left w:val="none" w:sz="0" w:space="0" w:color="auto"/>
        <w:bottom w:val="none" w:sz="0" w:space="0" w:color="auto"/>
        <w:right w:val="none" w:sz="0" w:space="0" w:color="auto"/>
      </w:divBdr>
    </w:div>
    <w:div w:id="1265766996">
      <w:bodyDiv w:val="1"/>
      <w:marLeft w:val="0"/>
      <w:marRight w:val="0"/>
      <w:marTop w:val="0"/>
      <w:marBottom w:val="0"/>
      <w:divBdr>
        <w:top w:val="none" w:sz="0" w:space="0" w:color="auto"/>
        <w:left w:val="none" w:sz="0" w:space="0" w:color="auto"/>
        <w:bottom w:val="none" w:sz="0" w:space="0" w:color="auto"/>
        <w:right w:val="none" w:sz="0" w:space="0" w:color="auto"/>
      </w:divBdr>
    </w:div>
    <w:div w:id="1337538736">
      <w:bodyDiv w:val="1"/>
      <w:marLeft w:val="0"/>
      <w:marRight w:val="0"/>
      <w:marTop w:val="0"/>
      <w:marBottom w:val="0"/>
      <w:divBdr>
        <w:top w:val="none" w:sz="0" w:space="0" w:color="auto"/>
        <w:left w:val="none" w:sz="0" w:space="0" w:color="auto"/>
        <w:bottom w:val="none" w:sz="0" w:space="0" w:color="auto"/>
        <w:right w:val="none" w:sz="0" w:space="0" w:color="auto"/>
      </w:divBdr>
    </w:div>
    <w:div w:id="1357582311">
      <w:bodyDiv w:val="1"/>
      <w:marLeft w:val="0"/>
      <w:marRight w:val="0"/>
      <w:marTop w:val="0"/>
      <w:marBottom w:val="0"/>
      <w:divBdr>
        <w:top w:val="none" w:sz="0" w:space="0" w:color="auto"/>
        <w:left w:val="none" w:sz="0" w:space="0" w:color="auto"/>
        <w:bottom w:val="none" w:sz="0" w:space="0" w:color="auto"/>
        <w:right w:val="none" w:sz="0" w:space="0" w:color="auto"/>
      </w:divBdr>
    </w:div>
    <w:div w:id="1385252945">
      <w:bodyDiv w:val="1"/>
      <w:marLeft w:val="0"/>
      <w:marRight w:val="0"/>
      <w:marTop w:val="0"/>
      <w:marBottom w:val="0"/>
      <w:divBdr>
        <w:top w:val="none" w:sz="0" w:space="0" w:color="auto"/>
        <w:left w:val="none" w:sz="0" w:space="0" w:color="auto"/>
        <w:bottom w:val="none" w:sz="0" w:space="0" w:color="auto"/>
        <w:right w:val="none" w:sz="0" w:space="0" w:color="auto"/>
      </w:divBdr>
    </w:div>
    <w:div w:id="1398437795">
      <w:bodyDiv w:val="1"/>
      <w:marLeft w:val="0"/>
      <w:marRight w:val="0"/>
      <w:marTop w:val="0"/>
      <w:marBottom w:val="0"/>
      <w:divBdr>
        <w:top w:val="none" w:sz="0" w:space="0" w:color="auto"/>
        <w:left w:val="none" w:sz="0" w:space="0" w:color="auto"/>
        <w:bottom w:val="none" w:sz="0" w:space="0" w:color="auto"/>
        <w:right w:val="none" w:sz="0" w:space="0" w:color="auto"/>
      </w:divBdr>
    </w:div>
    <w:div w:id="1517040369">
      <w:bodyDiv w:val="1"/>
      <w:marLeft w:val="0"/>
      <w:marRight w:val="0"/>
      <w:marTop w:val="0"/>
      <w:marBottom w:val="0"/>
      <w:divBdr>
        <w:top w:val="none" w:sz="0" w:space="0" w:color="auto"/>
        <w:left w:val="none" w:sz="0" w:space="0" w:color="auto"/>
        <w:bottom w:val="none" w:sz="0" w:space="0" w:color="auto"/>
        <w:right w:val="none" w:sz="0" w:space="0" w:color="auto"/>
      </w:divBdr>
    </w:div>
    <w:div w:id="1571040013">
      <w:bodyDiv w:val="1"/>
      <w:marLeft w:val="0"/>
      <w:marRight w:val="0"/>
      <w:marTop w:val="0"/>
      <w:marBottom w:val="0"/>
      <w:divBdr>
        <w:top w:val="none" w:sz="0" w:space="0" w:color="auto"/>
        <w:left w:val="none" w:sz="0" w:space="0" w:color="auto"/>
        <w:bottom w:val="none" w:sz="0" w:space="0" w:color="auto"/>
        <w:right w:val="none" w:sz="0" w:space="0" w:color="auto"/>
      </w:divBdr>
    </w:div>
    <w:div w:id="1637566859">
      <w:bodyDiv w:val="1"/>
      <w:marLeft w:val="0"/>
      <w:marRight w:val="0"/>
      <w:marTop w:val="0"/>
      <w:marBottom w:val="0"/>
      <w:divBdr>
        <w:top w:val="none" w:sz="0" w:space="0" w:color="auto"/>
        <w:left w:val="none" w:sz="0" w:space="0" w:color="auto"/>
        <w:bottom w:val="none" w:sz="0" w:space="0" w:color="auto"/>
        <w:right w:val="none" w:sz="0" w:space="0" w:color="auto"/>
      </w:divBdr>
    </w:div>
    <w:div w:id="1670670327">
      <w:bodyDiv w:val="1"/>
      <w:marLeft w:val="0"/>
      <w:marRight w:val="0"/>
      <w:marTop w:val="0"/>
      <w:marBottom w:val="0"/>
      <w:divBdr>
        <w:top w:val="none" w:sz="0" w:space="0" w:color="auto"/>
        <w:left w:val="none" w:sz="0" w:space="0" w:color="auto"/>
        <w:bottom w:val="none" w:sz="0" w:space="0" w:color="auto"/>
        <w:right w:val="none" w:sz="0" w:space="0" w:color="auto"/>
      </w:divBdr>
    </w:div>
    <w:div w:id="1814984350">
      <w:bodyDiv w:val="1"/>
      <w:marLeft w:val="0"/>
      <w:marRight w:val="0"/>
      <w:marTop w:val="0"/>
      <w:marBottom w:val="0"/>
      <w:divBdr>
        <w:top w:val="none" w:sz="0" w:space="0" w:color="auto"/>
        <w:left w:val="none" w:sz="0" w:space="0" w:color="auto"/>
        <w:bottom w:val="none" w:sz="0" w:space="0" w:color="auto"/>
        <w:right w:val="none" w:sz="0" w:space="0" w:color="auto"/>
      </w:divBdr>
    </w:div>
    <w:div w:id="1893543839">
      <w:bodyDiv w:val="1"/>
      <w:marLeft w:val="0"/>
      <w:marRight w:val="0"/>
      <w:marTop w:val="0"/>
      <w:marBottom w:val="0"/>
      <w:divBdr>
        <w:top w:val="none" w:sz="0" w:space="0" w:color="auto"/>
        <w:left w:val="none" w:sz="0" w:space="0" w:color="auto"/>
        <w:bottom w:val="none" w:sz="0" w:space="0" w:color="auto"/>
        <w:right w:val="none" w:sz="0" w:space="0" w:color="auto"/>
      </w:divBdr>
    </w:div>
    <w:div w:id="1969118923">
      <w:bodyDiv w:val="1"/>
      <w:marLeft w:val="0"/>
      <w:marRight w:val="0"/>
      <w:marTop w:val="0"/>
      <w:marBottom w:val="0"/>
      <w:divBdr>
        <w:top w:val="none" w:sz="0" w:space="0" w:color="auto"/>
        <w:left w:val="none" w:sz="0" w:space="0" w:color="auto"/>
        <w:bottom w:val="none" w:sz="0" w:space="0" w:color="auto"/>
        <w:right w:val="none" w:sz="0" w:space="0" w:color="auto"/>
      </w:divBdr>
    </w:div>
    <w:div w:id="204238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chart" Target="charts/chart5.xml"/><Relationship Id="rId47" Type="http://schemas.openxmlformats.org/officeDocument/2006/relationships/chart" Target="charts/chart10.xml"/><Relationship Id="rId63" Type="http://schemas.openxmlformats.org/officeDocument/2006/relationships/chart" Target="charts/chart23.xml"/><Relationship Id="rId68" Type="http://schemas.openxmlformats.org/officeDocument/2006/relationships/chart" Target="charts/chart28.xml"/><Relationship Id="rId16" Type="http://schemas.openxmlformats.org/officeDocument/2006/relationships/chart" Target="charts/chart1.xml"/><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chart" Target="charts/chart3.xml"/><Relationship Id="rId53" Type="http://schemas.openxmlformats.org/officeDocument/2006/relationships/image" Target="media/image26.png"/><Relationship Id="rId58" Type="http://schemas.openxmlformats.org/officeDocument/2006/relationships/chart" Target="charts/chart19.xml"/><Relationship Id="rId74" Type="http://schemas.openxmlformats.org/officeDocument/2006/relationships/chart" Target="charts/chart30.xml"/><Relationship Id="rId79" Type="http://schemas.openxmlformats.org/officeDocument/2006/relationships/image" Target="media/image31.png"/><Relationship Id="rId5" Type="http://schemas.openxmlformats.org/officeDocument/2006/relationships/webSettings" Target="webSettings.xml"/><Relationship Id="rId61" Type="http://schemas.openxmlformats.org/officeDocument/2006/relationships/image" Target="media/image27.png"/><Relationship Id="rId82"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chart" Target="charts/chart6.xml"/><Relationship Id="rId48" Type="http://schemas.openxmlformats.org/officeDocument/2006/relationships/chart" Target="charts/chart11.xml"/><Relationship Id="rId56" Type="http://schemas.openxmlformats.org/officeDocument/2006/relationships/chart" Target="charts/chart17.xml"/><Relationship Id="rId64" Type="http://schemas.openxmlformats.org/officeDocument/2006/relationships/chart" Target="charts/chart24.xml"/><Relationship Id="rId69" Type="http://schemas.microsoft.com/office/2014/relationships/chartEx" Target="charts/chartEx1.xml"/><Relationship Id="rId77" Type="http://schemas.openxmlformats.org/officeDocument/2006/relationships/image" Target="media/image30.png"/><Relationship Id="rId8" Type="http://schemas.openxmlformats.org/officeDocument/2006/relationships/header" Target="header1.xml"/><Relationship Id="rId51" Type="http://schemas.openxmlformats.org/officeDocument/2006/relationships/chart" Target="charts/chart13.xml"/><Relationship Id="rId72" Type="http://schemas.openxmlformats.org/officeDocument/2006/relationships/image" Target="media/image29.png"/><Relationship Id="rId80" Type="http://schemas.openxmlformats.org/officeDocument/2006/relationships/chart" Target="charts/chart32.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chart" Target="charts/chart9.xml"/><Relationship Id="rId59" Type="http://schemas.openxmlformats.org/officeDocument/2006/relationships/chart" Target="charts/chart20.xml"/><Relationship Id="rId67" Type="http://schemas.openxmlformats.org/officeDocument/2006/relationships/chart" Target="charts/chart27.xml"/><Relationship Id="rId20" Type="http://schemas.openxmlformats.org/officeDocument/2006/relationships/image" Target="media/image6.png"/><Relationship Id="rId41" Type="http://schemas.openxmlformats.org/officeDocument/2006/relationships/image" Target="media/image24.png"/><Relationship Id="rId54" Type="http://schemas.openxmlformats.org/officeDocument/2006/relationships/chart" Target="charts/chart15.xml"/><Relationship Id="rId62" Type="http://schemas.openxmlformats.org/officeDocument/2006/relationships/chart" Target="charts/chart22.xml"/><Relationship Id="rId70" Type="http://schemas.openxmlformats.org/officeDocument/2006/relationships/image" Target="media/image28.png"/><Relationship Id="rId75" Type="http://schemas.openxmlformats.org/officeDocument/2006/relationships/chart" Target="charts/chart31.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chart" Target="charts/chart2.xml"/><Relationship Id="rId49" Type="http://schemas.openxmlformats.org/officeDocument/2006/relationships/chart" Target="charts/chart12.xml"/><Relationship Id="rId57" Type="http://schemas.openxmlformats.org/officeDocument/2006/relationships/chart" Target="charts/chart18.xm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chart" Target="charts/chart7.xml"/><Relationship Id="rId52" Type="http://schemas.openxmlformats.org/officeDocument/2006/relationships/chart" Target="charts/chart14.xml"/><Relationship Id="rId60" Type="http://schemas.openxmlformats.org/officeDocument/2006/relationships/chart" Target="charts/chart21.xml"/><Relationship Id="rId65" Type="http://schemas.openxmlformats.org/officeDocument/2006/relationships/chart" Target="charts/chart25.xml"/><Relationship Id="rId73" Type="http://schemas.openxmlformats.org/officeDocument/2006/relationships/chart" Target="charts/chart29.xml"/><Relationship Id="rId78" Type="http://schemas.microsoft.com/office/2014/relationships/chartEx" Target="charts/chartEx4.xml"/><Relationship Id="rId81" Type="http://schemas.openxmlformats.org/officeDocument/2006/relationships/chart" Target="charts/chart33.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3.png"/><Relationship Id="rId34" Type="http://schemas.openxmlformats.org/officeDocument/2006/relationships/image" Target="media/image20.png"/><Relationship Id="rId50" Type="http://schemas.openxmlformats.org/officeDocument/2006/relationships/image" Target="media/image25.png"/><Relationship Id="rId55" Type="http://schemas.openxmlformats.org/officeDocument/2006/relationships/chart" Target="charts/chart16.xml"/><Relationship Id="rId76" Type="http://schemas.microsoft.com/office/2014/relationships/chartEx" Target="charts/chartEx3.xml"/><Relationship Id="rId7" Type="http://schemas.openxmlformats.org/officeDocument/2006/relationships/endnotes" Target="endnotes.xml"/><Relationship Id="rId71" Type="http://schemas.microsoft.com/office/2014/relationships/chartEx" Target="charts/chartEx2.xm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chart" Target="charts/chart4.xml"/><Relationship Id="rId45" Type="http://schemas.openxmlformats.org/officeDocument/2006/relationships/chart" Target="charts/chart8.xml"/><Relationship Id="rId66" Type="http://schemas.openxmlformats.org/officeDocument/2006/relationships/chart" Target="charts/chart26.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25105;&#30340;&#36164;&#26009;\&#20132;&#36890;&#36816;&#36755;&#37096;\Excel&#26500;&#24314;\&#27169;&#22411;&#26500;&#24314;&#35814;&#35299;\version%2020210607-&#26356;&#26032;&#22269;&#23478;&#30899;&#25490;&#25918;&#25968;&#25454;.xlsm" TargetMode="External"/></Relationships>
</file>

<file path=word/charts/_rels/chart2.xml.rels><?xml version="1.0" encoding="UTF-8" standalone="yes"?>
<Relationships xmlns="http://schemas.openxmlformats.org/package/2006/relationships"><Relationship Id="rId2" Type="http://schemas.openxmlformats.org/officeDocument/2006/relationships/oleObject" Target="file:///D:\&#20132;&#31185;&#38498;\2020&#24180;&#35838;&#39064;\&#33021;&#28304;&#22522;&#37329;&#20250;\0427\&#22270;&#34920;.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D:\2022&#24180;&#35838;&#39064;\&#33021;&#28304;&#22522;&#37329;&#20250;\&#32654;&#22269;\Table_11.5_Carbon_Dioxide_Emissions_From_Energy_Consumption__Transportation_Sector.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3.xml"/><Relationship Id="rId1" Type="http://schemas.microsoft.com/office/2011/relationships/chartStyle" Target="style3.xml"/><Relationship Id="rId5" Type="http://schemas.openxmlformats.org/officeDocument/2006/relationships/chartUserShapes" Target="../drawings/drawing1.xml"/><Relationship Id="rId4" Type="http://schemas.openxmlformats.org/officeDocument/2006/relationships/oleObject" Target="file:///C:\&#25105;&#30340;&#36164;&#26009;\&#20132;&#36890;&#36816;&#36755;&#37096;\Excel&#26500;&#24314;\&#30899;&#20013;&#21644;--&#33021;&#28304;&#22522;&#37329;&#20250;\&#22269;&#22806;&#20998;&#20132;&#36890;&#36816;&#36755;&#26041;&#24335;&#21333;&#32791;&#26803;&#29702;(1)(1).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D:\2022&#24180;&#35838;&#39064;\&#33021;&#28304;&#22522;&#37329;&#20250;\&#22270;&#34920;&#21450;&#25968;&#25454;\&#30899;&#25490;&#25918;&#25968;&#25454;-&#26356;&#26032;&#21040;2019&#24180;.xlsx" TargetMode="External"/></Relationships>
</file>

<file path=word/charts/_rels/chart6.xml.rels><?xml version="1.0" encoding="UTF-8" standalone="yes"?>
<Relationships xmlns="http://schemas.openxmlformats.org/package/2006/relationships"><Relationship Id="rId3" Type="http://schemas.openxmlformats.org/officeDocument/2006/relationships/chartUserShapes" Target="../drawings/drawing2.xml"/><Relationship Id="rId2" Type="http://schemas.openxmlformats.org/officeDocument/2006/relationships/oleObject" Target="file:///D:\2022&#24180;&#35838;&#39064;\&#33021;&#28304;&#22522;&#37329;&#20250;\&#22270;&#34920;&#21450;&#25968;&#25454;\&#33521;&#22269;2019&#24180;&#20132;&#36890;&#30899;&#25490;&#25918;.xlsx"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5.xml"/><Relationship Id="rId1" Type="http://schemas.microsoft.com/office/2011/relationships/chartStyle" Target="style5.xml"/><Relationship Id="rId5" Type="http://schemas.openxmlformats.org/officeDocument/2006/relationships/chartUserShapes" Target="../drawings/drawing3.xml"/><Relationship Id="rId4" Type="http://schemas.openxmlformats.org/officeDocument/2006/relationships/oleObject" Target="file:///C:\Users\Wxc\Documents\WeChat%20Files\mutoushenshi\FileStorage\File\2021-08\2020_Intensity_tables_-_web_copy%20(1)(1).xlsx"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6.xml"/><Relationship Id="rId1" Type="http://schemas.microsoft.com/office/2011/relationships/chartStyle" Target="style6.xml"/><Relationship Id="rId5" Type="http://schemas.openxmlformats.org/officeDocument/2006/relationships/chartUserShapes" Target="../drawings/drawing4.xml"/><Relationship Id="rId4" Type="http://schemas.openxmlformats.org/officeDocument/2006/relationships/oleObject" Target="file:///C:\Users\Wxc\Documents\WeChat%20Files\mutoushenshi\FileStorage\File\2021-08\2020_Intensity_tables_-_web_copy%20(1)(1).xlsx"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Wxc\Documents\WeChat%20Files\mutoushenshi\FileStorage\File\2021-08\2020_Intensity_tables_-_web_copy%20(1)(1).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Wxc\Documents\WeChat%20Files\mutoushenshi\FileStorage\File\2021-08\2020_Intensity_tables_-_web_copy%20(1)(1).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D:\2022&#24180;&#35838;&#39064;\&#33021;&#28304;&#22522;&#37329;&#20250;\&#22270;&#34920;&#21450;&#25968;&#25454;\&#30899;&#25490;&#25918;&#25968;&#25454;-&#26356;&#26032;&#21040;2019&#24180;.xlsx" TargetMode="External"/></Relationships>
</file>

<file path=word/charts/_rels/chart12.xml.rels><?xml version="1.0" encoding="UTF-8" standalone="yes"?>
<Relationships xmlns="http://schemas.openxmlformats.org/package/2006/relationships"><Relationship Id="rId2" Type="http://schemas.openxmlformats.org/officeDocument/2006/relationships/oleObject" Target="file:///D:\&#20132;&#31185;&#38498;\2020&#24180;&#35838;&#39064;\&#33021;&#28304;&#22522;&#37329;&#20250;\0427\&#22270;&#34920;.xlsx" TargetMode="External"/><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27169;&#22411;&#26500;&#24314;&#35814;&#35299;\&#32479;&#35745;&#20844;&#25253;&#27719;&#24635;-20210809-&#26356;&#26032;&#22270;.xlsx" TargetMode="External"/><Relationship Id="rId2" Type="http://schemas.microsoft.com/office/2011/relationships/chartColorStyle" Target="colors10.xml"/><Relationship Id="rId1" Type="http://schemas.microsoft.com/office/2011/relationships/chartStyle" Target="style10.xml"/></Relationships>
</file>

<file path=word/charts/_rels/chart14.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27169;&#22411;&#26500;&#24314;&#35814;&#35299;\&#32479;&#35745;&#20844;&#25253;&#27719;&#24635;-20210809-&#26356;&#26032;&#22270;.xlsx" TargetMode="External"/><Relationship Id="rId2" Type="http://schemas.microsoft.com/office/2011/relationships/chartColorStyle" Target="colors11.xml"/><Relationship Id="rId1" Type="http://schemas.microsoft.com/office/2011/relationships/chartStyle" Target="style11.xml"/></Relationships>
</file>

<file path=word/charts/_rels/chart15.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27169;&#22411;&#26500;&#24314;&#35814;&#35299;\&#32479;&#35745;&#20844;&#25253;&#27719;&#24635;-20210809-&#26356;&#26032;&#22270;.xlsx" TargetMode="External"/><Relationship Id="rId2" Type="http://schemas.microsoft.com/office/2011/relationships/chartColorStyle" Target="colors12.xml"/><Relationship Id="rId1" Type="http://schemas.microsoft.com/office/2011/relationships/chartStyle" Target="style12.xml"/></Relationships>
</file>

<file path=word/charts/_rels/chart16.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27169;&#22411;&#26500;&#24314;&#35814;&#35299;\&#32479;&#35745;&#20844;&#25253;&#27719;&#24635;-20210809-&#26356;&#26032;&#22270;.xlsx" TargetMode="External"/><Relationship Id="rId2" Type="http://schemas.microsoft.com/office/2011/relationships/chartColorStyle" Target="colors13.xml"/><Relationship Id="rId1" Type="http://schemas.microsoft.com/office/2011/relationships/chartStyle" Target="style13.xml"/></Relationships>
</file>

<file path=word/charts/_rels/chart17.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27169;&#22411;&#26500;&#24314;&#35814;&#35299;\&#32479;&#35745;&#20844;&#25253;&#27719;&#24635;-20210809-&#26356;&#26032;&#22270;.xlsx" TargetMode="External"/><Relationship Id="rId2" Type="http://schemas.microsoft.com/office/2011/relationships/chartColorStyle" Target="colors14.xml"/><Relationship Id="rId1" Type="http://schemas.microsoft.com/office/2011/relationships/chartStyle" Target="style14.xml"/></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5.xml"/><Relationship Id="rId1" Type="http://schemas.microsoft.com/office/2011/relationships/chartStyle" Target="style15.xml"/><Relationship Id="rId5" Type="http://schemas.openxmlformats.org/officeDocument/2006/relationships/chartUserShapes" Target="../drawings/drawing5.xml"/><Relationship Id="rId4" Type="http://schemas.openxmlformats.org/officeDocument/2006/relationships/oleObject" Target="file:///C:\&#25105;&#30340;&#36164;&#26009;\&#20132;&#36890;&#36816;&#36755;&#37096;\Excel&#26500;&#24314;\&#27169;&#22411;&#26500;&#24314;&#35814;&#35299;\&#32479;&#35745;&#20844;&#25253;&#27719;&#24635;-20210809-&#26356;&#26032;&#22270;.xlsx" TargetMode="External"/></Relationships>
</file>

<file path=word/charts/_rels/chart19.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27169;&#22411;&#26500;&#24314;&#35814;&#35299;\&#32479;&#35745;&#20844;&#25253;&#27719;&#24635;-20210809-&#26356;&#26032;&#22270;.xlsx" TargetMode="External"/><Relationship Id="rId2" Type="http://schemas.microsoft.com/office/2011/relationships/chartColorStyle" Target="colors16.xml"/><Relationship Id="rId1" Type="http://schemas.microsoft.com/office/2011/relationships/chartStyle" Target="style16.xml"/></Relationships>
</file>

<file path=word/charts/_rels/chart20.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27169;&#22411;&#26500;&#24314;&#35814;&#35299;\&#32479;&#35745;&#20844;&#25253;&#27719;&#24635;-20210809-&#26356;&#26032;&#22270;.xlsx" TargetMode="External"/><Relationship Id="rId2" Type="http://schemas.microsoft.com/office/2011/relationships/chartColorStyle" Target="colors17.xml"/><Relationship Id="rId1" Type="http://schemas.microsoft.com/office/2011/relationships/chartStyle" Target="style17.xml"/></Relationships>
</file>

<file path=word/charts/_rels/chart21.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19990;&#30028;&#38134;&#34892;&#39033;&#30446;\&#25552;&#20132;&#26448;&#26009;\Transport%20Modeling%20Structure-0115-PolicyEnhanced.xlsx" TargetMode="External"/><Relationship Id="rId2" Type="http://schemas.microsoft.com/office/2011/relationships/chartColorStyle" Target="colors18.xml"/><Relationship Id="rId1" Type="http://schemas.microsoft.com/office/2011/relationships/chartStyle" Target="style18.xml"/></Relationships>
</file>

<file path=word/charts/_rels/chart22.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19990;&#30028;&#38134;&#34892;&#39033;&#30446;\&#25552;&#20132;&#26448;&#26009;\Transport%20Modeling%20Structure-0115-PolicyEnhanced-v2.xlsx" TargetMode="External"/><Relationship Id="rId2" Type="http://schemas.microsoft.com/office/2011/relationships/chartColorStyle" Target="colors19.xml"/><Relationship Id="rId1" Type="http://schemas.microsoft.com/office/2011/relationships/chartStyle" Target="style19.xml"/></Relationships>
</file>

<file path=word/charts/_rels/chart23.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19990;&#30028;&#38134;&#34892;&#39033;&#30446;\&#25552;&#20132;&#26448;&#26009;\Transport%20Modeling%20Structure-0115-PolicyEnhanced-v2.xlsx" TargetMode="External"/><Relationship Id="rId2" Type="http://schemas.microsoft.com/office/2011/relationships/chartColorStyle" Target="colors20.xml"/><Relationship Id="rId1" Type="http://schemas.microsoft.com/office/2011/relationships/chartStyle" Target="style20.xml"/></Relationships>
</file>

<file path=word/charts/_rels/chart24.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19990;&#30028;&#38134;&#34892;&#39033;&#30446;\&#25552;&#20132;&#26448;&#26009;\Transport%20Modeling%20Structure-0115-PolicyEnhanced-v2.xlsx" TargetMode="External"/><Relationship Id="rId2" Type="http://schemas.microsoft.com/office/2011/relationships/chartColorStyle" Target="colors21.xml"/><Relationship Id="rId1" Type="http://schemas.microsoft.com/office/2011/relationships/chartStyle" Target="style21.xml"/></Relationships>
</file>

<file path=word/charts/_rels/chart25.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30899;&#20013;&#21644;--&#33021;&#28304;&#22522;&#37329;&#20250;\&#20013;&#26399;&#27719;&#25253;\&#27719;&#25253;&#30011;&#22270;-v1.xlsx" TargetMode="External"/><Relationship Id="rId2" Type="http://schemas.microsoft.com/office/2011/relationships/chartColorStyle" Target="colors22.xml"/><Relationship Id="rId1" Type="http://schemas.microsoft.com/office/2011/relationships/chartStyle" Target="style22.xml"/></Relationships>
</file>

<file path=word/charts/_rels/chart26.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30899;&#20013;&#21644;--&#33021;&#28304;&#22522;&#37329;&#20250;\&#20013;&#26399;&#27719;&#25253;\Transport%20Modeling%20Structure-0116-bau.xlsx" TargetMode="External"/><Relationship Id="rId2" Type="http://schemas.microsoft.com/office/2011/relationships/chartColorStyle" Target="colors23.xml"/><Relationship Id="rId1" Type="http://schemas.microsoft.com/office/2011/relationships/chartStyle" Target="style23.xml"/></Relationships>
</file>

<file path=word/charts/_rels/chart27.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30899;&#20013;&#21644;--&#33021;&#28304;&#22522;&#37329;&#20250;\&#20013;&#26399;&#27719;&#25253;\Transport%20Modeling%20Structure-0116-bau.xlsx" TargetMode="External"/><Relationship Id="rId2" Type="http://schemas.microsoft.com/office/2011/relationships/chartColorStyle" Target="colors24.xml"/><Relationship Id="rId1" Type="http://schemas.microsoft.com/office/2011/relationships/chartStyle" Target="style24.xml"/></Relationships>
</file>

<file path=word/charts/_rels/chart28.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30899;&#20013;&#21644;--&#33021;&#28304;&#22522;&#37329;&#20250;\&#20013;&#26399;&#27719;&#25253;\&#27719;&#25253;&#30011;&#22270;-v1.xlsx" TargetMode="External"/><Relationship Id="rId2" Type="http://schemas.microsoft.com/office/2011/relationships/chartColorStyle" Target="colors25.xml"/><Relationship Id="rId1" Type="http://schemas.microsoft.com/office/2011/relationships/chartStyle" Target="style25.xml"/></Relationships>
</file>

<file path=word/charts/_rels/chart29.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30899;&#20013;&#21644;--&#33021;&#28304;&#22522;&#37329;&#20250;\&#20013;&#26399;&#27719;&#25253;\Transport%20Modeling%20Structure-0115-PolicyEnhanced-v2.xlsx" TargetMode="External"/><Relationship Id="rId2" Type="http://schemas.microsoft.com/office/2011/relationships/chartColorStyle" Target="colors28.xml"/><Relationship Id="rId1" Type="http://schemas.microsoft.com/office/2011/relationships/chartStyle" Target="style28.xml"/></Relationships>
</file>

<file path=word/charts/_rels/chart30.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30899;&#20013;&#21644;--&#33021;&#28304;&#22522;&#37329;&#20250;\&#20013;&#26399;&#27719;&#25253;\Transport%20Modeling%20Structure-0115-PolicyEnhanced-v2.xlsx" TargetMode="External"/><Relationship Id="rId2" Type="http://schemas.microsoft.com/office/2011/relationships/chartColorStyle" Target="colors29.xml"/><Relationship Id="rId1" Type="http://schemas.microsoft.com/office/2011/relationships/chartStyle" Target="style29.xml"/></Relationships>
</file>

<file path=word/charts/_rels/chart31.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30899;&#20013;&#21644;--&#33021;&#28304;&#22522;&#37329;&#20250;\&#20013;&#26399;&#27719;&#25253;\&#27719;&#25253;&#30011;&#22270;-v1.xlsx" TargetMode="External"/><Relationship Id="rId2" Type="http://schemas.microsoft.com/office/2011/relationships/chartColorStyle" Target="colors30.xml"/><Relationship Id="rId1" Type="http://schemas.microsoft.com/office/2011/relationships/chartStyle" Target="style30.xml"/></Relationships>
</file>

<file path=word/charts/_rels/chart32.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30899;&#20013;&#21644;--&#33021;&#28304;&#22522;&#37329;&#20250;\&#20013;&#26399;&#27719;&#25253;\Transport%20Modeling%20Structure-0118-&#28608;&#36827;&#24773;&#26223;-v2.xlsx" TargetMode="External"/><Relationship Id="rId2" Type="http://schemas.microsoft.com/office/2011/relationships/chartColorStyle" Target="colors33.xml"/><Relationship Id="rId1" Type="http://schemas.microsoft.com/office/2011/relationships/chartStyle" Target="style33.xml"/></Relationships>
</file>

<file path=word/charts/_rels/chart33.xml.rels><?xml version="1.0" encoding="UTF-8" standalone="yes"?>
<Relationships xmlns="http://schemas.openxmlformats.org/package/2006/relationships"><Relationship Id="rId3" Type="http://schemas.openxmlformats.org/officeDocument/2006/relationships/oleObject" Target="file:///C:\&#25105;&#30340;&#36164;&#26009;\&#20132;&#36890;&#36816;&#36755;&#37096;\Excel&#26500;&#24314;\&#30899;&#20013;&#21644;--&#33021;&#28304;&#22522;&#37329;&#20250;\&#20013;&#26399;&#27719;&#25253;\Transport%20Modeling%20Structure-0116-&#28608;&#36827;&#24773;&#26223;.xlsx" TargetMode="External"/><Relationship Id="rId2" Type="http://schemas.microsoft.com/office/2011/relationships/chartColorStyle" Target="colors34.xml"/><Relationship Id="rId1" Type="http://schemas.microsoft.com/office/2011/relationships/chartStyle" Target="style34.xml"/></Relationships>
</file>

<file path=word/charts/_rels/chartEx1.xml.rels><?xml version="1.0" encoding="UTF-8" standalone="yes"?>
<Relationships xmlns="http://schemas.openxmlformats.org/package/2006/relationships"><Relationship Id="rId3" Type="http://schemas.microsoft.com/office/2011/relationships/chartColorStyle" Target="colors26.xml"/><Relationship Id="rId2" Type="http://schemas.microsoft.com/office/2011/relationships/chartStyle" Target="style26.xml"/><Relationship Id="rId1" Type="http://schemas.openxmlformats.org/officeDocument/2006/relationships/oleObject" Target="file:///C:\&#25105;&#30340;&#36164;&#26009;\&#20132;&#36890;&#36816;&#36755;&#37096;\Excel&#26500;&#24314;\&#30899;&#20013;&#21644;--&#33021;&#28304;&#22522;&#37329;&#20250;\&#20013;&#26399;&#27719;&#25253;\&#27719;&#25253;&#30011;&#22270;-v1.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7.xml"/><Relationship Id="rId2" Type="http://schemas.microsoft.com/office/2011/relationships/chartStyle" Target="style27.xml"/><Relationship Id="rId1" Type="http://schemas.openxmlformats.org/officeDocument/2006/relationships/oleObject" Target="file:///C:\&#25105;&#30340;&#36164;&#26009;\&#20132;&#36890;&#36816;&#36755;&#37096;\Excel&#26500;&#24314;\&#30899;&#20013;&#21644;--&#33021;&#28304;&#22522;&#37329;&#20250;\&#20013;&#26399;&#27719;&#25253;\&#27719;&#25253;&#30011;&#22270;-v1.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31.xml"/><Relationship Id="rId2" Type="http://schemas.microsoft.com/office/2011/relationships/chartStyle" Target="style31.xml"/><Relationship Id="rId1" Type="http://schemas.openxmlformats.org/officeDocument/2006/relationships/oleObject" Target="file:///C:\&#25105;&#30340;&#36164;&#26009;\&#20132;&#36890;&#36816;&#36755;&#37096;\Excel&#26500;&#24314;\&#30899;&#20013;&#21644;--&#33021;&#28304;&#22522;&#37329;&#20250;\&#20013;&#26399;&#27719;&#25253;\&#27719;&#25253;&#30011;&#22270;-v1.xlsx" TargetMode="External"/></Relationships>
</file>

<file path=word/charts/_rels/chartEx4.xml.rels><?xml version="1.0" encoding="UTF-8" standalone="yes"?>
<Relationships xmlns="http://schemas.openxmlformats.org/package/2006/relationships"><Relationship Id="rId3" Type="http://schemas.microsoft.com/office/2011/relationships/chartColorStyle" Target="colors32.xml"/><Relationship Id="rId2" Type="http://schemas.microsoft.com/office/2011/relationships/chartStyle" Target="style32.xml"/><Relationship Id="rId1" Type="http://schemas.openxmlformats.org/officeDocument/2006/relationships/oleObject" Target="file:///C:\&#25105;&#30340;&#36164;&#26009;\&#20132;&#36890;&#36816;&#36755;&#37096;\Excel&#26500;&#24314;\&#30899;&#20013;&#21644;--&#33021;&#28304;&#22522;&#37329;&#20250;\&#20013;&#26399;&#27719;&#25253;\&#27719;&#25253;&#30011;&#22270;-v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7860337434886"/>
          <c:y val="9.7222222222222196E-2"/>
          <c:w val="0.73854283785763397"/>
          <c:h val="0.68124461294190097"/>
        </c:manualLayout>
      </c:layout>
      <c:barChart>
        <c:barDir val="col"/>
        <c:grouping val="clustered"/>
        <c:varyColors val="0"/>
        <c:ser>
          <c:idx val="0"/>
          <c:order val="0"/>
          <c:tx>
            <c:strRef>
              <c:f>现状画图!$Z$251</c:f>
              <c:strCache>
                <c:ptCount val="1"/>
                <c:pt idx="0">
                  <c:v>全国CO2碳排放总量</c:v>
                </c:pt>
              </c:strCache>
            </c:strRef>
          </c:tx>
          <c:spPr>
            <a:pattFill prst="lgConfetti">
              <a:fgClr>
                <a:schemeClr val="accent1"/>
              </a:fgClr>
              <a:bgClr>
                <a:schemeClr val="bg1"/>
              </a:bgClr>
            </a:pattFill>
            <a:ln>
              <a:solidFill>
                <a:schemeClr val="accent1"/>
              </a:solidFill>
            </a:ln>
            <a:effectLst/>
          </c:spPr>
          <c:invertIfNegative val="0"/>
          <c:cat>
            <c:numRef>
              <c:f>现状画图!$Y$252:$Y$267</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现状画图!$Z$252:$Z$267</c:f>
              <c:numCache>
                <c:formatCode>0.00</c:formatCode>
                <c:ptCount val="16"/>
                <c:pt idx="0" formatCode="General">
                  <c:v>58</c:v>
                </c:pt>
                <c:pt idx="1">
                  <c:v>63.7</c:v>
                </c:pt>
                <c:pt idx="2">
                  <c:v>69.5</c:v>
                </c:pt>
                <c:pt idx="3">
                  <c:v>69.599999999999994</c:v>
                </c:pt>
                <c:pt idx="4">
                  <c:v>73.8</c:v>
                </c:pt>
                <c:pt idx="5">
                  <c:v>77.900000000000006</c:v>
                </c:pt>
                <c:pt idx="6">
                  <c:v>84.7</c:v>
                </c:pt>
                <c:pt idx="7">
                  <c:v>88.7</c:v>
                </c:pt>
                <c:pt idx="8">
                  <c:v>91.3</c:v>
                </c:pt>
                <c:pt idx="9">
                  <c:v>92.2</c:v>
                </c:pt>
                <c:pt idx="10">
                  <c:v>92.1</c:v>
                </c:pt>
                <c:pt idx="11">
                  <c:v>92.1</c:v>
                </c:pt>
                <c:pt idx="12">
                  <c:v>94.1</c:v>
                </c:pt>
                <c:pt idx="13">
                  <c:v>95.9</c:v>
                </c:pt>
                <c:pt idx="14">
                  <c:v>97.6</c:v>
                </c:pt>
                <c:pt idx="15">
                  <c:v>98.8</c:v>
                </c:pt>
              </c:numCache>
            </c:numRef>
          </c:val>
          <c:extLst>
            <c:ext xmlns:c16="http://schemas.microsoft.com/office/drawing/2014/chart" uri="{C3380CC4-5D6E-409C-BE32-E72D297353CC}">
              <c16:uniqueId val="{00000000-87A2-4F95-A0C4-44CB51448E52}"/>
            </c:ext>
          </c:extLst>
        </c:ser>
        <c:ser>
          <c:idx val="1"/>
          <c:order val="1"/>
          <c:tx>
            <c:strRef>
              <c:f>现状画图!$AA$251</c:f>
              <c:strCache>
                <c:ptCount val="1"/>
                <c:pt idx="0">
                  <c:v>交通运输领域CO2排放量</c:v>
                </c:pt>
              </c:strCache>
            </c:strRef>
          </c:tx>
          <c:spPr>
            <a:pattFill prst="wdUpDiag">
              <a:fgClr>
                <a:schemeClr val="accent2"/>
              </a:fgClr>
              <a:bgClr>
                <a:schemeClr val="bg1"/>
              </a:bgClr>
            </a:pattFill>
            <a:ln>
              <a:solidFill>
                <a:schemeClr val="accent2">
                  <a:alpha val="92000"/>
                </a:schemeClr>
              </a:solidFill>
            </a:ln>
            <a:effectLst/>
          </c:spPr>
          <c:invertIfNegative val="0"/>
          <c:cat>
            <c:numRef>
              <c:f>现状画图!$Y$252:$Y$267</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现状画图!$AA$252:$AA$267</c:f>
              <c:numCache>
                <c:formatCode>0.00</c:formatCode>
                <c:ptCount val="16"/>
                <c:pt idx="0">
                  <c:v>3.4282214014450401</c:v>
                </c:pt>
                <c:pt idx="1">
                  <c:v>3.9665184983738602</c:v>
                </c:pt>
                <c:pt idx="2">
                  <c:v>4.6578158106492697</c:v>
                </c:pt>
                <c:pt idx="3">
                  <c:v>5.2812138106082802</c:v>
                </c:pt>
                <c:pt idx="4">
                  <c:v>5.7635959153926297</c:v>
                </c:pt>
                <c:pt idx="5">
                  <c:v>6.6446691618846003</c:v>
                </c:pt>
                <c:pt idx="6">
                  <c:v>7.4518928863724003</c:v>
                </c:pt>
                <c:pt idx="7">
                  <c:v>8.0766940481137794</c:v>
                </c:pt>
                <c:pt idx="8">
                  <c:v>8.5119625365635105</c:v>
                </c:pt>
                <c:pt idx="9">
                  <c:v>9.0885523437066293</c:v>
                </c:pt>
                <c:pt idx="10">
                  <c:v>9.3102839043452299</c:v>
                </c:pt>
                <c:pt idx="11">
                  <c:v>9.6717374145440793</c:v>
                </c:pt>
                <c:pt idx="12">
                  <c:v>10.5251503356066</c:v>
                </c:pt>
                <c:pt idx="13">
                  <c:v>11.2110028221486</c:v>
                </c:pt>
                <c:pt idx="14">
                  <c:v>11.502774415973301</c:v>
                </c:pt>
                <c:pt idx="15">
                  <c:v>10.186520538250599</c:v>
                </c:pt>
              </c:numCache>
            </c:numRef>
          </c:val>
          <c:extLst>
            <c:ext xmlns:c16="http://schemas.microsoft.com/office/drawing/2014/chart" uri="{C3380CC4-5D6E-409C-BE32-E72D297353CC}">
              <c16:uniqueId val="{00000001-87A2-4F95-A0C4-44CB51448E52}"/>
            </c:ext>
          </c:extLst>
        </c:ser>
        <c:dLbls>
          <c:showLegendKey val="0"/>
          <c:showVal val="0"/>
          <c:showCatName val="0"/>
          <c:showSerName val="0"/>
          <c:showPercent val="0"/>
          <c:showBubbleSize val="0"/>
        </c:dLbls>
        <c:gapWidth val="219"/>
        <c:overlap val="-27"/>
        <c:axId val="688989744"/>
        <c:axId val="688991056"/>
      </c:barChart>
      <c:lineChart>
        <c:grouping val="standard"/>
        <c:varyColors val="0"/>
        <c:ser>
          <c:idx val="2"/>
          <c:order val="2"/>
          <c:tx>
            <c:strRef>
              <c:f>现状画图!$AB$251</c:f>
              <c:strCache>
                <c:ptCount val="1"/>
                <c:pt idx="0">
                  <c:v>交通运输CO2排放占比</c:v>
                </c:pt>
              </c:strCache>
            </c:strRef>
          </c:tx>
          <c:spPr>
            <a:ln w="28575" cap="rnd">
              <a:solidFill>
                <a:schemeClr val="accent6"/>
              </a:solidFill>
              <a:round/>
            </a:ln>
            <a:effectLst/>
          </c:spPr>
          <c:marker>
            <c:symbol val="circle"/>
            <c:size val="5"/>
            <c:spPr>
              <a:solidFill>
                <a:srgbClr val="70AD47"/>
              </a:solidFill>
              <a:ln w="9525">
                <a:solidFill>
                  <a:srgbClr val="70AD47"/>
                </a:solidFill>
              </a:ln>
              <a:effectLst/>
            </c:spPr>
          </c:marker>
          <c:cat>
            <c:numRef>
              <c:f>现状画图!$Y$252:$Y$267</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现状画图!$AB$252:$AB$267</c:f>
              <c:numCache>
                <c:formatCode>0.0%</c:formatCode>
                <c:ptCount val="16"/>
                <c:pt idx="0">
                  <c:v>5.9107265542155799E-2</c:v>
                </c:pt>
                <c:pt idx="1">
                  <c:v>6.2268736238208097E-2</c:v>
                </c:pt>
                <c:pt idx="2">
                  <c:v>6.7018932527327602E-2</c:v>
                </c:pt>
                <c:pt idx="3">
                  <c:v>7.5879508773107396E-2</c:v>
                </c:pt>
                <c:pt idx="4">
                  <c:v>7.8097505628626399E-2</c:v>
                </c:pt>
                <c:pt idx="5">
                  <c:v>8.5297421847042296E-2</c:v>
                </c:pt>
                <c:pt idx="6">
                  <c:v>8.79798451755891E-2</c:v>
                </c:pt>
                <c:pt idx="7">
                  <c:v>9.1056302684484502E-2</c:v>
                </c:pt>
                <c:pt idx="8">
                  <c:v>9.3230695909786498E-2</c:v>
                </c:pt>
                <c:pt idx="9">
                  <c:v>9.85743204306576E-2</c:v>
                </c:pt>
                <c:pt idx="10">
                  <c:v>0.101088858896257</c:v>
                </c:pt>
                <c:pt idx="11">
                  <c:v>0.105013435554225</c:v>
                </c:pt>
                <c:pt idx="12">
                  <c:v>0.111850694321005</c:v>
                </c:pt>
                <c:pt idx="13">
                  <c:v>0.116903053411351</c:v>
                </c:pt>
                <c:pt idx="14">
                  <c:v>0.117856295245629</c:v>
                </c:pt>
                <c:pt idx="15">
                  <c:v>0.103102434597678</c:v>
                </c:pt>
              </c:numCache>
            </c:numRef>
          </c:val>
          <c:smooth val="0"/>
          <c:extLst>
            <c:ext xmlns:c16="http://schemas.microsoft.com/office/drawing/2014/chart" uri="{C3380CC4-5D6E-409C-BE32-E72D297353CC}">
              <c16:uniqueId val="{00000002-87A2-4F95-A0C4-44CB51448E52}"/>
            </c:ext>
          </c:extLst>
        </c:ser>
        <c:dLbls>
          <c:showLegendKey val="0"/>
          <c:showVal val="0"/>
          <c:showCatName val="0"/>
          <c:showSerName val="0"/>
          <c:showPercent val="0"/>
          <c:showBubbleSize val="0"/>
        </c:dLbls>
        <c:marker val="1"/>
        <c:smooth val="0"/>
        <c:axId val="498259456"/>
        <c:axId val="498260440"/>
      </c:lineChart>
      <c:catAx>
        <c:axId val="68898974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700" b="0" i="0" u="none" strike="noStrike" kern="1200" baseline="0">
                <a:solidFill>
                  <a:schemeClr val="tx1"/>
                </a:solidFill>
                <a:latin typeface="Times New Roman" panose="02020603050405020304" charset="0"/>
                <a:ea typeface="+mn-ea"/>
                <a:cs typeface="Times New Roman" panose="02020603050405020304" charset="0"/>
              </a:defRPr>
            </a:pPr>
            <a:endParaRPr lang="zh-CN"/>
          </a:p>
        </c:txPr>
        <c:crossAx val="688991056"/>
        <c:crosses val="autoZero"/>
        <c:auto val="1"/>
        <c:lblAlgn val="ctr"/>
        <c:lblOffset val="100"/>
        <c:noMultiLvlLbl val="0"/>
      </c:catAx>
      <c:valAx>
        <c:axId val="6889910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a:solidFill>
                      <a:schemeClr val="tx1"/>
                    </a:solidFill>
                    <a:latin typeface="Times New Roman" panose="02020603050405020304" charset="0"/>
                    <a:ea typeface="楷体" panose="02010609060101010101" charset="-122"/>
                    <a:cs typeface="Times New Roman" panose="02020603050405020304" charset="0"/>
                  </a:rPr>
                  <a:t>碳排放（亿</a:t>
                </a:r>
                <a:r>
                  <a:rPr lang="en-US" altLang="zh-CN">
                    <a:solidFill>
                      <a:schemeClr val="tx1"/>
                    </a:solidFill>
                    <a:latin typeface="Times New Roman" panose="02020603050405020304" charset="0"/>
                    <a:ea typeface="楷体" panose="02010609060101010101" charset="-122"/>
                    <a:cs typeface="Times New Roman" panose="02020603050405020304" charset="0"/>
                  </a:rPr>
                  <a:t>t</a:t>
                </a:r>
                <a:r>
                  <a:rPr lang="zh-CN" altLang="en-US">
                    <a:solidFill>
                      <a:schemeClr val="tx1"/>
                    </a:solidFill>
                    <a:latin typeface="Times New Roman" panose="02020603050405020304" charset="0"/>
                    <a:ea typeface="楷体" panose="02010609060101010101" charset="-122"/>
                    <a:cs typeface="Times New Roman" panose="02020603050405020304" charset="0"/>
                  </a:rPr>
                  <a:t>）</a:t>
                </a:r>
              </a:p>
            </c:rich>
          </c:tx>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title>
        <c:numFmt formatCode="General" sourceLinked="0"/>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Times New Roman" panose="02020603050405020304" charset="0"/>
                <a:ea typeface="+mn-ea"/>
                <a:cs typeface="Times New Roman" panose="02020603050405020304" charset="0"/>
              </a:defRPr>
            </a:pPr>
            <a:endParaRPr lang="zh-CN"/>
          </a:p>
        </c:txPr>
        <c:crossAx val="688989744"/>
        <c:crosses val="autoZero"/>
        <c:crossBetween val="between"/>
      </c:valAx>
      <c:catAx>
        <c:axId val="498259456"/>
        <c:scaling>
          <c:orientation val="minMax"/>
        </c:scaling>
        <c:delete val="1"/>
        <c:axPos val="b"/>
        <c:numFmt formatCode="General" sourceLinked="1"/>
        <c:majorTickMark val="out"/>
        <c:minorTickMark val="none"/>
        <c:tickLblPos val="nextTo"/>
        <c:crossAx val="498260440"/>
        <c:crosses val="autoZero"/>
        <c:auto val="1"/>
        <c:lblAlgn val="ctr"/>
        <c:lblOffset val="100"/>
        <c:noMultiLvlLbl val="0"/>
      </c:catAx>
      <c:valAx>
        <c:axId val="498260440"/>
        <c:scaling>
          <c:orientation val="minMax"/>
          <c:min val="0.05"/>
        </c:scaling>
        <c:delete val="0"/>
        <c:axPos val="r"/>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a:solidFill>
                      <a:schemeClr val="tx1"/>
                    </a:solidFill>
                    <a:latin typeface="Times New Roman" panose="02020603050405020304" charset="0"/>
                    <a:ea typeface="楷体" panose="02010609060101010101" charset="-122"/>
                    <a:cs typeface="Times New Roman" panose="02020603050405020304" charset="0"/>
                  </a:rPr>
                  <a:t>交通部门碳排放占比（</a:t>
                </a:r>
                <a:r>
                  <a:rPr lang="en-US" altLang="zh-CN">
                    <a:solidFill>
                      <a:schemeClr val="tx1"/>
                    </a:solidFill>
                    <a:latin typeface="Times New Roman" panose="02020603050405020304" charset="0"/>
                    <a:ea typeface="楷体" panose="02010609060101010101" charset="-122"/>
                    <a:cs typeface="Times New Roman" panose="02020603050405020304" charset="0"/>
                  </a:rPr>
                  <a:t>%</a:t>
                </a:r>
                <a:r>
                  <a:rPr lang="zh-CN" altLang="en-US">
                    <a:solidFill>
                      <a:schemeClr val="tx1"/>
                    </a:solidFill>
                    <a:latin typeface="Times New Roman" panose="02020603050405020304" charset="0"/>
                    <a:ea typeface="楷体" panose="02010609060101010101" charset="-122"/>
                    <a:cs typeface="Times New Roman" panose="02020603050405020304" charset="0"/>
                  </a:rPr>
                  <a:t>）</a:t>
                </a:r>
              </a:p>
            </c:rich>
          </c:tx>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title>
        <c:numFmt formatCode="0.0%" sourceLinked="0"/>
        <c:majorTickMark val="in"/>
        <c:minorTickMark val="none"/>
        <c:tickLblPos val="nextTo"/>
        <c:spPr>
          <a:noFill/>
          <a:ln>
            <a:solidFill>
              <a:sysClr val="windowText" lastClr="000000"/>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Times New Roman" panose="02020603050405020304" charset="0"/>
                <a:ea typeface="+mn-ea"/>
                <a:cs typeface="Times New Roman" panose="02020603050405020304" charset="0"/>
              </a:defRPr>
            </a:pPr>
            <a:endParaRPr lang="zh-CN"/>
          </a:p>
        </c:txPr>
        <c:crossAx val="498259456"/>
        <c:crosses val="max"/>
        <c:crossBetween val="between"/>
      </c:valAx>
      <c:spPr>
        <a:noFill/>
        <a:ln>
          <a:noFill/>
        </a:ln>
        <a:effectLst/>
      </c:spPr>
    </c:plotArea>
    <c:legend>
      <c:legendPos val="b"/>
      <c:layout>
        <c:manualLayout>
          <c:xMode val="edge"/>
          <c:yMode val="edge"/>
          <c:x val="1.38888888888889E-2"/>
          <c:y val="0.84679022109135904"/>
          <c:w val="0.93333333333333302"/>
          <c:h val="0.128518518518519"/>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Times New Roman" panose="02020603050405020304" charset="0"/>
              <a:ea typeface="楷体" panose="02010609060101010101" charset="-122"/>
              <a:cs typeface="Times New Roman" panose="02020603050405020304" charset="0"/>
            </a:defRPr>
          </a:pPr>
          <a:endParaRPr lang="zh-CN"/>
        </a:p>
      </c:txPr>
    </c:legend>
    <c:plotVisOnly val="1"/>
    <c:dispBlanksAs val="gap"/>
    <c:showDLblsOverMax val="0"/>
  </c:chart>
  <c:spPr>
    <a:pattFill prst="pct5">
      <a:fgClr>
        <a:srgbClr val="FFFFFF"/>
      </a:fgClr>
      <a:bgClr>
        <a:schemeClr val="bg1"/>
      </a:bgClr>
    </a:pattFill>
    <a:ln w="9525" cap="flat" cmpd="sng" algn="ctr">
      <a:solidFill>
        <a:schemeClr val="tx1">
          <a:lumMod val="15000"/>
          <a:lumOff val="85000"/>
        </a:schemeClr>
      </a:solidFill>
      <a:round/>
    </a:ln>
    <a:effectLst/>
  </c:spPr>
  <c:txPr>
    <a:bodyPr/>
    <a:lstStyle/>
    <a:p>
      <a:pPr>
        <a:defRPr lang="zh-CN">
          <a:solidFill>
            <a:schemeClr val="tx1"/>
          </a:solidFill>
        </a:defRPr>
      </a:pPr>
      <a:endParaRPr lang="zh-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1"/>
          <c:order val="1"/>
          <c:tx>
            <c:strRef>
              <c:f>合体!$H$1</c:f>
              <c:strCache>
                <c:ptCount val="1"/>
                <c:pt idx="0">
                  <c:v>英国</c:v>
                </c:pt>
              </c:strCache>
            </c:strRef>
          </c:tx>
          <c:spPr>
            <a:ln w="15875" cap="rnd">
              <a:solidFill>
                <a:schemeClr val="accent2"/>
              </a:solidFill>
              <a:round/>
            </a:ln>
            <a:effectLst/>
          </c:spPr>
          <c:marker>
            <c:symbol val="circle"/>
            <c:size val="5"/>
            <c:spPr>
              <a:solidFill>
                <a:schemeClr val="accent2"/>
              </a:solidFill>
              <a:ln w="3175">
                <a:solidFill>
                  <a:schemeClr val="accent2"/>
                </a:solidFill>
              </a:ln>
              <a:effectLst/>
            </c:spPr>
          </c:marker>
          <c:cat>
            <c:numRef>
              <c:f>合体!$F$2:$F$49</c:f>
              <c:numCache>
                <c:formatCode>General</c:formatCode>
                <c:ptCount val="48"/>
                <c:pt idx="0">
                  <c:v>1970</c:v>
                </c:pt>
                <c:pt idx="1">
                  <c:v>1971</c:v>
                </c:pt>
                <c:pt idx="2">
                  <c:v>1972</c:v>
                </c:pt>
                <c:pt idx="3">
                  <c:v>1973</c:v>
                </c:pt>
                <c:pt idx="4">
                  <c:v>1974</c:v>
                </c:pt>
                <c:pt idx="5">
                  <c:v>1975</c:v>
                </c:pt>
                <c:pt idx="6">
                  <c:v>1976</c:v>
                </c:pt>
                <c:pt idx="7">
                  <c:v>1977</c:v>
                </c:pt>
                <c:pt idx="8">
                  <c:v>1978</c:v>
                </c:pt>
                <c:pt idx="9">
                  <c:v>1979</c:v>
                </c:pt>
                <c:pt idx="10">
                  <c:v>1980</c:v>
                </c:pt>
                <c:pt idx="11">
                  <c:v>1981</c:v>
                </c:pt>
                <c:pt idx="12">
                  <c:v>1982</c:v>
                </c:pt>
                <c:pt idx="13">
                  <c:v>1983</c:v>
                </c:pt>
                <c:pt idx="14">
                  <c:v>1984</c:v>
                </c:pt>
                <c:pt idx="15">
                  <c:v>1985</c:v>
                </c:pt>
                <c:pt idx="16">
                  <c:v>1986</c:v>
                </c:pt>
                <c:pt idx="17">
                  <c:v>1987</c:v>
                </c:pt>
                <c:pt idx="18">
                  <c:v>1988</c:v>
                </c:pt>
                <c:pt idx="19">
                  <c:v>1989</c:v>
                </c:pt>
                <c:pt idx="20">
                  <c:v>1990</c:v>
                </c:pt>
                <c:pt idx="21">
                  <c:v>1991</c:v>
                </c:pt>
                <c:pt idx="22">
                  <c:v>1992</c:v>
                </c:pt>
                <c:pt idx="23">
                  <c:v>1993</c:v>
                </c:pt>
                <c:pt idx="24">
                  <c:v>1994</c:v>
                </c:pt>
                <c:pt idx="25">
                  <c:v>1995</c:v>
                </c:pt>
                <c:pt idx="26">
                  <c:v>1996</c:v>
                </c:pt>
                <c:pt idx="27">
                  <c:v>1997</c:v>
                </c:pt>
                <c:pt idx="28">
                  <c:v>1998</c:v>
                </c:pt>
                <c:pt idx="29">
                  <c:v>1999</c:v>
                </c:pt>
                <c:pt idx="30">
                  <c:v>2000</c:v>
                </c:pt>
                <c:pt idx="31">
                  <c:v>2001</c:v>
                </c:pt>
                <c:pt idx="32">
                  <c:v>2002</c:v>
                </c:pt>
                <c:pt idx="33">
                  <c:v>2003</c:v>
                </c:pt>
                <c:pt idx="34">
                  <c:v>2004</c:v>
                </c:pt>
                <c:pt idx="35">
                  <c:v>2005</c:v>
                </c:pt>
                <c:pt idx="36">
                  <c:v>2006</c:v>
                </c:pt>
                <c:pt idx="37">
                  <c:v>2007</c:v>
                </c:pt>
                <c:pt idx="38">
                  <c:v>2008</c:v>
                </c:pt>
                <c:pt idx="39">
                  <c:v>2009</c:v>
                </c:pt>
                <c:pt idx="40">
                  <c:v>2010</c:v>
                </c:pt>
                <c:pt idx="41">
                  <c:v>2011</c:v>
                </c:pt>
                <c:pt idx="42">
                  <c:v>2012</c:v>
                </c:pt>
                <c:pt idx="43">
                  <c:v>2013</c:v>
                </c:pt>
                <c:pt idx="44">
                  <c:v>2014</c:v>
                </c:pt>
                <c:pt idx="45">
                  <c:v>2015</c:v>
                </c:pt>
                <c:pt idx="46">
                  <c:v>2016</c:v>
                </c:pt>
                <c:pt idx="47">
                  <c:v>2017</c:v>
                </c:pt>
              </c:numCache>
            </c:numRef>
          </c:cat>
          <c:val>
            <c:numRef>
              <c:f>合体!$H$2:$H$49</c:f>
              <c:numCache>
                <c:formatCode>0.0</c:formatCode>
                <c:ptCount val="48"/>
                <c:pt idx="0">
                  <c:v>1361.8190002441399</c:v>
                </c:pt>
                <c:pt idx="1">
                  <c:v>1349.27900024414</c:v>
                </c:pt>
                <c:pt idx="2">
                  <c:v>1363.25099975586</c:v>
                </c:pt>
                <c:pt idx="3">
                  <c:v>1446.30900024414</c:v>
                </c:pt>
                <c:pt idx="4">
                  <c:v>1435.31299987793</c:v>
                </c:pt>
                <c:pt idx="5">
                  <c:v>1420.14700012207</c:v>
                </c:pt>
                <c:pt idx="6">
                  <c:v>1447.4840002441399</c:v>
                </c:pt>
                <c:pt idx="7">
                  <c:v>1605.8309997558599</c:v>
                </c:pt>
                <c:pt idx="8">
                  <c:v>1732.49199951172</c:v>
                </c:pt>
                <c:pt idx="9">
                  <c:v>1861.28900024414</c:v>
                </c:pt>
                <c:pt idx="10">
                  <c:v>1734.0640002441401</c:v>
                </c:pt>
                <c:pt idx="11">
                  <c:v>1717.77</c:v>
                </c:pt>
                <c:pt idx="12">
                  <c:v>1773.09400024414</c:v>
                </c:pt>
                <c:pt idx="13">
                  <c:v>1816.6480004882801</c:v>
                </c:pt>
                <c:pt idx="14">
                  <c:v>1816.6639990234401</c:v>
                </c:pt>
                <c:pt idx="15">
                  <c:v>1865.4810009765599</c:v>
                </c:pt>
                <c:pt idx="16">
                  <c:v>1855.0230004882801</c:v>
                </c:pt>
                <c:pt idx="17">
                  <c:v>1937.135</c:v>
                </c:pt>
                <c:pt idx="18">
                  <c:v>2170.2330004882801</c:v>
                </c:pt>
                <c:pt idx="19">
                  <c:v>2207.8319995117199</c:v>
                </c:pt>
                <c:pt idx="20">
                  <c:v>2173.94399902344</c:v>
                </c:pt>
                <c:pt idx="21">
                  <c:v>2134.25399902344</c:v>
                </c:pt>
                <c:pt idx="22">
                  <c:v>2081.2720019531198</c:v>
                </c:pt>
                <c:pt idx="23">
                  <c:v>2113.7600000000002</c:v>
                </c:pt>
                <c:pt idx="24">
                  <c:v>2226.8120019531302</c:v>
                </c:pt>
                <c:pt idx="25">
                  <c:v>2298.7160009765598</c:v>
                </c:pt>
                <c:pt idx="26">
                  <c:v>2385.2510009765601</c:v>
                </c:pt>
                <c:pt idx="27">
                  <c:v>2339.28600097656</c:v>
                </c:pt>
                <c:pt idx="28">
                  <c:v>2447.5050000000001</c:v>
                </c:pt>
                <c:pt idx="29">
                  <c:v>2449.94624695312</c:v>
                </c:pt>
                <c:pt idx="30">
                  <c:v>2548.6873489999998</c:v>
                </c:pt>
                <c:pt idx="31">
                  <c:v>2450.4015410000002</c:v>
                </c:pt>
                <c:pt idx="32">
                  <c:v>2546.3634160000001</c:v>
                </c:pt>
                <c:pt idx="33">
                  <c:v>2512.9887050000002</c:v>
                </c:pt>
                <c:pt idx="34">
                  <c:v>2583.3027259999999</c:v>
                </c:pt>
                <c:pt idx="35">
                  <c:v>2648.8722299999999</c:v>
                </c:pt>
                <c:pt idx="36">
                  <c:v>2568.5010539999998</c:v>
                </c:pt>
                <c:pt idx="37">
                  <c:v>2603.687484</c:v>
                </c:pt>
                <c:pt idx="38">
                  <c:v>2477.0071670000002</c:v>
                </c:pt>
                <c:pt idx="39">
                  <c:v>2245.5860250000001</c:v>
                </c:pt>
                <c:pt idx="40">
                  <c:v>2297.2215931307401</c:v>
                </c:pt>
                <c:pt idx="41">
                  <c:v>2291.1166818329002</c:v>
                </c:pt>
                <c:pt idx="42">
                  <c:v>2248.8708505285099</c:v>
                </c:pt>
                <c:pt idx="43">
                  <c:v>1975.18023412</c:v>
                </c:pt>
                <c:pt idx="44">
                  <c:v>1909.59710051208</c:v>
                </c:pt>
                <c:pt idx="45">
                  <c:v>2069.90761738627</c:v>
                </c:pt>
                <c:pt idx="46">
                  <c:v>2094.3052919642801</c:v>
                </c:pt>
                <c:pt idx="47">
                  <c:v>2029.478333</c:v>
                </c:pt>
              </c:numCache>
            </c:numRef>
          </c:val>
          <c:smooth val="0"/>
          <c:extLst>
            <c:ext xmlns:c16="http://schemas.microsoft.com/office/drawing/2014/chart" uri="{C3380CC4-5D6E-409C-BE32-E72D297353CC}">
              <c16:uniqueId val="{00000000-1DF6-4492-9F30-DDE7E586633E}"/>
            </c:ext>
          </c:extLst>
        </c:ser>
        <c:ser>
          <c:idx val="2"/>
          <c:order val="2"/>
          <c:tx>
            <c:strRef>
              <c:f>合体!$I$1</c:f>
              <c:strCache>
                <c:ptCount val="1"/>
                <c:pt idx="0">
                  <c:v>日本</c:v>
                </c:pt>
              </c:strCache>
            </c:strRef>
          </c:tx>
          <c:spPr>
            <a:ln w="19050" cap="rnd">
              <a:solidFill>
                <a:schemeClr val="accent3"/>
              </a:solidFill>
              <a:round/>
            </a:ln>
            <a:effectLst/>
          </c:spPr>
          <c:marker>
            <c:symbol val="triangle"/>
            <c:size val="5"/>
            <c:spPr>
              <a:solidFill>
                <a:schemeClr val="accent3"/>
              </a:solidFill>
              <a:ln w="12700">
                <a:solidFill>
                  <a:schemeClr val="accent3"/>
                </a:solidFill>
              </a:ln>
              <a:effectLst/>
            </c:spPr>
          </c:marker>
          <c:cat>
            <c:numRef>
              <c:f>合体!$F$2:$F$49</c:f>
              <c:numCache>
                <c:formatCode>General</c:formatCode>
                <c:ptCount val="48"/>
                <c:pt idx="0">
                  <c:v>1970</c:v>
                </c:pt>
                <c:pt idx="1">
                  <c:v>1971</c:v>
                </c:pt>
                <c:pt idx="2">
                  <c:v>1972</c:v>
                </c:pt>
                <c:pt idx="3">
                  <c:v>1973</c:v>
                </c:pt>
                <c:pt idx="4">
                  <c:v>1974</c:v>
                </c:pt>
                <c:pt idx="5">
                  <c:v>1975</c:v>
                </c:pt>
                <c:pt idx="6">
                  <c:v>1976</c:v>
                </c:pt>
                <c:pt idx="7">
                  <c:v>1977</c:v>
                </c:pt>
                <c:pt idx="8">
                  <c:v>1978</c:v>
                </c:pt>
                <c:pt idx="9">
                  <c:v>1979</c:v>
                </c:pt>
                <c:pt idx="10">
                  <c:v>1980</c:v>
                </c:pt>
                <c:pt idx="11">
                  <c:v>1981</c:v>
                </c:pt>
                <c:pt idx="12">
                  <c:v>1982</c:v>
                </c:pt>
                <c:pt idx="13">
                  <c:v>1983</c:v>
                </c:pt>
                <c:pt idx="14">
                  <c:v>1984</c:v>
                </c:pt>
                <c:pt idx="15">
                  <c:v>1985</c:v>
                </c:pt>
                <c:pt idx="16">
                  <c:v>1986</c:v>
                </c:pt>
                <c:pt idx="17">
                  <c:v>1987</c:v>
                </c:pt>
                <c:pt idx="18">
                  <c:v>1988</c:v>
                </c:pt>
                <c:pt idx="19">
                  <c:v>1989</c:v>
                </c:pt>
                <c:pt idx="20">
                  <c:v>1990</c:v>
                </c:pt>
                <c:pt idx="21">
                  <c:v>1991</c:v>
                </c:pt>
                <c:pt idx="22">
                  <c:v>1992</c:v>
                </c:pt>
                <c:pt idx="23">
                  <c:v>1993</c:v>
                </c:pt>
                <c:pt idx="24">
                  <c:v>1994</c:v>
                </c:pt>
                <c:pt idx="25">
                  <c:v>1995</c:v>
                </c:pt>
                <c:pt idx="26">
                  <c:v>1996</c:v>
                </c:pt>
                <c:pt idx="27">
                  <c:v>1997</c:v>
                </c:pt>
                <c:pt idx="28">
                  <c:v>1998</c:v>
                </c:pt>
                <c:pt idx="29">
                  <c:v>1999</c:v>
                </c:pt>
                <c:pt idx="30">
                  <c:v>2000</c:v>
                </c:pt>
                <c:pt idx="31">
                  <c:v>2001</c:v>
                </c:pt>
                <c:pt idx="32">
                  <c:v>2002</c:v>
                </c:pt>
                <c:pt idx="33">
                  <c:v>2003</c:v>
                </c:pt>
                <c:pt idx="34">
                  <c:v>2004</c:v>
                </c:pt>
                <c:pt idx="35">
                  <c:v>2005</c:v>
                </c:pt>
                <c:pt idx="36">
                  <c:v>2006</c:v>
                </c:pt>
                <c:pt idx="37">
                  <c:v>2007</c:v>
                </c:pt>
                <c:pt idx="38">
                  <c:v>2008</c:v>
                </c:pt>
                <c:pt idx="39">
                  <c:v>2009</c:v>
                </c:pt>
                <c:pt idx="40">
                  <c:v>2010</c:v>
                </c:pt>
                <c:pt idx="41">
                  <c:v>2011</c:v>
                </c:pt>
                <c:pt idx="42">
                  <c:v>2012</c:v>
                </c:pt>
                <c:pt idx="43">
                  <c:v>2013</c:v>
                </c:pt>
                <c:pt idx="44">
                  <c:v>2014</c:v>
                </c:pt>
                <c:pt idx="45">
                  <c:v>2015</c:v>
                </c:pt>
                <c:pt idx="46">
                  <c:v>2016</c:v>
                </c:pt>
                <c:pt idx="47">
                  <c:v>2017</c:v>
                </c:pt>
              </c:numCache>
            </c:numRef>
          </c:cat>
          <c:val>
            <c:numRef>
              <c:f>合体!$I$2:$I$49</c:f>
              <c:numCache>
                <c:formatCode>0.0</c:formatCode>
                <c:ptCount val="48"/>
                <c:pt idx="0">
                  <c:v>3505.6960000610402</c:v>
                </c:pt>
                <c:pt idx="1">
                  <c:v>3624.0510000610402</c:v>
                </c:pt>
                <c:pt idx="2">
                  <c:v>3895.9209997558601</c:v>
                </c:pt>
                <c:pt idx="3">
                  <c:v>4077.1709997558601</c:v>
                </c:pt>
                <c:pt idx="4">
                  <c:v>3760.60400024414</c:v>
                </c:pt>
                <c:pt idx="5">
                  <c:v>3611.9190002441401</c:v>
                </c:pt>
                <c:pt idx="6">
                  <c:v>3742.95800048828</c:v>
                </c:pt>
                <c:pt idx="7">
                  <c:v>3878.7950000000001</c:v>
                </c:pt>
                <c:pt idx="8">
                  <c:v>4105.96099975586</c:v>
                </c:pt>
                <c:pt idx="9">
                  <c:v>4433.8680004882799</c:v>
                </c:pt>
                <c:pt idx="10">
                  <c:v>4403.7269995117204</c:v>
                </c:pt>
                <c:pt idx="11">
                  <c:v>4289.9049999999997</c:v>
                </c:pt>
                <c:pt idx="12">
                  <c:v>4185.8889990234402</c:v>
                </c:pt>
                <c:pt idx="13">
                  <c:v>4241.75</c:v>
                </c:pt>
                <c:pt idx="14">
                  <c:v>4367.1530004882798</c:v>
                </c:pt>
                <c:pt idx="15">
                  <c:v>4367.50399902344</c:v>
                </c:pt>
                <c:pt idx="16">
                  <c:v>4381.2310009765597</c:v>
                </c:pt>
                <c:pt idx="17">
                  <c:v>4526.1129980468704</c:v>
                </c:pt>
                <c:pt idx="18">
                  <c:v>4869.7570019531204</c:v>
                </c:pt>
                <c:pt idx="19">
                  <c:v>5131.8460009765604</c:v>
                </c:pt>
                <c:pt idx="20">
                  <c:v>5510.5479980468799</c:v>
                </c:pt>
                <c:pt idx="21">
                  <c:v>5643.6129980468704</c:v>
                </c:pt>
                <c:pt idx="22">
                  <c:v>5614.53200195312</c:v>
                </c:pt>
                <c:pt idx="23">
                  <c:v>5403.28200195312</c:v>
                </c:pt>
                <c:pt idx="24">
                  <c:v>5496.2789990234396</c:v>
                </c:pt>
                <c:pt idx="25">
                  <c:v>5646.17</c:v>
                </c:pt>
                <c:pt idx="26">
                  <c:v>5790.3529980468702</c:v>
                </c:pt>
                <c:pt idx="27">
                  <c:v>5754.0260009765598</c:v>
                </c:pt>
                <c:pt idx="28">
                  <c:v>5580.8410009765603</c:v>
                </c:pt>
                <c:pt idx="29">
                  <c:v>5673.4759960937499</c:v>
                </c:pt>
                <c:pt idx="30">
                  <c:v>5855.97048</c:v>
                </c:pt>
                <c:pt idx="31">
                  <c:v>5873.3010199999999</c:v>
                </c:pt>
                <c:pt idx="32">
                  <c:v>5779.4567100000004</c:v>
                </c:pt>
                <c:pt idx="33">
                  <c:v>5711.2657600000002</c:v>
                </c:pt>
                <c:pt idx="34">
                  <c:v>5776.49244</c:v>
                </c:pt>
                <c:pt idx="35">
                  <c:v>5779.1724100000001</c:v>
                </c:pt>
                <c:pt idx="36">
                  <c:v>5860.5502399999996</c:v>
                </c:pt>
                <c:pt idx="37">
                  <c:v>5895.3106900000002</c:v>
                </c:pt>
                <c:pt idx="38">
                  <c:v>5647.0780699999996</c:v>
                </c:pt>
                <c:pt idx="39">
                  <c:v>5328.49665</c:v>
                </c:pt>
                <c:pt idx="40">
                  <c:v>4541.6979769790096</c:v>
                </c:pt>
                <c:pt idx="41">
                  <c:v>4353.9994500000003</c:v>
                </c:pt>
                <c:pt idx="42">
                  <c:v>4152.6378100000002</c:v>
                </c:pt>
                <c:pt idx="43">
                  <c:v>4277.3892699999997</c:v>
                </c:pt>
                <c:pt idx="44">
                  <c:v>4228.1875799999998</c:v>
                </c:pt>
                <c:pt idx="45">
                  <c:v>4148.7775799999999</c:v>
                </c:pt>
                <c:pt idx="46">
                  <c:v>4213.7788799999998</c:v>
                </c:pt>
                <c:pt idx="47">
                  <c:v>4241.10574</c:v>
                </c:pt>
              </c:numCache>
            </c:numRef>
          </c:val>
          <c:smooth val="0"/>
          <c:extLst>
            <c:ext xmlns:c16="http://schemas.microsoft.com/office/drawing/2014/chart" uri="{C3380CC4-5D6E-409C-BE32-E72D297353CC}">
              <c16:uniqueId val="{00000001-1DF6-4492-9F30-DDE7E586633E}"/>
            </c:ext>
          </c:extLst>
        </c:ser>
        <c:dLbls>
          <c:showLegendKey val="0"/>
          <c:showVal val="0"/>
          <c:showCatName val="0"/>
          <c:showSerName val="0"/>
          <c:showPercent val="0"/>
          <c:showBubbleSize val="0"/>
        </c:dLbls>
        <c:marker val="1"/>
        <c:smooth val="0"/>
        <c:axId val="432012080"/>
        <c:axId val="432012472"/>
      </c:lineChart>
      <c:lineChart>
        <c:grouping val="standard"/>
        <c:varyColors val="0"/>
        <c:ser>
          <c:idx val="0"/>
          <c:order val="0"/>
          <c:tx>
            <c:strRef>
              <c:f>合体!$G$1</c:f>
              <c:strCache>
                <c:ptCount val="1"/>
                <c:pt idx="0">
                  <c:v>美国</c:v>
                </c:pt>
              </c:strCache>
            </c:strRef>
          </c:tx>
          <c:spPr>
            <a:ln w="19050" cap="rnd">
              <a:solidFill>
                <a:schemeClr val="accent1"/>
              </a:solidFill>
              <a:round/>
            </a:ln>
            <a:effectLst/>
          </c:spPr>
          <c:marker>
            <c:symbol val="square"/>
            <c:size val="5"/>
            <c:spPr>
              <a:solidFill>
                <a:schemeClr val="accent1"/>
              </a:solidFill>
              <a:ln w="3175">
                <a:solidFill>
                  <a:schemeClr val="accent1"/>
                </a:solidFill>
              </a:ln>
              <a:effectLst/>
            </c:spPr>
          </c:marker>
          <c:cat>
            <c:numRef>
              <c:f>合体!$F$2:$F$49</c:f>
              <c:numCache>
                <c:formatCode>General</c:formatCode>
                <c:ptCount val="48"/>
                <c:pt idx="0">
                  <c:v>1970</c:v>
                </c:pt>
                <c:pt idx="1">
                  <c:v>1971</c:v>
                </c:pt>
                <c:pt idx="2">
                  <c:v>1972</c:v>
                </c:pt>
                <c:pt idx="3">
                  <c:v>1973</c:v>
                </c:pt>
                <c:pt idx="4">
                  <c:v>1974</c:v>
                </c:pt>
                <c:pt idx="5">
                  <c:v>1975</c:v>
                </c:pt>
                <c:pt idx="6">
                  <c:v>1976</c:v>
                </c:pt>
                <c:pt idx="7">
                  <c:v>1977</c:v>
                </c:pt>
                <c:pt idx="8">
                  <c:v>1978</c:v>
                </c:pt>
                <c:pt idx="9">
                  <c:v>1979</c:v>
                </c:pt>
                <c:pt idx="10">
                  <c:v>1980</c:v>
                </c:pt>
                <c:pt idx="11">
                  <c:v>1981</c:v>
                </c:pt>
                <c:pt idx="12">
                  <c:v>1982</c:v>
                </c:pt>
                <c:pt idx="13">
                  <c:v>1983</c:v>
                </c:pt>
                <c:pt idx="14">
                  <c:v>1984</c:v>
                </c:pt>
                <c:pt idx="15">
                  <c:v>1985</c:v>
                </c:pt>
                <c:pt idx="16">
                  <c:v>1986</c:v>
                </c:pt>
                <c:pt idx="17">
                  <c:v>1987</c:v>
                </c:pt>
                <c:pt idx="18">
                  <c:v>1988</c:v>
                </c:pt>
                <c:pt idx="19">
                  <c:v>1989</c:v>
                </c:pt>
                <c:pt idx="20">
                  <c:v>1990</c:v>
                </c:pt>
                <c:pt idx="21">
                  <c:v>1991</c:v>
                </c:pt>
                <c:pt idx="22">
                  <c:v>1992</c:v>
                </c:pt>
                <c:pt idx="23">
                  <c:v>1993</c:v>
                </c:pt>
                <c:pt idx="24">
                  <c:v>1994</c:v>
                </c:pt>
                <c:pt idx="25">
                  <c:v>1995</c:v>
                </c:pt>
                <c:pt idx="26">
                  <c:v>1996</c:v>
                </c:pt>
                <c:pt idx="27">
                  <c:v>1997</c:v>
                </c:pt>
                <c:pt idx="28">
                  <c:v>1998</c:v>
                </c:pt>
                <c:pt idx="29">
                  <c:v>1999</c:v>
                </c:pt>
                <c:pt idx="30">
                  <c:v>2000</c:v>
                </c:pt>
                <c:pt idx="31">
                  <c:v>2001</c:v>
                </c:pt>
                <c:pt idx="32">
                  <c:v>2002</c:v>
                </c:pt>
                <c:pt idx="33">
                  <c:v>2003</c:v>
                </c:pt>
                <c:pt idx="34">
                  <c:v>2004</c:v>
                </c:pt>
                <c:pt idx="35">
                  <c:v>2005</c:v>
                </c:pt>
                <c:pt idx="36">
                  <c:v>2006</c:v>
                </c:pt>
                <c:pt idx="37">
                  <c:v>2007</c:v>
                </c:pt>
                <c:pt idx="38">
                  <c:v>2008</c:v>
                </c:pt>
                <c:pt idx="39">
                  <c:v>2009</c:v>
                </c:pt>
                <c:pt idx="40">
                  <c:v>2010</c:v>
                </c:pt>
                <c:pt idx="41">
                  <c:v>2011</c:v>
                </c:pt>
                <c:pt idx="42">
                  <c:v>2012</c:v>
                </c:pt>
                <c:pt idx="43">
                  <c:v>2013</c:v>
                </c:pt>
                <c:pt idx="44">
                  <c:v>2014</c:v>
                </c:pt>
                <c:pt idx="45">
                  <c:v>2015</c:v>
                </c:pt>
                <c:pt idx="46">
                  <c:v>2016</c:v>
                </c:pt>
                <c:pt idx="47">
                  <c:v>2017</c:v>
                </c:pt>
              </c:numCache>
            </c:numRef>
          </c:cat>
          <c:val>
            <c:numRef>
              <c:f>合体!$G$2:$G$49</c:f>
              <c:numCache>
                <c:formatCode>General</c:formatCode>
                <c:ptCount val="48"/>
                <c:pt idx="10" formatCode="0.0">
                  <c:v>54205.424003906199</c:v>
                </c:pt>
                <c:pt idx="11" formatCode="0.0">
                  <c:v>53888.839003906302</c:v>
                </c:pt>
                <c:pt idx="12" formatCode="0.0">
                  <c:v>52090.387998046899</c:v>
                </c:pt>
                <c:pt idx="13" formatCode="0.0">
                  <c:v>53692.845000000001</c:v>
                </c:pt>
                <c:pt idx="14" formatCode="0.0">
                  <c:v>55240.510996093697</c:v>
                </c:pt>
                <c:pt idx="15" formatCode="0.0">
                  <c:v>55195.832001953102</c:v>
                </c:pt>
                <c:pt idx="16" formatCode="0.0">
                  <c:v>55882.46</c:v>
                </c:pt>
                <c:pt idx="17" formatCode="0.0">
                  <c:v>58401.982001953103</c:v>
                </c:pt>
                <c:pt idx="18" formatCode="0.0">
                  <c:v>60383.785996093698</c:v>
                </c:pt>
                <c:pt idx="19" formatCode="0.0">
                  <c:v>60159.81</c:v>
                </c:pt>
                <c:pt idx="20" formatCode="0.0">
                  <c:v>61296.484003906196</c:v>
                </c:pt>
                <c:pt idx="21" formatCode="0.0">
                  <c:v>61664.762001953102</c:v>
                </c:pt>
                <c:pt idx="22" formatCode="0.0">
                  <c:v>63426.555996093797</c:v>
                </c:pt>
                <c:pt idx="23" formatCode="0.0">
                  <c:v>64159.03</c:v>
                </c:pt>
                <c:pt idx="24" formatCode="0.0">
                  <c:v>67544.738007812499</c:v>
                </c:pt>
                <c:pt idx="25" formatCode="0.0">
                  <c:v>70340.979003906206</c:v>
                </c:pt>
                <c:pt idx="26" formatCode="0.0">
                  <c:v>71692.484003906298</c:v>
                </c:pt>
                <c:pt idx="27" formatCode="0.0">
                  <c:v>72487.9580078125</c:v>
                </c:pt>
                <c:pt idx="28" formatCode="0.0">
                  <c:v>73448.259003906205</c:v>
                </c:pt>
                <c:pt idx="29" formatCode="0.0">
                  <c:v>74340.761992187501</c:v>
                </c:pt>
                <c:pt idx="30" formatCode="0.0">
                  <c:v>74679.30975</c:v>
                </c:pt>
                <c:pt idx="31" formatCode="0.0">
                  <c:v>75581.215679999994</c:v>
                </c:pt>
                <c:pt idx="32" formatCode="0.0">
                  <c:v>76654.666840000005</c:v>
                </c:pt>
                <c:pt idx="33" formatCode="0.0">
                  <c:v>77389.375539999994</c:v>
                </c:pt>
                <c:pt idx="34" formatCode="0.0">
                  <c:v>78196.141210000002</c:v>
                </c:pt>
                <c:pt idx="35" formatCode="0.0">
                  <c:v>78977.396439999997</c:v>
                </c:pt>
                <c:pt idx="36" formatCode="0.0">
                  <c:v>79281.778950000007</c:v>
                </c:pt>
                <c:pt idx="37" formatCode="0.0">
                  <c:v>79580.657389999993</c:v>
                </c:pt>
                <c:pt idx="38" formatCode="0.0">
                  <c:v>82256.585959999997</c:v>
                </c:pt>
                <c:pt idx="39" formatCode="0.0">
                  <c:v>74441.576706544001</c:v>
                </c:pt>
                <c:pt idx="40" formatCode="0.0">
                  <c:v>77615.392561000001</c:v>
                </c:pt>
                <c:pt idx="41" formatCode="0.0">
                  <c:v>80329.809135350501</c:v>
                </c:pt>
                <c:pt idx="42" formatCode="0.0">
                  <c:v>59847.013403776902</c:v>
                </c:pt>
                <c:pt idx="43" formatCode="0.0">
                  <c:v>61013.025589215998</c:v>
                </c:pt>
                <c:pt idx="44" formatCode="0.0">
                  <c:v>63880.9319608894</c:v>
                </c:pt>
                <c:pt idx="45" formatCode="0.0">
                  <c:v>62231.144738119998</c:v>
                </c:pt>
                <c:pt idx="46" formatCode="0.0">
                  <c:v>59966.738681410003</c:v>
                </c:pt>
              </c:numCache>
            </c:numRef>
          </c:val>
          <c:smooth val="0"/>
          <c:extLst>
            <c:ext xmlns:c16="http://schemas.microsoft.com/office/drawing/2014/chart" uri="{C3380CC4-5D6E-409C-BE32-E72D297353CC}">
              <c16:uniqueId val="{00000002-1DF6-4492-9F30-DDE7E586633E}"/>
            </c:ext>
          </c:extLst>
        </c:ser>
        <c:dLbls>
          <c:showLegendKey val="0"/>
          <c:showVal val="0"/>
          <c:showCatName val="0"/>
          <c:showSerName val="0"/>
          <c:showPercent val="0"/>
          <c:showBubbleSize val="0"/>
        </c:dLbls>
        <c:marker val="1"/>
        <c:smooth val="0"/>
        <c:axId val="432012864"/>
        <c:axId val="432013256"/>
      </c:lineChart>
      <c:catAx>
        <c:axId val="432012080"/>
        <c:scaling>
          <c:orientation val="minMax"/>
        </c:scaling>
        <c:delete val="0"/>
        <c:axPos val="b"/>
        <c:numFmt formatCode="General" sourceLinked="1"/>
        <c:majorTickMark val="out"/>
        <c:minorTickMark val="none"/>
        <c:tickLblPos val="nextTo"/>
        <c:spPr>
          <a:noFill/>
          <a:ln w="9525" cap="flat" cmpd="sng" algn="ctr">
            <a:solidFill>
              <a:sysClr val="windowText" lastClr="000000">
                <a:lumMod val="75000"/>
                <a:lumOff val="25000"/>
              </a:sysClr>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Times New Roman" panose="02020603050405020304" charset="0"/>
                <a:ea typeface="楷体" panose="02010609060101010101" pitchFamily="3" charset="-122"/>
                <a:cs typeface="Times New Roman" panose="02020603050405020304" charset="0"/>
              </a:defRPr>
            </a:pPr>
            <a:endParaRPr lang="zh-CN"/>
          </a:p>
        </c:txPr>
        <c:crossAx val="432012472"/>
        <c:crosses val="autoZero"/>
        <c:auto val="1"/>
        <c:lblAlgn val="ctr"/>
        <c:lblOffset val="100"/>
        <c:tickLblSkip val="2"/>
        <c:tickMarkSkip val="2"/>
        <c:noMultiLvlLbl val="0"/>
      </c:catAx>
      <c:valAx>
        <c:axId val="432012472"/>
        <c:scaling>
          <c:orientation val="minMax"/>
          <c:max val="9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Times New Roman" panose="02020603050405020304" charset="0"/>
                    <a:ea typeface="楷体" panose="02010609060101010101" pitchFamily="3" charset="-122"/>
                    <a:cs typeface="Times New Roman" panose="02020603050405020304" charset="0"/>
                  </a:defRPr>
                </a:pPr>
                <a:r>
                  <a:rPr lang="zh-CN" altLang="en-US">
                    <a:solidFill>
                      <a:schemeClr val="tx1"/>
                    </a:solidFill>
                  </a:rPr>
                  <a:t>英国和日本货物周转量</a:t>
                </a:r>
              </a:p>
            </c:rich>
          </c:tx>
          <c:layout>
            <c:manualLayout>
              <c:xMode val="edge"/>
              <c:yMode val="edge"/>
              <c:x val="2.2222222222222223E-2"/>
              <c:y val="0.16038896179644213"/>
            </c:manualLayout>
          </c:layout>
          <c:overlay val="0"/>
          <c:spPr>
            <a:noFill/>
            <a:ln>
              <a:noFill/>
            </a:ln>
            <a:effectLst/>
          </c:spPr>
        </c:title>
        <c:numFmt formatCode="#,##0_);[Red]\(#,##0\)" sourceLinked="0"/>
        <c:majorTickMark val="out"/>
        <c:minorTickMark val="none"/>
        <c:tickLblPos val="nextTo"/>
        <c:spPr>
          <a:noFill/>
          <a:ln>
            <a:solidFill>
              <a:sysClr val="windowText" lastClr="000000">
                <a:lumMod val="75000"/>
                <a:lumOff val="25000"/>
              </a:sysClr>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Times New Roman" panose="02020603050405020304" charset="0"/>
                <a:ea typeface="楷体" panose="02010609060101010101" pitchFamily="3" charset="-122"/>
                <a:cs typeface="Times New Roman" panose="02020603050405020304" charset="0"/>
              </a:defRPr>
            </a:pPr>
            <a:endParaRPr lang="zh-CN"/>
          </a:p>
        </c:txPr>
        <c:crossAx val="432012080"/>
        <c:crosses val="autoZero"/>
        <c:crossBetween val="between"/>
        <c:majorUnit val="1000"/>
      </c:valAx>
      <c:catAx>
        <c:axId val="432012864"/>
        <c:scaling>
          <c:orientation val="minMax"/>
        </c:scaling>
        <c:delete val="1"/>
        <c:axPos val="b"/>
        <c:numFmt formatCode="General" sourceLinked="1"/>
        <c:majorTickMark val="out"/>
        <c:minorTickMark val="none"/>
        <c:tickLblPos val="nextTo"/>
        <c:crossAx val="432013256"/>
        <c:crosses val="autoZero"/>
        <c:auto val="1"/>
        <c:lblAlgn val="ctr"/>
        <c:lblOffset val="100"/>
        <c:noMultiLvlLbl val="0"/>
      </c:catAx>
      <c:valAx>
        <c:axId val="432013256"/>
        <c:scaling>
          <c:orientation val="minMax"/>
        </c:scaling>
        <c:delete val="0"/>
        <c:axPos val="r"/>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Times New Roman" panose="02020603050405020304" charset="0"/>
                    <a:ea typeface="楷体" panose="02010609060101010101" pitchFamily="3" charset="-122"/>
                    <a:cs typeface="Times New Roman" panose="02020603050405020304" charset="0"/>
                  </a:defRPr>
                </a:pPr>
                <a:r>
                  <a:rPr lang="zh-CN" altLang="en-US">
                    <a:solidFill>
                      <a:schemeClr val="tx1"/>
                    </a:solidFill>
                  </a:rPr>
                  <a:t>美国货物周转量</a:t>
                </a:r>
              </a:p>
            </c:rich>
          </c:tx>
          <c:overlay val="0"/>
          <c:spPr>
            <a:noFill/>
            <a:ln>
              <a:noFill/>
            </a:ln>
            <a:effectLst/>
          </c:spPr>
        </c:title>
        <c:numFmt formatCode="General" sourceLinked="1"/>
        <c:majorTickMark val="out"/>
        <c:minorTickMark val="out"/>
        <c:tickLblPos val="nextTo"/>
        <c:spPr>
          <a:noFill/>
          <a:ln>
            <a:solidFill>
              <a:sysClr val="windowText" lastClr="000000">
                <a:lumMod val="75000"/>
                <a:lumOff val="25000"/>
              </a:sysClr>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Times New Roman" panose="02020603050405020304" charset="0"/>
                <a:ea typeface="楷体" panose="02010609060101010101" pitchFamily="3" charset="-122"/>
                <a:cs typeface="Times New Roman" panose="02020603050405020304" charset="0"/>
              </a:defRPr>
            </a:pPr>
            <a:endParaRPr lang="zh-CN"/>
          </a:p>
        </c:txPr>
        <c:crossAx val="432012864"/>
        <c:crosses val="max"/>
        <c:crossBetween val="between"/>
        <c:minorUnit val="10000"/>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楷体" panose="02010609060101010101" pitchFamily="3" charset="-122"/>
              <a:cs typeface="Times New Roman" panose="02020603050405020304" charset="0"/>
            </a:defRPr>
          </a:pPr>
          <a:endParaRPr lang="zh-CN"/>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lang="zh-CN">
          <a:latin typeface="Times New Roman" panose="02020603050405020304" charset="0"/>
          <a:ea typeface="楷体" panose="02010609060101010101" pitchFamily="3" charset="-122"/>
          <a:cs typeface="Times New Roman" panose="02020603050405020304" charset="0"/>
        </a:defRPr>
      </a:pPr>
      <a:endParaRPr lang="zh-CN"/>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areaChart>
        <c:grouping val="stacked"/>
        <c:varyColors val="0"/>
        <c:ser>
          <c:idx val="0"/>
          <c:order val="0"/>
          <c:tx>
            <c:strRef>
              <c:f>Sheet3!$B$11</c:f>
              <c:strCache>
                <c:ptCount val="1"/>
                <c:pt idx="0">
                  <c:v>Distillate Fuel Oil</c:v>
                </c:pt>
              </c:strCache>
            </c:strRef>
          </c:tx>
          <c:spPr>
            <a:solidFill>
              <a:schemeClr val="accent1"/>
            </a:solidFill>
            <a:ln>
              <a:noFill/>
            </a:ln>
            <a:effectLst/>
          </c:spPr>
          <c:cat>
            <c:numRef>
              <c:f>Sheet3!$A$12:$A$42</c:f>
              <c:numCache>
                <c:formatCode>General</c:formatCode>
                <c:ptCount val="31"/>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numCache>
            </c:numRef>
          </c:cat>
          <c:val>
            <c:numRef>
              <c:f>Sheet3!$B$12:$B$42</c:f>
              <c:numCache>
                <c:formatCode>General</c:formatCode>
                <c:ptCount val="31"/>
                <c:pt idx="0">
                  <c:v>270.76499999999999</c:v>
                </c:pt>
                <c:pt idx="1">
                  <c:v>266.29000000000002</c:v>
                </c:pt>
                <c:pt idx="2">
                  <c:v>272.45</c:v>
                </c:pt>
                <c:pt idx="3">
                  <c:v>280.726</c:v>
                </c:pt>
                <c:pt idx="4">
                  <c:v>297.93700000000001</c:v>
                </c:pt>
                <c:pt idx="5">
                  <c:v>309.98099999999999</c:v>
                </c:pt>
                <c:pt idx="6">
                  <c:v>330.25299999999999</c:v>
                </c:pt>
                <c:pt idx="7">
                  <c:v>345.24900000000002</c:v>
                </c:pt>
                <c:pt idx="8">
                  <c:v>355.47800000000001</c:v>
                </c:pt>
                <c:pt idx="9">
                  <c:v>369.47800000000001</c:v>
                </c:pt>
                <c:pt idx="10">
                  <c:v>385.72</c:v>
                </c:pt>
                <c:pt idx="11">
                  <c:v>394.63600000000002</c:v>
                </c:pt>
                <c:pt idx="12">
                  <c:v>402.14499999999998</c:v>
                </c:pt>
                <c:pt idx="13">
                  <c:v>417.065</c:v>
                </c:pt>
                <c:pt idx="14">
                  <c:v>442.97699999999998</c:v>
                </c:pt>
                <c:pt idx="15">
                  <c:v>453.238</c:v>
                </c:pt>
                <c:pt idx="16">
                  <c:v>476.33300000000003</c:v>
                </c:pt>
                <c:pt idx="17">
                  <c:v>476.048</c:v>
                </c:pt>
                <c:pt idx="18">
                  <c:v>430.065</c:v>
                </c:pt>
                <c:pt idx="19">
                  <c:v>406.02600000000001</c:v>
                </c:pt>
                <c:pt idx="20">
                  <c:v>428.98</c:v>
                </c:pt>
                <c:pt idx="21">
                  <c:v>436.35599999999999</c:v>
                </c:pt>
                <c:pt idx="22">
                  <c:v>416.74900000000002</c:v>
                </c:pt>
                <c:pt idx="23">
                  <c:v>421.43200000000002</c:v>
                </c:pt>
                <c:pt idx="24">
                  <c:v>440.99200000000002</c:v>
                </c:pt>
                <c:pt idx="25">
                  <c:v>446.80099999999999</c:v>
                </c:pt>
                <c:pt idx="26">
                  <c:v>437.04700000000003</c:v>
                </c:pt>
                <c:pt idx="27">
                  <c:v>441.84699999999998</c:v>
                </c:pt>
                <c:pt idx="28">
                  <c:v>466.16899999999998</c:v>
                </c:pt>
                <c:pt idx="29">
                  <c:v>468.47899999999998</c:v>
                </c:pt>
                <c:pt idx="30">
                  <c:v>431.58800000000002</c:v>
                </c:pt>
              </c:numCache>
            </c:numRef>
          </c:val>
          <c:extLst>
            <c:ext xmlns:c16="http://schemas.microsoft.com/office/drawing/2014/chart" uri="{C3380CC4-5D6E-409C-BE32-E72D297353CC}">
              <c16:uniqueId val="{00000000-0A03-4870-A38D-E7213E60AE24}"/>
            </c:ext>
          </c:extLst>
        </c:ser>
        <c:ser>
          <c:idx val="1"/>
          <c:order val="1"/>
          <c:tx>
            <c:strRef>
              <c:f>Sheet3!$C$11</c:f>
              <c:strCache>
                <c:ptCount val="1"/>
                <c:pt idx="0">
                  <c:v>Jet Fuel and Aviation Gasoline </c:v>
                </c:pt>
              </c:strCache>
            </c:strRef>
          </c:tx>
          <c:spPr>
            <a:solidFill>
              <a:schemeClr val="accent2"/>
            </a:solidFill>
            <a:ln>
              <a:noFill/>
            </a:ln>
            <a:effectLst/>
          </c:spPr>
          <c:cat>
            <c:numRef>
              <c:f>Sheet3!$A$12:$A$42</c:f>
              <c:numCache>
                <c:formatCode>General</c:formatCode>
                <c:ptCount val="31"/>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numCache>
            </c:numRef>
          </c:cat>
          <c:val>
            <c:numRef>
              <c:f>Sheet3!$C$12:$C$42</c:f>
              <c:numCache>
                <c:formatCode>General</c:formatCode>
                <c:ptCount val="31"/>
                <c:pt idx="0">
                  <c:v>225.721</c:v>
                </c:pt>
                <c:pt idx="1">
                  <c:v>218.06299999999999</c:v>
                </c:pt>
                <c:pt idx="2">
                  <c:v>216.22299999999998</c:v>
                </c:pt>
                <c:pt idx="3">
                  <c:v>217.71299999999999</c:v>
                </c:pt>
                <c:pt idx="4">
                  <c:v>226.44900000000001</c:v>
                </c:pt>
                <c:pt idx="5">
                  <c:v>224.851</c:v>
                </c:pt>
                <c:pt idx="6">
                  <c:v>239.05600000000001</c:v>
                </c:pt>
                <c:pt idx="7">
                  <c:v>241.66800000000001</c:v>
                </c:pt>
                <c:pt idx="8">
                  <c:v>244.88800000000001</c:v>
                </c:pt>
                <c:pt idx="9">
                  <c:v>252.726</c:v>
                </c:pt>
                <c:pt idx="10">
                  <c:v>261.09000000000003</c:v>
                </c:pt>
                <c:pt idx="11">
                  <c:v>249.84699999999998</c:v>
                </c:pt>
                <c:pt idx="12">
                  <c:v>243.577</c:v>
                </c:pt>
                <c:pt idx="13">
                  <c:v>237.928</c:v>
                </c:pt>
                <c:pt idx="14">
                  <c:v>246.45400000000001</c:v>
                </c:pt>
                <c:pt idx="15">
                  <c:v>253.399</c:v>
                </c:pt>
                <c:pt idx="16">
                  <c:v>246.37800000000001</c:v>
                </c:pt>
                <c:pt idx="17">
                  <c:v>244.678</c:v>
                </c:pt>
                <c:pt idx="18">
                  <c:v>232.54900000000001</c:v>
                </c:pt>
                <c:pt idx="19">
                  <c:v>210.07300000000001</c:v>
                </c:pt>
                <c:pt idx="20">
                  <c:v>215.88800000000001</c:v>
                </c:pt>
                <c:pt idx="21">
                  <c:v>214.946</c:v>
                </c:pt>
                <c:pt idx="22">
                  <c:v>211.31700000000001</c:v>
                </c:pt>
                <c:pt idx="23">
                  <c:v>215.97499999999999</c:v>
                </c:pt>
                <c:pt idx="24">
                  <c:v>221.24</c:v>
                </c:pt>
                <c:pt idx="25">
                  <c:v>232.91</c:v>
                </c:pt>
                <c:pt idx="26">
                  <c:v>243.38800000000001</c:v>
                </c:pt>
                <c:pt idx="27">
                  <c:v>252.91800000000001</c:v>
                </c:pt>
                <c:pt idx="28">
                  <c:v>256.73199999999997</c:v>
                </c:pt>
                <c:pt idx="29">
                  <c:v>262.23600000000005</c:v>
                </c:pt>
                <c:pt idx="30">
                  <c:v>162.755</c:v>
                </c:pt>
              </c:numCache>
            </c:numRef>
          </c:val>
          <c:extLst>
            <c:ext xmlns:c16="http://schemas.microsoft.com/office/drawing/2014/chart" uri="{C3380CC4-5D6E-409C-BE32-E72D297353CC}">
              <c16:uniqueId val="{00000001-0A03-4870-A38D-E7213E60AE24}"/>
            </c:ext>
          </c:extLst>
        </c:ser>
        <c:ser>
          <c:idx val="2"/>
          <c:order val="2"/>
          <c:tx>
            <c:strRef>
              <c:f>Sheet3!$D$11</c:f>
              <c:strCache>
                <c:ptCount val="1"/>
                <c:pt idx="0">
                  <c:v>Motor Gasoline</c:v>
                </c:pt>
              </c:strCache>
            </c:strRef>
          </c:tx>
          <c:spPr>
            <a:solidFill>
              <a:schemeClr val="accent3"/>
            </a:solidFill>
            <a:ln>
              <a:noFill/>
            </a:ln>
            <a:effectLst/>
          </c:spPr>
          <c:cat>
            <c:numRef>
              <c:f>Sheet3!$A$12:$A$42</c:f>
              <c:numCache>
                <c:formatCode>General</c:formatCode>
                <c:ptCount val="31"/>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numCache>
            </c:numRef>
          </c:cat>
          <c:val>
            <c:numRef>
              <c:f>Sheet3!$D$12:$D$42</c:f>
              <c:numCache>
                <c:formatCode>General</c:formatCode>
                <c:ptCount val="31"/>
                <c:pt idx="0">
                  <c:v>966.8</c:v>
                </c:pt>
                <c:pt idx="1">
                  <c:v>962.41200000000003</c:v>
                </c:pt>
                <c:pt idx="2">
                  <c:v>979.05399999999997</c:v>
                </c:pt>
                <c:pt idx="3">
                  <c:v>993.06600000000003</c:v>
                </c:pt>
                <c:pt idx="4">
                  <c:v>1004.056</c:v>
                </c:pt>
                <c:pt idx="5">
                  <c:v>1026.384</c:v>
                </c:pt>
                <c:pt idx="6">
                  <c:v>1046.05</c:v>
                </c:pt>
                <c:pt idx="7">
                  <c:v>1055.42</c:v>
                </c:pt>
                <c:pt idx="8">
                  <c:v>1087.8979999999999</c:v>
                </c:pt>
                <c:pt idx="9">
                  <c:v>1112.777</c:v>
                </c:pt>
                <c:pt idx="10">
                  <c:v>1127.539</c:v>
                </c:pt>
                <c:pt idx="11">
                  <c:v>1125.28</c:v>
                </c:pt>
                <c:pt idx="12">
                  <c:v>1154.548</c:v>
                </c:pt>
                <c:pt idx="13">
                  <c:v>1174.2560000000001</c:v>
                </c:pt>
                <c:pt idx="14">
                  <c:v>1183.096</c:v>
                </c:pt>
                <c:pt idx="15">
                  <c:v>1177.443</c:v>
                </c:pt>
                <c:pt idx="16">
                  <c:v>1187.527</c:v>
                </c:pt>
                <c:pt idx="17">
                  <c:v>1183.5239999999999</c:v>
                </c:pt>
                <c:pt idx="18">
                  <c:v>1114.0630000000001</c:v>
                </c:pt>
                <c:pt idx="19">
                  <c:v>1107.038</c:v>
                </c:pt>
                <c:pt idx="20">
                  <c:v>1086.2729999999999</c:v>
                </c:pt>
                <c:pt idx="21">
                  <c:v>1053.942</c:v>
                </c:pt>
                <c:pt idx="22">
                  <c:v>1046.5070000000001</c:v>
                </c:pt>
                <c:pt idx="23">
                  <c:v>1057.4349999999999</c:v>
                </c:pt>
                <c:pt idx="24">
                  <c:v>1067.444</c:v>
                </c:pt>
                <c:pt idx="25">
                  <c:v>1072.7070000000001</c:v>
                </c:pt>
                <c:pt idx="26">
                  <c:v>1092.2170000000001</c:v>
                </c:pt>
                <c:pt idx="27">
                  <c:v>1090.1420000000001</c:v>
                </c:pt>
                <c:pt idx="28">
                  <c:v>1089.598</c:v>
                </c:pt>
                <c:pt idx="29">
                  <c:v>1085.9259999999999</c:v>
                </c:pt>
                <c:pt idx="30">
                  <c:v>941.25599999999997</c:v>
                </c:pt>
              </c:numCache>
            </c:numRef>
          </c:val>
          <c:extLst>
            <c:ext xmlns:c16="http://schemas.microsoft.com/office/drawing/2014/chart" uri="{C3380CC4-5D6E-409C-BE32-E72D297353CC}">
              <c16:uniqueId val="{00000002-0A03-4870-A38D-E7213E60AE24}"/>
            </c:ext>
          </c:extLst>
        </c:ser>
        <c:ser>
          <c:idx val="3"/>
          <c:order val="3"/>
          <c:tx>
            <c:strRef>
              <c:f>Sheet3!$E$11</c:f>
              <c:strCache>
                <c:ptCount val="1"/>
                <c:pt idx="0">
                  <c:v>Other</c:v>
                </c:pt>
              </c:strCache>
            </c:strRef>
          </c:tx>
          <c:spPr>
            <a:solidFill>
              <a:schemeClr val="accent4"/>
            </a:solidFill>
            <a:ln>
              <a:noFill/>
            </a:ln>
            <a:effectLst/>
          </c:spPr>
          <c:cat>
            <c:numRef>
              <c:f>Sheet3!$A$12:$A$42</c:f>
              <c:numCache>
                <c:formatCode>General</c:formatCode>
                <c:ptCount val="31"/>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numCache>
            </c:numRef>
          </c:cat>
          <c:val>
            <c:numRef>
              <c:f>Sheet3!$E$12:$E$42</c:f>
              <c:numCache>
                <c:formatCode>General</c:formatCode>
                <c:ptCount val="31"/>
                <c:pt idx="0">
                  <c:v>123.45200000000011</c:v>
                </c:pt>
                <c:pt idx="1">
                  <c:v>120.21499999999997</c:v>
                </c:pt>
                <c:pt idx="2">
                  <c:v>122.87000000000003</c:v>
                </c:pt>
                <c:pt idx="3">
                  <c:v>112.369</c:v>
                </c:pt>
                <c:pt idx="4">
                  <c:v>115.60799999999989</c:v>
                </c:pt>
                <c:pt idx="5">
                  <c:v>117.3359999999999</c:v>
                </c:pt>
                <c:pt idx="6">
                  <c:v>113.25099999999995</c:v>
                </c:pt>
                <c:pt idx="7">
                  <c:v>105.37499999999989</c:v>
                </c:pt>
                <c:pt idx="8">
                  <c:v>96.989000000000004</c:v>
                </c:pt>
                <c:pt idx="9">
                  <c:v>96.827999999999918</c:v>
                </c:pt>
                <c:pt idx="10">
                  <c:v>113.31599999999992</c:v>
                </c:pt>
                <c:pt idx="11">
                  <c:v>89.631000000000029</c:v>
                </c:pt>
                <c:pt idx="12">
                  <c:v>98.461000000000013</c:v>
                </c:pt>
                <c:pt idx="13">
                  <c:v>87.33499999999998</c:v>
                </c:pt>
                <c:pt idx="14">
                  <c:v>99.071999999999946</c:v>
                </c:pt>
                <c:pt idx="15">
                  <c:v>108.286</c:v>
                </c:pt>
                <c:pt idx="16">
                  <c:v>113.05499999999981</c:v>
                </c:pt>
                <c:pt idx="17">
                  <c:v>122.07500000000016</c:v>
                </c:pt>
                <c:pt idx="18">
                  <c:v>118.85399999999984</c:v>
                </c:pt>
                <c:pt idx="19">
                  <c:v>108.41600000000008</c:v>
                </c:pt>
                <c:pt idx="20">
                  <c:v>116.01599999999999</c:v>
                </c:pt>
                <c:pt idx="21">
                  <c:v>107.63499999999991</c:v>
                </c:pt>
                <c:pt idx="22">
                  <c:v>101.21799999999985</c:v>
                </c:pt>
                <c:pt idx="23">
                  <c:v>100.63500000000013</c:v>
                </c:pt>
                <c:pt idx="24">
                  <c:v>83.986000000000047</c:v>
                </c:pt>
                <c:pt idx="25">
                  <c:v>84.575999999999823</c:v>
                </c:pt>
                <c:pt idx="26">
                  <c:v>96.672999999999917</c:v>
                </c:pt>
                <c:pt idx="27">
                  <c:v>101.38499999999988</c:v>
                </c:pt>
                <c:pt idx="28">
                  <c:v>105.26100000000008</c:v>
                </c:pt>
                <c:pt idx="29">
                  <c:v>107.21400000000006</c:v>
                </c:pt>
                <c:pt idx="30">
                  <c:v>94.999999999999943</c:v>
                </c:pt>
              </c:numCache>
            </c:numRef>
          </c:val>
          <c:extLst>
            <c:ext xmlns:c16="http://schemas.microsoft.com/office/drawing/2014/chart" uri="{C3380CC4-5D6E-409C-BE32-E72D297353CC}">
              <c16:uniqueId val="{00000003-0A03-4870-A38D-E7213E60AE24}"/>
            </c:ext>
          </c:extLst>
        </c:ser>
        <c:dLbls>
          <c:showLegendKey val="0"/>
          <c:showVal val="0"/>
          <c:showCatName val="0"/>
          <c:showSerName val="0"/>
          <c:showPercent val="0"/>
          <c:showBubbleSize val="0"/>
        </c:dLbls>
        <c:axId val="694716928"/>
        <c:axId val="694713184"/>
      </c:areaChart>
      <c:catAx>
        <c:axId val="69471692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694713184"/>
        <c:crosses val="autoZero"/>
        <c:auto val="1"/>
        <c:lblAlgn val="ctr"/>
        <c:lblOffset val="100"/>
        <c:tickLblSkip val="2"/>
        <c:noMultiLvlLbl val="0"/>
      </c:catAx>
      <c:valAx>
        <c:axId val="694713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69471692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zh-CN"/>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各国单耗!$O$58</c:f>
              <c:strCache>
                <c:ptCount val="1"/>
                <c:pt idx="0">
                  <c:v>铁路</c:v>
                </c:pt>
              </c:strCache>
            </c:strRef>
          </c:tx>
          <c:spPr>
            <a:ln w="28575" cap="rnd">
              <a:solidFill>
                <a:srgbClr val="00B0F0"/>
              </a:solidFill>
              <a:round/>
            </a:ln>
            <a:effectLst/>
          </c:spPr>
          <c:marker>
            <c:symbol val="none"/>
          </c:marker>
          <c:cat>
            <c:numRef>
              <c:f>各国单耗!$N$59:$N$78</c:f>
              <c:numCache>
                <c:formatCode>General</c:formatCode>
                <c:ptCount val="20"/>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numCache>
            </c:numRef>
          </c:cat>
          <c:val>
            <c:numRef>
              <c:f>各国单耗!$O$59:$O$78</c:f>
              <c:numCache>
                <c:formatCode>General</c:formatCode>
                <c:ptCount val="20"/>
                <c:pt idx="0">
                  <c:v>50</c:v>
                </c:pt>
                <c:pt idx="1">
                  <c:v>50</c:v>
                </c:pt>
                <c:pt idx="2">
                  <c:v>50</c:v>
                </c:pt>
                <c:pt idx="3">
                  <c:v>50</c:v>
                </c:pt>
                <c:pt idx="4">
                  <c:v>50</c:v>
                </c:pt>
                <c:pt idx="5">
                  <c:v>51</c:v>
                </c:pt>
                <c:pt idx="6">
                  <c:v>50</c:v>
                </c:pt>
                <c:pt idx="7">
                  <c:v>49</c:v>
                </c:pt>
                <c:pt idx="8">
                  <c:v>49</c:v>
                </c:pt>
                <c:pt idx="9">
                  <c:v>50</c:v>
                </c:pt>
                <c:pt idx="10">
                  <c:v>51</c:v>
                </c:pt>
                <c:pt idx="11">
                  <c:v>48</c:v>
                </c:pt>
                <c:pt idx="12">
                  <c:v>46</c:v>
                </c:pt>
                <c:pt idx="13">
                  <c:v>47</c:v>
                </c:pt>
                <c:pt idx="14">
                  <c:v>46</c:v>
                </c:pt>
                <c:pt idx="15">
                  <c:v>46</c:v>
                </c:pt>
                <c:pt idx="16">
                  <c:v>46</c:v>
                </c:pt>
                <c:pt idx="17">
                  <c:v>45</c:v>
                </c:pt>
                <c:pt idx="18">
                  <c:v>45</c:v>
                </c:pt>
                <c:pt idx="19">
                  <c:v>46</c:v>
                </c:pt>
              </c:numCache>
            </c:numRef>
          </c:val>
          <c:smooth val="0"/>
          <c:extLst>
            <c:ext xmlns:c16="http://schemas.microsoft.com/office/drawing/2014/chart" uri="{C3380CC4-5D6E-409C-BE32-E72D297353CC}">
              <c16:uniqueId val="{00000000-36DA-4CD9-B2C1-02944FE53EC6}"/>
            </c:ext>
          </c:extLst>
        </c:ser>
        <c:ser>
          <c:idx val="1"/>
          <c:order val="1"/>
          <c:tx>
            <c:strRef>
              <c:f>各国单耗!$P$58</c:f>
              <c:strCache>
                <c:ptCount val="1"/>
                <c:pt idx="0">
                  <c:v>私家车</c:v>
                </c:pt>
              </c:strCache>
            </c:strRef>
          </c:tx>
          <c:spPr>
            <a:ln w="28575" cap="rnd">
              <a:solidFill>
                <a:srgbClr val="E67B1A"/>
              </a:solidFill>
              <a:round/>
            </a:ln>
            <a:effectLst/>
          </c:spPr>
          <c:marker>
            <c:symbol val="none"/>
          </c:marker>
          <c:cat>
            <c:numRef>
              <c:f>各国单耗!$N$59:$N$78</c:f>
              <c:numCache>
                <c:formatCode>General</c:formatCode>
                <c:ptCount val="20"/>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numCache>
            </c:numRef>
          </c:cat>
          <c:val>
            <c:numRef>
              <c:f>各国单耗!$P$59:$P$78</c:f>
              <c:numCache>
                <c:formatCode>General</c:formatCode>
                <c:ptCount val="20"/>
                <c:pt idx="0">
                  <c:v>582</c:v>
                </c:pt>
                <c:pt idx="1">
                  <c:v>583</c:v>
                </c:pt>
                <c:pt idx="2">
                  <c:v>587</c:v>
                </c:pt>
                <c:pt idx="3">
                  <c:v>588</c:v>
                </c:pt>
                <c:pt idx="4">
                  <c:v>596</c:v>
                </c:pt>
                <c:pt idx="5">
                  <c:v>599</c:v>
                </c:pt>
                <c:pt idx="6">
                  <c:v>594</c:v>
                </c:pt>
                <c:pt idx="7">
                  <c:v>574</c:v>
                </c:pt>
                <c:pt idx="8">
                  <c:v>563</c:v>
                </c:pt>
                <c:pt idx="9">
                  <c:v>565</c:v>
                </c:pt>
                <c:pt idx="10">
                  <c:v>584</c:v>
                </c:pt>
                <c:pt idx="11">
                  <c:v>578</c:v>
                </c:pt>
                <c:pt idx="12">
                  <c:v>551</c:v>
                </c:pt>
                <c:pt idx="13">
                  <c:v>526</c:v>
                </c:pt>
                <c:pt idx="14">
                  <c:v>509</c:v>
                </c:pt>
                <c:pt idx="15">
                  <c:v>508</c:v>
                </c:pt>
                <c:pt idx="16">
                  <c:v>496</c:v>
                </c:pt>
                <c:pt idx="17">
                  <c:v>483</c:v>
                </c:pt>
                <c:pt idx="18">
                  <c:v>467</c:v>
                </c:pt>
                <c:pt idx="19">
                  <c:v>456</c:v>
                </c:pt>
              </c:numCache>
            </c:numRef>
          </c:val>
          <c:smooth val="0"/>
          <c:extLst>
            <c:ext xmlns:c16="http://schemas.microsoft.com/office/drawing/2014/chart" uri="{C3380CC4-5D6E-409C-BE32-E72D297353CC}">
              <c16:uniqueId val="{00000001-36DA-4CD9-B2C1-02944FE53EC6}"/>
            </c:ext>
          </c:extLst>
        </c:ser>
        <c:ser>
          <c:idx val="2"/>
          <c:order val="2"/>
          <c:tx>
            <c:strRef>
              <c:f>各国单耗!$Q$58</c:f>
              <c:strCache>
                <c:ptCount val="1"/>
                <c:pt idx="0">
                  <c:v>公交</c:v>
                </c:pt>
              </c:strCache>
            </c:strRef>
          </c:tx>
          <c:spPr>
            <a:ln w="28575" cap="rnd">
              <a:solidFill>
                <a:schemeClr val="bg1">
                  <a:lumMod val="65000"/>
                </a:schemeClr>
              </a:solidFill>
              <a:round/>
            </a:ln>
            <a:effectLst/>
          </c:spPr>
          <c:marker>
            <c:symbol val="none"/>
          </c:marker>
          <c:cat>
            <c:numRef>
              <c:f>各国单耗!$N$59:$N$78</c:f>
              <c:numCache>
                <c:formatCode>General</c:formatCode>
                <c:ptCount val="20"/>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numCache>
            </c:numRef>
          </c:cat>
          <c:val>
            <c:numRef>
              <c:f>各国单耗!$Q$59:$Q$78</c:f>
              <c:numCache>
                <c:formatCode>General</c:formatCode>
                <c:ptCount val="20"/>
                <c:pt idx="0">
                  <c:v>157</c:v>
                </c:pt>
                <c:pt idx="1">
                  <c:v>161</c:v>
                </c:pt>
                <c:pt idx="2">
                  <c:v>158</c:v>
                </c:pt>
                <c:pt idx="3">
                  <c:v>163</c:v>
                </c:pt>
                <c:pt idx="4">
                  <c:v>174</c:v>
                </c:pt>
                <c:pt idx="5">
                  <c:v>171</c:v>
                </c:pt>
                <c:pt idx="6">
                  <c:v>173</c:v>
                </c:pt>
                <c:pt idx="7">
                  <c:v>172</c:v>
                </c:pt>
                <c:pt idx="8">
                  <c:v>162</c:v>
                </c:pt>
                <c:pt idx="9">
                  <c:v>166</c:v>
                </c:pt>
                <c:pt idx="10">
                  <c:v>190</c:v>
                </c:pt>
                <c:pt idx="11">
                  <c:v>187</c:v>
                </c:pt>
                <c:pt idx="12">
                  <c:v>189</c:v>
                </c:pt>
                <c:pt idx="13">
                  <c:v>199</c:v>
                </c:pt>
                <c:pt idx="14">
                  <c:v>199</c:v>
                </c:pt>
                <c:pt idx="15">
                  <c:v>198</c:v>
                </c:pt>
                <c:pt idx="16">
                  <c:v>197</c:v>
                </c:pt>
                <c:pt idx="17">
                  <c:v>195</c:v>
                </c:pt>
                <c:pt idx="18">
                  <c:v>188</c:v>
                </c:pt>
                <c:pt idx="19">
                  <c:v>193</c:v>
                </c:pt>
              </c:numCache>
            </c:numRef>
          </c:val>
          <c:smooth val="0"/>
          <c:extLst>
            <c:ext xmlns:c16="http://schemas.microsoft.com/office/drawing/2014/chart" uri="{C3380CC4-5D6E-409C-BE32-E72D297353CC}">
              <c16:uniqueId val="{00000002-36DA-4CD9-B2C1-02944FE53EC6}"/>
            </c:ext>
          </c:extLst>
        </c:ser>
        <c:ser>
          <c:idx val="3"/>
          <c:order val="3"/>
          <c:tx>
            <c:strRef>
              <c:f>各国单耗!$R$58</c:f>
              <c:strCache>
                <c:ptCount val="1"/>
                <c:pt idx="0">
                  <c:v>国内航空</c:v>
                </c:pt>
              </c:strCache>
            </c:strRef>
          </c:tx>
          <c:spPr>
            <a:ln w="28575" cap="rnd">
              <a:solidFill>
                <a:srgbClr val="FFC000"/>
              </a:solidFill>
              <a:round/>
            </a:ln>
            <a:effectLst/>
          </c:spPr>
          <c:marker>
            <c:symbol val="none"/>
          </c:marker>
          <c:cat>
            <c:numRef>
              <c:f>各国单耗!$N$59:$N$78</c:f>
              <c:numCache>
                <c:formatCode>General</c:formatCode>
                <c:ptCount val="20"/>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numCache>
            </c:numRef>
          </c:cat>
          <c:val>
            <c:numRef>
              <c:f>各国单耗!$R$59:$R$78</c:f>
              <c:numCache>
                <c:formatCode>General</c:formatCode>
                <c:ptCount val="20"/>
                <c:pt idx="0">
                  <c:v>435</c:v>
                </c:pt>
                <c:pt idx="1">
                  <c:v>473</c:v>
                </c:pt>
                <c:pt idx="2">
                  <c:v>419</c:v>
                </c:pt>
                <c:pt idx="3">
                  <c:v>408</c:v>
                </c:pt>
                <c:pt idx="4">
                  <c:v>458</c:v>
                </c:pt>
                <c:pt idx="5">
                  <c:v>473</c:v>
                </c:pt>
                <c:pt idx="6">
                  <c:v>484</c:v>
                </c:pt>
                <c:pt idx="7">
                  <c:v>545</c:v>
                </c:pt>
                <c:pt idx="8">
                  <c:v>547</c:v>
                </c:pt>
                <c:pt idx="9">
                  <c:v>544</c:v>
                </c:pt>
                <c:pt idx="10">
                  <c:v>543</c:v>
                </c:pt>
                <c:pt idx="11">
                  <c:v>447</c:v>
                </c:pt>
                <c:pt idx="12">
                  <c:v>383</c:v>
                </c:pt>
                <c:pt idx="13">
                  <c:v>459</c:v>
                </c:pt>
                <c:pt idx="14">
                  <c:v>472</c:v>
                </c:pt>
                <c:pt idx="15">
                  <c:v>480</c:v>
                </c:pt>
                <c:pt idx="16">
                  <c:v>451</c:v>
                </c:pt>
                <c:pt idx="17">
                  <c:v>410</c:v>
                </c:pt>
                <c:pt idx="18">
                  <c:v>403</c:v>
                </c:pt>
                <c:pt idx="19">
                  <c:v>427</c:v>
                </c:pt>
              </c:numCache>
            </c:numRef>
          </c:val>
          <c:smooth val="0"/>
          <c:extLst>
            <c:ext xmlns:c16="http://schemas.microsoft.com/office/drawing/2014/chart" uri="{C3380CC4-5D6E-409C-BE32-E72D297353CC}">
              <c16:uniqueId val="{00000003-36DA-4CD9-B2C1-02944FE53EC6}"/>
            </c:ext>
          </c:extLst>
        </c:ser>
        <c:dLbls>
          <c:showLegendKey val="0"/>
          <c:showVal val="0"/>
          <c:showCatName val="0"/>
          <c:showSerName val="0"/>
          <c:showPercent val="0"/>
          <c:showBubbleSize val="0"/>
        </c:dLbls>
        <c:smooth val="0"/>
        <c:axId val="506092720"/>
        <c:axId val="496171280"/>
      </c:lineChart>
      <c:catAx>
        <c:axId val="506092720"/>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496171280"/>
        <c:crosses val="autoZero"/>
        <c:auto val="1"/>
        <c:lblAlgn val="ctr"/>
        <c:lblOffset val="100"/>
        <c:noMultiLvlLbl val="0"/>
      </c:catAx>
      <c:valAx>
        <c:axId val="4961712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dirty="0">
                    <a:solidFill>
                      <a:schemeClr val="tx1"/>
                    </a:solidFill>
                    <a:latin typeface="Times New Roman" panose="02020603050405020304" pitchFamily="18" charset="0"/>
                    <a:cs typeface="Times New Roman" panose="02020603050405020304" pitchFamily="18" charset="0"/>
                  </a:rPr>
                  <a:t>kcal/</a:t>
                </a:r>
                <a:r>
                  <a:rPr lang="zh-CN" altLang="en-US">
                    <a:solidFill>
                      <a:schemeClr val="tx1"/>
                    </a:solidFill>
                    <a:latin typeface="Times New Roman" panose="02020603050405020304" pitchFamily="18" charset="0"/>
                    <a:cs typeface="Times New Roman" panose="02020603050405020304" pitchFamily="18" charset="0"/>
                  </a:rPr>
                  <a:t>人</a:t>
                </a:r>
                <a:r>
                  <a:rPr lang="en-US" altLang="zh-CN" dirty="0">
                    <a:solidFill>
                      <a:schemeClr val="tx1"/>
                    </a:solidFill>
                    <a:latin typeface="Times New Roman" panose="02020603050405020304" pitchFamily="18" charset="0"/>
                    <a:cs typeface="Times New Roman" panose="02020603050405020304" pitchFamily="18" charset="0"/>
                  </a:rPr>
                  <a:t>·km</a:t>
                </a:r>
                <a:endParaRPr lang="zh-CN" altLang="en-US">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506092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楷体" panose="02010609060101010101" pitchFamily="49" charset="-122"/>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userShapes r:id="rId5"/>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交通运输二氧化碳排放!$C$2</c:f>
              <c:strCache>
                <c:ptCount val="1"/>
                <c:pt idx="0">
                  <c:v>英国</c:v>
                </c:pt>
              </c:strCache>
            </c:strRef>
          </c:tx>
          <c:spPr>
            <a:solidFill>
              <a:schemeClr val="accent1"/>
            </a:solidFill>
            <a:ln>
              <a:noFill/>
            </a:ln>
            <a:effectLst/>
          </c:spPr>
          <c:invertIfNegative val="0"/>
          <c:cat>
            <c:numRef>
              <c:f>交通运输二氧化碳排放!$A$3:$A$24</c:f>
              <c:numCache>
                <c:formatCode>General</c:formatCode>
                <c:ptCount val="22"/>
                <c:pt idx="0">
                  <c:v>1990</c:v>
                </c:pt>
                <c:pt idx="1">
                  <c:v>1995</c:v>
                </c:pt>
                <c:pt idx="2">
                  <c:v>2000</c:v>
                </c:pt>
                <c:pt idx="3">
                  <c:v>2001</c:v>
                </c:pt>
                <c:pt idx="4">
                  <c:v>2002</c:v>
                </c:pt>
                <c:pt idx="5">
                  <c:v>2003</c:v>
                </c:pt>
                <c:pt idx="6">
                  <c:v>2004</c:v>
                </c:pt>
                <c:pt idx="7">
                  <c:v>2005</c:v>
                </c:pt>
                <c:pt idx="8">
                  <c:v>2006</c:v>
                </c:pt>
                <c:pt idx="9">
                  <c:v>2007</c:v>
                </c:pt>
                <c:pt idx="10">
                  <c:v>2008</c:v>
                </c:pt>
                <c:pt idx="11">
                  <c:v>2009</c:v>
                </c:pt>
                <c:pt idx="12">
                  <c:v>2010</c:v>
                </c:pt>
                <c:pt idx="13">
                  <c:v>2011</c:v>
                </c:pt>
                <c:pt idx="14">
                  <c:v>2012</c:v>
                </c:pt>
                <c:pt idx="15">
                  <c:v>2013</c:v>
                </c:pt>
                <c:pt idx="16">
                  <c:v>2014</c:v>
                </c:pt>
                <c:pt idx="17">
                  <c:v>2015</c:v>
                </c:pt>
                <c:pt idx="18">
                  <c:v>2016</c:v>
                </c:pt>
                <c:pt idx="19">
                  <c:v>2017</c:v>
                </c:pt>
                <c:pt idx="20">
                  <c:v>2018</c:v>
                </c:pt>
                <c:pt idx="21">
                  <c:v>2019</c:v>
                </c:pt>
              </c:numCache>
            </c:numRef>
          </c:cat>
          <c:val>
            <c:numRef>
              <c:f>交通运输二氧化碳排放!$C$3:$C$24</c:f>
              <c:numCache>
                <c:formatCode>General</c:formatCode>
                <c:ptCount val="22"/>
                <c:pt idx="0">
                  <c:v>122.46659</c:v>
                </c:pt>
                <c:pt idx="1">
                  <c:v>125.22808999999999</c:v>
                </c:pt>
                <c:pt idx="2">
                  <c:v>130.28766000000002</c:v>
                </c:pt>
                <c:pt idx="3">
                  <c:v>129.86548999999999</c:v>
                </c:pt>
                <c:pt idx="4">
                  <c:v>132.25807999999998</c:v>
                </c:pt>
                <c:pt idx="5">
                  <c:v>131.49563000000001</c:v>
                </c:pt>
                <c:pt idx="6">
                  <c:v>132.69689000000002</c:v>
                </c:pt>
                <c:pt idx="7">
                  <c:v>133.59513000000001</c:v>
                </c:pt>
                <c:pt idx="8">
                  <c:v>133.03534999999999</c:v>
                </c:pt>
                <c:pt idx="9">
                  <c:v>134.31429</c:v>
                </c:pt>
                <c:pt idx="10">
                  <c:v>128.5402</c:v>
                </c:pt>
                <c:pt idx="11">
                  <c:v>123.79353999999999</c:v>
                </c:pt>
                <c:pt idx="12">
                  <c:v>121.9825</c:v>
                </c:pt>
                <c:pt idx="13">
                  <c:v>119.97014999999999</c:v>
                </c:pt>
                <c:pt idx="14">
                  <c:v>119.07906</c:v>
                </c:pt>
                <c:pt idx="15">
                  <c:v>117.88558</c:v>
                </c:pt>
                <c:pt idx="16">
                  <c:v>119.44772</c:v>
                </c:pt>
                <c:pt idx="17">
                  <c:v>122.00666</c:v>
                </c:pt>
                <c:pt idx="18">
                  <c:v>124.53113999999999</c:v>
                </c:pt>
                <c:pt idx="19">
                  <c:v>124.79456</c:v>
                </c:pt>
                <c:pt idx="20">
                  <c:v>123.01274000000001</c:v>
                </c:pt>
                <c:pt idx="21">
                  <c:v>120.79853</c:v>
                </c:pt>
              </c:numCache>
            </c:numRef>
          </c:val>
          <c:extLst>
            <c:ext xmlns:c16="http://schemas.microsoft.com/office/drawing/2014/chart" uri="{C3380CC4-5D6E-409C-BE32-E72D297353CC}">
              <c16:uniqueId val="{00000000-3D3B-40CF-BB1A-22F96CA8E6AA}"/>
            </c:ext>
          </c:extLst>
        </c:ser>
        <c:dLbls>
          <c:showLegendKey val="0"/>
          <c:showVal val="0"/>
          <c:showCatName val="0"/>
          <c:showSerName val="0"/>
          <c:showPercent val="0"/>
          <c:showBubbleSize val="0"/>
        </c:dLbls>
        <c:gapWidth val="219"/>
        <c:overlap val="-27"/>
        <c:axId val="691832784"/>
        <c:axId val="691819888"/>
      </c:barChart>
      <c:catAx>
        <c:axId val="691832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691819888"/>
        <c:crosses val="autoZero"/>
        <c:auto val="1"/>
        <c:lblAlgn val="ctr"/>
        <c:lblOffset val="100"/>
        <c:noMultiLvlLbl val="0"/>
      </c:catAx>
      <c:valAx>
        <c:axId val="691819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6918327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zh-CN"/>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vert="eaVert"/>
          <a:lstStyle/>
          <a:p>
            <a:pPr>
              <a:defRPr/>
            </a:pPr>
            <a:r>
              <a:rPr lang="zh-CN" altLang="en-US" sz="1100" b="0"/>
              <a:t>英国交通</a:t>
            </a:r>
            <a:r>
              <a:rPr lang="zh-CN" sz="1100" b="0"/>
              <a:t>运输温室气体排放量</a:t>
            </a:r>
            <a:endParaRPr lang="en-US" sz="1100" b="0"/>
          </a:p>
        </c:rich>
      </c:tx>
      <c:layout>
        <c:manualLayout>
          <c:xMode val="edge"/>
          <c:yMode val="edge"/>
          <c:x val="1.6334912374862904E-4"/>
          <c:y val="0.2116252396367021"/>
        </c:manualLayout>
      </c:layout>
      <c:overlay val="0"/>
      <c:spPr>
        <a:noFill/>
        <a:ln>
          <a:noFill/>
        </a:ln>
        <a:effectLst/>
      </c:spPr>
    </c:title>
    <c:autoTitleDeleted val="0"/>
    <c:plotArea>
      <c:layout>
        <c:manualLayout>
          <c:layoutTarget val="inner"/>
          <c:xMode val="edge"/>
          <c:yMode val="edge"/>
          <c:x val="0.16740582010047206"/>
          <c:y val="5.6117386703495344E-2"/>
          <c:w val="0.76326463364094888"/>
          <c:h val="0.67916579269255517"/>
        </c:manualLayout>
      </c:layout>
      <c:barChart>
        <c:barDir val="col"/>
        <c:grouping val="clustered"/>
        <c:varyColors val="0"/>
        <c:ser>
          <c:idx val="0"/>
          <c:order val="0"/>
          <c:spPr>
            <a:solidFill>
              <a:schemeClr val="accent5"/>
            </a:solidFill>
            <a:ln>
              <a:noFill/>
            </a:ln>
            <a:effectLst/>
          </c:spPr>
          <c:invertIfNegative val="0"/>
          <c:dLbls>
            <c:dLbl>
              <c:idx val="0"/>
              <c:tx>
                <c:rich>
                  <a:bodyPr rot="-5400000"/>
                  <a:lstStyle/>
                  <a:p>
                    <a:pPr>
                      <a:defRPr>
                        <a:latin typeface="Times New Roman" panose="02020603050405020304" pitchFamily="18" charset="0"/>
                        <a:cs typeface="Times New Roman" panose="02020603050405020304" pitchFamily="18" charset="0"/>
                      </a:defRPr>
                    </a:pPr>
                    <a:fld id="{920F7F9B-D6D4-430B-91CE-0F215FA0902A}" type="VALUE">
                      <a:rPr lang="en-US" altLang="zh-CN">
                        <a:latin typeface="Times New Roman" panose="02020603050405020304" pitchFamily="18" charset="0"/>
                        <a:cs typeface="Times New Roman" panose="02020603050405020304" pitchFamily="18" charset="0"/>
                      </a:rPr>
                      <a:pPr>
                        <a:defRPr>
                          <a:latin typeface="Times New Roman" panose="02020603050405020304" pitchFamily="18" charset="0"/>
                          <a:cs typeface="Times New Roman" panose="02020603050405020304" pitchFamily="18" charset="0"/>
                        </a:defRPr>
                      </a:pPr>
                      <a:t>[值]</a:t>
                    </a:fld>
                    <a:endParaRPr lang="zh-CN" altLang="en-US"/>
                  </a:p>
                </c:rich>
              </c:tx>
              <c:spPr>
                <a:noFill/>
                <a:ln>
                  <a:noFill/>
                </a:ln>
                <a:effectLst/>
              </c:spPr>
              <c:dLblPos val="inBase"/>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27CE-4CF5-BF68-4B56AF752F99}"/>
                </c:ext>
              </c:extLst>
            </c:dLbl>
            <c:dLbl>
              <c:idx val="1"/>
              <c:tx>
                <c:rich>
                  <a:bodyPr rot="-5400000"/>
                  <a:lstStyle/>
                  <a:p>
                    <a:pPr>
                      <a:defRPr>
                        <a:latin typeface="Times New Roman" panose="02020603050405020304" pitchFamily="18" charset="0"/>
                        <a:cs typeface="Times New Roman" panose="02020603050405020304" pitchFamily="18" charset="0"/>
                      </a:defRPr>
                    </a:pPr>
                    <a:fld id="{E94C979D-A488-455B-9F91-E46BF0393649}" type="VALUE">
                      <a:rPr lang="en-US" altLang="zh-CN">
                        <a:latin typeface="Times New Roman" panose="02020603050405020304" pitchFamily="18" charset="0"/>
                        <a:cs typeface="Times New Roman" panose="02020603050405020304" pitchFamily="18" charset="0"/>
                      </a:rPr>
                      <a:pPr>
                        <a:defRPr>
                          <a:latin typeface="Times New Roman" panose="02020603050405020304" pitchFamily="18" charset="0"/>
                          <a:cs typeface="Times New Roman" panose="02020603050405020304" pitchFamily="18" charset="0"/>
                        </a:defRPr>
                      </a:pPr>
                      <a:t>[值]</a:t>
                    </a:fld>
                    <a:endParaRPr lang="zh-CN" altLang="en-US"/>
                  </a:p>
                </c:rich>
              </c:tx>
              <c:spPr>
                <a:noFill/>
                <a:ln>
                  <a:noFill/>
                </a:ln>
                <a:effectLst/>
              </c:spPr>
              <c:dLblPos val="inBase"/>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27CE-4CF5-BF68-4B56AF752F99}"/>
                </c:ext>
              </c:extLst>
            </c:dLbl>
            <c:dLbl>
              <c:idx val="2"/>
              <c:tx>
                <c:rich>
                  <a:bodyPr rot="-5400000"/>
                  <a:lstStyle/>
                  <a:p>
                    <a:pPr>
                      <a:defRPr>
                        <a:latin typeface="Times New Roman" panose="02020603050405020304" pitchFamily="18" charset="0"/>
                        <a:cs typeface="Times New Roman" panose="02020603050405020304" pitchFamily="18" charset="0"/>
                      </a:defRPr>
                    </a:pPr>
                    <a:fld id="{B23ECD27-C846-483B-A7A5-C5C015936436}" type="VALUE">
                      <a:rPr lang="en-US" altLang="zh-CN">
                        <a:latin typeface="Times New Roman" panose="02020603050405020304" pitchFamily="18" charset="0"/>
                        <a:cs typeface="Times New Roman" panose="02020603050405020304" pitchFamily="18" charset="0"/>
                      </a:rPr>
                      <a:pPr>
                        <a:defRPr>
                          <a:latin typeface="Times New Roman" panose="02020603050405020304" pitchFamily="18" charset="0"/>
                          <a:cs typeface="Times New Roman" panose="02020603050405020304" pitchFamily="18" charset="0"/>
                        </a:defRPr>
                      </a:pPr>
                      <a:t>[值]</a:t>
                    </a:fld>
                    <a:endParaRPr lang="zh-CN" altLang="en-US"/>
                  </a:p>
                </c:rich>
              </c:tx>
              <c:spPr>
                <a:noFill/>
                <a:ln>
                  <a:noFill/>
                </a:ln>
                <a:effectLst/>
              </c:spPr>
              <c:dLblPos val="inBase"/>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27CE-4CF5-BF68-4B56AF752F99}"/>
                </c:ext>
              </c:extLst>
            </c:dLbl>
            <c:dLbl>
              <c:idx val="3"/>
              <c:spPr>
                <a:noFill/>
                <a:ln>
                  <a:noFill/>
                </a:ln>
                <a:effectLst/>
              </c:spPr>
              <c:txPr>
                <a:bodyPr rot="-5400000"/>
                <a:lstStyle/>
                <a:p>
                  <a:pPr>
                    <a:defRPr>
                      <a:latin typeface="Times New Roman" panose="02020603050405020304" pitchFamily="18" charset="0"/>
                      <a:cs typeface="Times New Roman" panose="02020603050405020304" pitchFamily="18" charset="0"/>
                    </a:defRPr>
                  </a:pPr>
                  <a:endParaRPr lang="zh-CN"/>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7CE-4CF5-BF68-4B56AF752F99}"/>
                </c:ext>
              </c:extLst>
            </c:dLbl>
            <c:dLbl>
              <c:idx val="4"/>
              <c:spPr>
                <a:noFill/>
                <a:ln>
                  <a:noFill/>
                </a:ln>
                <a:effectLst/>
              </c:spPr>
              <c:txPr>
                <a:bodyPr rot="-5400000"/>
                <a:lstStyle/>
                <a:p>
                  <a:pPr>
                    <a:defRPr>
                      <a:latin typeface="Times New Roman" panose="02020603050405020304" pitchFamily="18" charset="0"/>
                      <a:cs typeface="Times New Roman" panose="02020603050405020304" pitchFamily="18" charset="0"/>
                    </a:defRPr>
                  </a:pPr>
                  <a:endParaRPr lang="zh-CN"/>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7CE-4CF5-BF68-4B56AF752F99}"/>
                </c:ext>
              </c:extLst>
            </c:dLbl>
            <c:dLbl>
              <c:idx val="5"/>
              <c:spPr>
                <a:noFill/>
                <a:ln>
                  <a:noFill/>
                </a:ln>
                <a:effectLst/>
              </c:spPr>
              <c:txPr>
                <a:bodyPr rot="-5400000"/>
                <a:lstStyle/>
                <a:p>
                  <a:pPr>
                    <a:defRPr>
                      <a:latin typeface="Times New Roman" panose="02020603050405020304" pitchFamily="18" charset="0"/>
                      <a:cs typeface="Times New Roman" panose="02020603050405020304" pitchFamily="18" charset="0"/>
                    </a:defRPr>
                  </a:pPr>
                  <a:endParaRPr lang="zh-CN"/>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7CE-4CF5-BF68-4B56AF752F99}"/>
                </c:ext>
              </c:extLst>
            </c:dLbl>
            <c:dLbl>
              <c:idx val="6"/>
              <c:spPr>
                <a:noFill/>
                <a:ln>
                  <a:noFill/>
                </a:ln>
                <a:effectLst/>
              </c:spPr>
              <c:txPr>
                <a:bodyPr rot="-5400000"/>
                <a:lstStyle/>
                <a:p>
                  <a:pPr>
                    <a:defRPr>
                      <a:latin typeface="Times New Roman" panose="02020603050405020304" pitchFamily="18" charset="0"/>
                      <a:cs typeface="Times New Roman" panose="02020603050405020304" pitchFamily="18" charset="0"/>
                    </a:defRPr>
                  </a:pPr>
                  <a:endParaRPr lang="zh-CN"/>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7CE-4CF5-BF68-4B56AF752F99}"/>
                </c:ext>
              </c:extLst>
            </c:dLbl>
            <c:dLbl>
              <c:idx val="7"/>
              <c:spPr>
                <a:noFill/>
                <a:ln>
                  <a:noFill/>
                </a:ln>
                <a:effectLst/>
              </c:spPr>
              <c:txPr>
                <a:bodyPr rot="-5400000"/>
                <a:lstStyle/>
                <a:p>
                  <a:pPr>
                    <a:defRPr>
                      <a:latin typeface="Times New Roman" panose="02020603050405020304" pitchFamily="18" charset="0"/>
                      <a:cs typeface="Times New Roman" panose="02020603050405020304" pitchFamily="18" charset="0"/>
                    </a:defRPr>
                  </a:pPr>
                  <a:endParaRPr lang="zh-CN"/>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27CE-4CF5-BF68-4B56AF752F99}"/>
                </c:ext>
              </c:extLst>
            </c:dLbl>
            <c:dLbl>
              <c:idx val="8"/>
              <c:spPr>
                <a:noFill/>
                <a:ln>
                  <a:noFill/>
                </a:ln>
                <a:effectLst/>
              </c:spPr>
              <c:txPr>
                <a:bodyPr rot="-5400000"/>
                <a:lstStyle/>
                <a:p>
                  <a:pPr>
                    <a:defRPr>
                      <a:latin typeface="Times New Roman" panose="02020603050405020304" pitchFamily="18" charset="0"/>
                      <a:cs typeface="Times New Roman" panose="02020603050405020304" pitchFamily="18" charset="0"/>
                    </a:defRPr>
                  </a:pPr>
                  <a:endParaRPr lang="zh-CN"/>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7CE-4CF5-BF68-4B56AF752F99}"/>
                </c:ext>
              </c:extLst>
            </c:dLbl>
            <c:spPr>
              <a:noFill/>
              <a:ln>
                <a:noFill/>
              </a:ln>
              <a:effectLst/>
            </c:spPr>
            <c:txPr>
              <a:bodyPr rot="0" vert="horz"/>
              <a:lstStyle/>
              <a:p>
                <a:pPr>
                  <a:defRPr>
                    <a:latin typeface="Times New Roman" panose="02020603050405020304" pitchFamily="18" charset="0"/>
                    <a:cs typeface="Times New Roman" panose="02020603050405020304" pitchFamily="18" charset="0"/>
                  </a:defRPr>
                </a:pPr>
                <a:endParaRPr lang="zh-CN"/>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Sheet1!$A$1:$I$1</c:f>
              <c:strCache>
                <c:ptCount val="9"/>
                <c:pt idx="0">
                  <c:v>汽车和出租车</c:v>
                </c:pt>
                <c:pt idx="1">
                  <c:v>重型货车</c:v>
                </c:pt>
                <c:pt idx="2">
                  <c:v>轻型车辆</c:v>
                </c:pt>
                <c:pt idx="3">
                  <c:v>国内水运</c:v>
                </c:pt>
                <c:pt idx="4">
                  <c:v>巴士及旅游巴士</c:v>
                </c:pt>
                <c:pt idx="5">
                  <c:v>铁路</c:v>
                </c:pt>
                <c:pt idx="6">
                  <c:v>国内航空</c:v>
                </c:pt>
                <c:pt idx="7">
                  <c:v>摩托车和轻便摩托车</c:v>
                </c:pt>
                <c:pt idx="8">
                  <c:v>其他</c:v>
                </c:pt>
              </c:strCache>
            </c:strRef>
          </c:cat>
          <c:val>
            <c:numRef>
              <c:f>Sheet1!$A$2:$I$2</c:f>
              <c:numCache>
                <c:formatCode>General</c:formatCode>
                <c:ptCount val="9"/>
                <c:pt idx="0">
                  <c:v>67.7</c:v>
                </c:pt>
                <c:pt idx="1">
                  <c:v>19.5</c:v>
                </c:pt>
                <c:pt idx="2">
                  <c:v>19.2</c:v>
                </c:pt>
                <c:pt idx="3">
                  <c:v>6.1</c:v>
                </c:pt>
                <c:pt idx="4">
                  <c:v>3.1</c:v>
                </c:pt>
                <c:pt idx="5">
                  <c:v>1.7</c:v>
                </c:pt>
                <c:pt idx="6">
                  <c:v>1.4</c:v>
                </c:pt>
                <c:pt idx="7">
                  <c:v>0.5</c:v>
                </c:pt>
                <c:pt idx="8">
                  <c:v>3.1</c:v>
                </c:pt>
              </c:numCache>
            </c:numRef>
          </c:val>
          <c:extLst>
            <c:ext xmlns:c16="http://schemas.microsoft.com/office/drawing/2014/chart" uri="{C3380CC4-5D6E-409C-BE32-E72D297353CC}">
              <c16:uniqueId val="{00000009-27CE-4CF5-BF68-4B56AF752F99}"/>
            </c:ext>
          </c:extLst>
        </c:ser>
        <c:dLbls>
          <c:showLegendKey val="0"/>
          <c:showVal val="0"/>
          <c:showCatName val="0"/>
          <c:showSerName val="0"/>
          <c:showPercent val="0"/>
          <c:showBubbleSize val="0"/>
        </c:dLbls>
        <c:gapWidth val="219"/>
        <c:overlap val="-27"/>
        <c:axId val="501415552"/>
        <c:axId val="501418504"/>
      </c:barChart>
      <c:catAx>
        <c:axId val="50141555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vert="horz"/>
          <a:lstStyle/>
          <a:p>
            <a:pPr>
              <a:defRPr/>
            </a:pPr>
            <a:endParaRPr lang="zh-CN"/>
          </a:p>
        </c:txPr>
        <c:crossAx val="501418504"/>
        <c:crosses val="autoZero"/>
        <c:auto val="1"/>
        <c:lblAlgn val="ctr"/>
        <c:lblOffset val="100"/>
        <c:noMultiLvlLbl val="0"/>
      </c:catAx>
      <c:valAx>
        <c:axId val="501418504"/>
        <c:scaling>
          <c:orientation val="minMax"/>
        </c:scaling>
        <c:delete val="0"/>
        <c:axPos val="l"/>
        <c:majorGridlines>
          <c:spPr>
            <a:ln w="9525" cap="flat" cmpd="sng" algn="ctr">
              <a:noFill/>
              <a:round/>
            </a:ln>
            <a:effectLst/>
          </c:spPr>
        </c:majorGridlines>
        <c:numFmt formatCode="General" sourceLinked="1"/>
        <c:majorTickMark val="in"/>
        <c:minorTickMark val="none"/>
        <c:tickLblPos val="nextTo"/>
        <c:spPr>
          <a:noFill/>
          <a:ln>
            <a:solidFill>
              <a:schemeClr val="tx1"/>
            </a:solidFill>
          </a:ln>
          <a:effectLst/>
        </c:spPr>
        <c:txPr>
          <a:bodyPr rot="-60000000" vert="horz"/>
          <a:lstStyle/>
          <a:p>
            <a:pPr>
              <a:defRPr>
                <a:latin typeface="Times New Roman" panose="02020603050405020304" pitchFamily="18" charset="0"/>
                <a:cs typeface="Times New Roman" panose="02020603050405020304" pitchFamily="18" charset="0"/>
              </a:defRPr>
            </a:pPr>
            <a:endParaRPr lang="zh-CN"/>
          </a:p>
        </c:txPr>
        <c:crossAx val="50141555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100">
          <a:latin typeface="楷体" panose="02010609060101010101" pitchFamily="49" charset="-122"/>
          <a:ea typeface="楷体" panose="02010609060101010101" pitchFamily="49" charset="-122"/>
        </a:defRPr>
      </a:pPr>
      <a:endParaRPr lang="zh-CN"/>
    </a:p>
  </c:txPr>
  <c:externalData r:id="rId2">
    <c:autoUpdate val="0"/>
  </c:externalData>
  <c:userShapes r:id="rId3"/>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5734545329256723E-2"/>
          <c:y val="0.20542745363919918"/>
          <c:w val="0.86011014422411936"/>
          <c:h val="0.56639330568364832"/>
        </c:manualLayout>
      </c:layout>
      <c:lineChart>
        <c:grouping val="standard"/>
        <c:varyColors val="0"/>
        <c:ser>
          <c:idx val="0"/>
          <c:order val="0"/>
          <c:tx>
            <c:strRef>
              <c:f>'Table I2'!$W$7</c:f>
              <c:strCache>
                <c:ptCount val="1"/>
                <c:pt idx="0">
                  <c:v>Consumption</c:v>
                </c:pt>
              </c:strCache>
            </c:strRef>
          </c:tx>
          <c:spPr>
            <a:ln w="28575" cap="rnd">
              <a:solidFill>
                <a:schemeClr val="accent1"/>
              </a:solidFill>
              <a:round/>
            </a:ln>
            <a:effectLst/>
          </c:spPr>
          <c:marker>
            <c:symbol val="none"/>
          </c:marker>
          <c:cat>
            <c:numRef>
              <c:f>'Table I2'!$A$38:$A$58</c:f>
              <c:numCache>
                <c:formatCode>General</c:formatCode>
                <c:ptCount val="2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numCache>
            </c:numRef>
          </c:cat>
          <c:val>
            <c:numRef>
              <c:f>'Table I2'!$W$38:$W$57</c:f>
              <c:numCache>
                <c:formatCode>#,##0.0</c:formatCode>
                <c:ptCount val="20"/>
                <c:pt idx="0">
                  <c:v>100</c:v>
                </c:pt>
                <c:pt idx="1">
                  <c:v>103.11811103849915</c:v>
                </c:pt>
                <c:pt idx="2">
                  <c:v>100.59881704197838</c:v>
                </c:pt>
                <c:pt idx="3">
                  <c:v>99.475468064735765</c:v>
                </c:pt>
                <c:pt idx="4">
                  <c:v>75.86901167031607</c:v>
                </c:pt>
                <c:pt idx="5">
                  <c:v>71.29694888734285</c:v>
                </c:pt>
                <c:pt idx="6">
                  <c:v>71.583990595928157</c:v>
                </c:pt>
                <c:pt idx="7">
                  <c:v>72.384577158353508</c:v>
                </c:pt>
                <c:pt idx="8">
                  <c:v>73.13975991937167</c:v>
                </c:pt>
                <c:pt idx="9">
                  <c:v>73.637394620989326</c:v>
                </c:pt>
                <c:pt idx="10">
                  <c:v>74.010305689254508</c:v>
                </c:pt>
                <c:pt idx="11">
                  <c:v>74.001587569314779</c:v>
                </c:pt>
                <c:pt idx="12">
                  <c:v>77.315957741249235</c:v>
                </c:pt>
                <c:pt idx="13">
                  <c:v>75.976242413520907</c:v>
                </c:pt>
                <c:pt idx="14">
                  <c:v>77.276357002461395</c:v>
                </c:pt>
                <c:pt idx="15">
                  <c:v>77.014737127029235</c:v>
                </c:pt>
                <c:pt idx="16">
                  <c:v>77.451383745111755</c:v>
                </c:pt>
                <c:pt idx="17">
                  <c:v>77.661329702443638</c:v>
                </c:pt>
                <c:pt idx="18">
                  <c:v>78.013291483826052</c:v>
                </c:pt>
                <c:pt idx="19">
                  <c:v>82.361568133118112</c:v>
                </c:pt>
              </c:numCache>
            </c:numRef>
          </c:val>
          <c:smooth val="0"/>
          <c:extLst>
            <c:ext xmlns:c16="http://schemas.microsoft.com/office/drawing/2014/chart" uri="{C3380CC4-5D6E-409C-BE32-E72D297353CC}">
              <c16:uniqueId val="{00000000-8E33-4501-8455-88758CA4526C}"/>
            </c:ext>
          </c:extLst>
        </c:ser>
        <c:ser>
          <c:idx val="1"/>
          <c:order val="1"/>
          <c:tx>
            <c:strRef>
              <c:f>'Table I2'!$X$7</c:f>
              <c:strCache>
                <c:ptCount val="1"/>
                <c:pt idx="0">
                  <c:v>bn passenger kms</c:v>
                </c:pt>
              </c:strCache>
            </c:strRef>
          </c:tx>
          <c:spPr>
            <a:ln w="28575" cap="rnd">
              <a:solidFill>
                <a:schemeClr val="accent5"/>
              </a:solidFill>
              <a:round/>
            </a:ln>
            <a:effectLst/>
          </c:spPr>
          <c:marker>
            <c:symbol val="none"/>
          </c:marker>
          <c:cat>
            <c:numRef>
              <c:f>'Table I2'!$A$38:$A$58</c:f>
              <c:numCache>
                <c:formatCode>General</c:formatCode>
                <c:ptCount val="2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numCache>
            </c:numRef>
          </c:cat>
          <c:val>
            <c:numRef>
              <c:f>'Table I2'!$X$38:$X$57</c:f>
              <c:numCache>
                <c:formatCode>#,##0.0</c:formatCode>
                <c:ptCount val="20"/>
                <c:pt idx="0">
                  <c:v>100</c:v>
                </c:pt>
                <c:pt idx="1">
                  <c:v>99.002152666619352</c:v>
                </c:pt>
                <c:pt idx="2">
                  <c:v>100.87584540115806</c:v>
                </c:pt>
                <c:pt idx="3">
                  <c:v>103.51874068864102</c:v>
                </c:pt>
                <c:pt idx="4">
                  <c:v>106.89112438528485</c:v>
                </c:pt>
                <c:pt idx="5">
                  <c:v>109.42399451924945</c:v>
                </c:pt>
                <c:pt idx="6">
                  <c:v>115.92930631458869</c:v>
                </c:pt>
                <c:pt idx="7">
                  <c:v>123.79236061208448</c:v>
                </c:pt>
                <c:pt idx="8">
                  <c:v>129.80396139027036</c:v>
                </c:pt>
                <c:pt idx="9">
                  <c:v>129.32525766862483</c:v>
                </c:pt>
                <c:pt idx="10">
                  <c:v>136.71124263188335</c:v>
                </c:pt>
                <c:pt idx="11">
                  <c:v>143.3623358332147</c:v>
                </c:pt>
                <c:pt idx="12">
                  <c:v>149.03756903516944</c:v>
                </c:pt>
                <c:pt idx="13">
                  <c:v>151.64627927939281</c:v>
                </c:pt>
                <c:pt idx="14">
                  <c:v>158.37253407071006</c:v>
                </c:pt>
                <c:pt idx="15">
                  <c:v>162.98277567530383</c:v>
                </c:pt>
                <c:pt idx="16">
                  <c:v>166.68974214008182</c:v>
                </c:pt>
                <c:pt idx="17">
                  <c:v>168.75576041962884</c:v>
                </c:pt>
                <c:pt idx="18">
                  <c:v>170.42639511608439</c:v>
                </c:pt>
                <c:pt idx="19">
                  <c:v>175.8104326892616</c:v>
                </c:pt>
              </c:numCache>
            </c:numRef>
          </c:val>
          <c:smooth val="0"/>
          <c:extLst>
            <c:ext xmlns:c16="http://schemas.microsoft.com/office/drawing/2014/chart" uri="{C3380CC4-5D6E-409C-BE32-E72D297353CC}">
              <c16:uniqueId val="{00000001-8E33-4501-8455-88758CA4526C}"/>
            </c:ext>
          </c:extLst>
        </c:ser>
        <c:ser>
          <c:idx val="2"/>
          <c:order val="2"/>
          <c:tx>
            <c:strRef>
              <c:f>'Table I2'!$Y$7</c:f>
              <c:strCache>
                <c:ptCount val="1"/>
                <c:pt idx="0">
                  <c:v>bn tonne kms</c:v>
                </c:pt>
              </c:strCache>
            </c:strRef>
          </c:tx>
          <c:spPr>
            <a:ln w="28575" cap="rnd">
              <a:solidFill>
                <a:srgbClr val="FF0000"/>
              </a:solidFill>
              <a:round/>
            </a:ln>
            <a:effectLst/>
          </c:spPr>
          <c:marker>
            <c:symbol val="none"/>
          </c:marker>
          <c:cat>
            <c:numRef>
              <c:f>'Table I2'!$A$38:$A$58</c:f>
              <c:numCache>
                <c:formatCode>General</c:formatCode>
                <c:ptCount val="21"/>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numCache>
            </c:numRef>
          </c:cat>
          <c:val>
            <c:numRef>
              <c:f>'Table I2'!$Y$38:$Y$57</c:f>
              <c:numCache>
                <c:formatCode>#,##0.0</c:formatCode>
                <c:ptCount val="20"/>
                <c:pt idx="0">
                  <c:v>100</c:v>
                </c:pt>
                <c:pt idx="1">
                  <c:v>105.6673199310187</c:v>
                </c:pt>
                <c:pt idx="2">
                  <c:v>102.55341351407476</c:v>
                </c:pt>
                <c:pt idx="3">
                  <c:v>103.16630152069656</c:v>
                </c:pt>
                <c:pt idx="4">
                  <c:v>110.82517642265056</c:v>
                </c:pt>
                <c:pt idx="5">
                  <c:v>117.9248801710377</c:v>
                </c:pt>
                <c:pt idx="6">
                  <c:v>120.63263503096803</c:v>
                </c:pt>
                <c:pt idx="7">
                  <c:v>117.03609188919175</c:v>
                </c:pt>
                <c:pt idx="8">
                  <c:v>115.99914546542635</c:v>
                </c:pt>
                <c:pt idx="9">
                  <c:v>105.51250513375643</c:v>
                </c:pt>
                <c:pt idx="10">
                  <c:v>102.23753474658072</c:v>
                </c:pt>
                <c:pt idx="11">
                  <c:v>115.43193049281297</c:v>
                </c:pt>
                <c:pt idx="12">
                  <c:v>118.14510219294235</c:v>
                </c:pt>
                <c:pt idx="13">
                  <c:v>123.28893886605019</c:v>
                </c:pt>
                <c:pt idx="14">
                  <c:v>121.86865241688096</c:v>
                </c:pt>
                <c:pt idx="15">
                  <c:v>106.45344384056557</c:v>
                </c:pt>
                <c:pt idx="16">
                  <c:v>93.854404297912936</c:v>
                </c:pt>
                <c:pt idx="17">
                  <c:v>94.480241496933957</c:v>
                </c:pt>
                <c:pt idx="18">
                  <c:v>94.693578277527649</c:v>
                </c:pt>
                <c:pt idx="19">
                  <c:v>92.924945540708791</c:v>
                </c:pt>
              </c:numCache>
            </c:numRef>
          </c:val>
          <c:smooth val="0"/>
          <c:extLst>
            <c:ext xmlns:c16="http://schemas.microsoft.com/office/drawing/2014/chart" uri="{C3380CC4-5D6E-409C-BE32-E72D297353CC}">
              <c16:uniqueId val="{00000002-8E33-4501-8455-88758CA4526C}"/>
            </c:ext>
          </c:extLst>
        </c:ser>
        <c:dLbls>
          <c:showLegendKey val="0"/>
          <c:showVal val="0"/>
          <c:showCatName val="0"/>
          <c:showSerName val="0"/>
          <c:showPercent val="0"/>
          <c:showBubbleSize val="0"/>
        </c:dLbls>
        <c:smooth val="0"/>
        <c:axId val="481411424"/>
        <c:axId val="481412080"/>
      </c:lineChart>
      <c:catAx>
        <c:axId val="481411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81412080"/>
        <c:crosses val="autoZero"/>
        <c:auto val="1"/>
        <c:lblAlgn val="ctr"/>
        <c:lblOffset val="100"/>
        <c:tickLblSkip val="2"/>
        <c:noMultiLvlLbl val="0"/>
      </c:catAx>
      <c:valAx>
        <c:axId val="481412080"/>
        <c:scaling>
          <c:orientation val="minMax"/>
          <c:max val="200"/>
          <c:min val="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481411424"/>
        <c:crosses val="autoZero"/>
        <c:crossBetween val="between"/>
        <c:majorUnit val="5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zh-CN"/>
    </a:p>
  </c:txPr>
  <c:externalData r:id="rId4">
    <c:autoUpdate val="0"/>
  </c:externalData>
  <c:userShapes r:id="rId5"/>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'Table I2'!$N$7</c:f>
              <c:strCache>
                <c:ptCount val="1"/>
                <c:pt idx="0">
                  <c:v>Consumption</c:v>
                </c:pt>
              </c:strCache>
            </c:strRef>
          </c:tx>
          <c:spPr>
            <a:ln w="28575" cap="rnd">
              <a:solidFill>
                <a:schemeClr val="accent5"/>
              </a:solidFill>
              <a:round/>
            </a:ln>
            <a:effectLst/>
          </c:spPr>
          <c:marker>
            <c:symbol val="none"/>
          </c:marker>
          <c:cat>
            <c:numRef>
              <c:f>'Table I2'!$A$38:$A$56</c:f>
              <c:numCache>
                <c:formatCode>General</c:formatCode>
                <c:ptCount val="19"/>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numCache>
            </c:numRef>
          </c:cat>
          <c:val>
            <c:numRef>
              <c:f>'Table I2'!$N$38:$N$56</c:f>
              <c:numCache>
                <c:formatCode>#,##0.0</c:formatCode>
                <c:ptCount val="19"/>
                <c:pt idx="0">
                  <c:v>100</c:v>
                </c:pt>
                <c:pt idx="1">
                  <c:v>100.15747091838212</c:v>
                </c:pt>
                <c:pt idx="2">
                  <c:v>102.25555790448229</c:v>
                </c:pt>
                <c:pt idx="3">
                  <c:v>104.19087194232819</c:v>
                </c:pt>
                <c:pt idx="4">
                  <c:v>106.69231864298483</c:v>
                </c:pt>
                <c:pt idx="5">
                  <c:v>108.91668815195865</c:v>
                </c:pt>
                <c:pt idx="6">
                  <c:v>110.55647184108159</c:v>
                </c:pt>
                <c:pt idx="7">
                  <c:v>113.17845832807866</c:v>
                </c:pt>
                <c:pt idx="8">
                  <c:v>107.52597049520193</c:v>
                </c:pt>
                <c:pt idx="9">
                  <c:v>102.61119160918004</c:v>
                </c:pt>
                <c:pt idx="10">
                  <c:v>105.72880955237727</c:v>
                </c:pt>
                <c:pt idx="11">
                  <c:v>104.41493456355222</c:v>
                </c:pt>
                <c:pt idx="12">
                  <c:v>104.496561367002</c:v>
                </c:pt>
                <c:pt idx="13">
                  <c:v>105.67207019369727</c:v>
                </c:pt>
                <c:pt idx="14">
                  <c:v>109.80049529314859</c:v>
                </c:pt>
                <c:pt idx="15">
                  <c:v>114.66106763232575</c:v>
                </c:pt>
                <c:pt idx="16">
                  <c:v>120.13605201904194</c:v>
                </c:pt>
                <c:pt idx="17">
                  <c:v>121.55292941589082</c:v>
                </c:pt>
                <c:pt idx="18">
                  <c:v>122.23736039557507</c:v>
                </c:pt>
              </c:numCache>
            </c:numRef>
          </c:val>
          <c:smooth val="0"/>
          <c:extLst>
            <c:ext xmlns:c16="http://schemas.microsoft.com/office/drawing/2014/chart" uri="{C3380CC4-5D6E-409C-BE32-E72D297353CC}">
              <c16:uniqueId val="{00000000-0599-41D6-A35E-25177663856B}"/>
            </c:ext>
          </c:extLst>
        </c:ser>
        <c:ser>
          <c:idx val="1"/>
          <c:order val="1"/>
          <c:tx>
            <c:strRef>
              <c:f>'Table I2'!$O$7</c:f>
              <c:strCache>
                <c:ptCount val="1"/>
                <c:pt idx="0">
                  <c:v>bn tonne kms</c:v>
                </c:pt>
              </c:strCache>
            </c:strRef>
          </c:tx>
          <c:spPr>
            <a:ln w="28575" cap="rnd">
              <a:solidFill>
                <a:schemeClr val="accent2"/>
              </a:solidFill>
              <a:round/>
            </a:ln>
            <a:effectLst/>
          </c:spPr>
          <c:marker>
            <c:symbol val="none"/>
          </c:marker>
          <c:cat>
            <c:numRef>
              <c:f>'Table I2'!$A$38:$A$56</c:f>
              <c:numCache>
                <c:formatCode>General</c:formatCode>
                <c:ptCount val="19"/>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numCache>
            </c:numRef>
          </c:cat>
          <c:val>
            <c:numRef>
              <c:f>'Table I2'!$O$38:$O$56</c:f>
              <c:numCache>
                <c:formatCode>#,##0.0</c:formatCode>
                <c:ptCount val="19"/>
                <c:pt idx="0">
                  <c:v>100</c:v>
                </c:pt>
                <c:pt idx="1">
                  <c:v>100</c:v>
                </c:pt>
                <c:pt idx="2">
                  <c:v>100</c:v>
                </c:pt>
                <c:pt idx="3">
                  <c:v>101.88679245283019</c:v>
                </c:pt>
                <c:pt idx="4">
                  <c:v>102.51572327044025</c:v>
                </c:pt>
                <c:pt idx="5">
                  <c:v>102.51572327044025</c:v>
                </c:pt>
                <c:pt idx="6">
                  <c:v>102.51572327044025</c:v>
                </c:pt>
                <c:pt idx="7">
                  <c:v>106.28930817610063</c:v>
                </c:pt>
                <c:pt idx="8">
                  <c:v>98.742138364779876</c:v>
                </c:pt>
                <c:pt idx="9">
                  <c:v>86.163522012578625</c:v>
                </c:pt>
                <c:pt idx="10">
                  <c:v>87.327044025157235</c:v>
                </c:pt>
                <c:pt idx="11">
                  <c:v>88.280503144654105</c:v>
                </c:pt>
                <c:pt idx="12">
                  <c:v>89.701257861635213</c:v>
                </c:pt>
                <c:pt idx="13">
                  <c:v>82.699999999999989</c:v>
                </c:pt>
                <c:pt idx="14">
                  <c:v>80.430817610062903</c:v>
                </c:pt>
                <c:pt idx="15">
                  <c:v>90.122012578616363</c:v>
                </c:pt>
                <c:pt idx="16">
                  <c:v>93.392452830188674</c:v>
                </c:pt>
                <c:pt idx="17">
                  <c:v>92.483919496855336</c:v>
                </c:pt>
                <c:pt idx="18">
                  <c:v>95.723270440251568</c:v>
                </c:pt>
              </c:numCache>
            </c:numRef>
          </c:val>
          <c:smooth val="0"/>
          <c:extLst>
            <c:ext xmlns:c16="http://schemas.microsoft.com/office/drawing/2014/chart" uri="{C3380CC4-5D6E-409C-BE32-E72D297353CC}">
              <c16:uniqueId val="{00000001-0599-41D6-A35E-25177663856B}"/>
            </c:ext>
          </c:extLst>
        </c:ser>
        <c:ser>
          <c:idx val="2"/>
          <c:order val="2"/>
          <c:tx>
            <c:strRef>
              <c:f>'Table I2'!$P$7</c:f>
              <c:strCache>
                <c:ptCount val="1"/>
                <c:pt idx="0">
                  <c:v>Consumption per bn tonne kms</c:v>
                </c:pt>
              </c:strCache>
            </c:strRef>
          </c:tx>
          <c:spPr>
            <a:ln w="28575" cap="rnd">
              <a:solidFill>
                <a:srgbClr val="FF0000"/>
              </a:solidFill>
              <a:round/>
            </a:ln>
            <a:effectLst/>
          </c:spPr>
          <c:marker>
            <c:symbol val="none"/>
          </c:marker>
          <c:cat>
            <c:numRef>
              <c:f>'Table I2'!$A$38:$A$56</c:f>
              <c:numCache>
                <c:formatCode>General</c:formatCode>
                <c:ptCount val="19"/>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numCache>
            </c:numRef>
          </c:cat>
          <c:val>
            <c:numRef>
              <c:f>'Table I2'!$P$38:$P$56</c:f>
              <c:numCache>
                <c:formatCode>#,##0.0</c:formatCode>
                <c:ptCount val="19"/>
                <c:pt idx="0">
                  <c:v>100</c:v>
                </c:pt>
                <c:pt idx="1">
                  <c:v>100.1574709183821</c:v>
                </c:pt>
                <c:pt idx="2">
                  <c:v>102.25555790448229</c:v>
                </c:pt>
                <c:pt idx="3">
                  <c:v>102.26141135080357</c:v>
                </c:pt>
                <c:pt idx="4">
                  <c:v>104.07410223456803</c:v>
                </c:pt>
                <c:pt idx="5">
                  <c:v>106.24388598872039</c:v>
                </c:pt>
                <c:pt idx="6">
                  <c:v>107.84342958731273</c:v>
                </c:pt>
                <c:pt idx="7">
                  <c:v>106.48150813115093</c:v>
                </c:pt>
                <c:pt idx="8">
                  <c:v>108.89572808112806</c:v>
                </c:pt>
                <c:pt idx="9">
                  <c:v>119.08890121065421</c:v>
                </c:pt>
                <c:pt idx="10">
                  <c:v>121.07224140315438</c:v>
                </c:pt>
                <c:pt idx="11">
                  <c:v>118.27632471969565</c:v>
                </c:pt>
                <c:pt idx="12">
                  <c:v>116.49397551167971</c:v>
                </c:pt>
                <c:pt idx="13">
                  <c:v>127.77759394642958</c:v>
                </c:pt>
                <c:pt idx="14">
                  <c:v>136.51545334957677</c:v>
                </c:pt>
                <c:pt idx="15">
                  <c:v>127.22870290130635</c:v>
                </c:pt>
                <c:pt idx="16">
                  <c:v>128.63571774635787</c:v>
                </c:pt>
                <c:pt idx="17">
                  <c:v>131.4314208104295</c:v>
                </c:pt>
                <c:pt idx="18">
                  <c:v>127.69868792967434</c:v>
                </c:pt>
              </c:numCache>
            </c:numRef>
          </c:val>
          <c:smooth val="0"/>
          <c:extLst>
            <c:ext xmlns:c16="http://schemas.microsoft.com/office/drawing/2014/chart" uri="{C3380CC4-5D6E-409C-BE32-E72D297353CC}">
              <c16:uniqueId val="{00000002-0599-41D6-A35E-25177663856B}"/>
            </c:ext>
          </c:extLst>
        </c:ser>
        <c:dLbls>
          <c:showLegendKey val="0"/>
          <c:showVal val="0"/>
          <c:showCatName val="0"/>
          <c:showSerName val="0"/>
          <c:showPercent val="0"/>
          <c:showBubbleSize val="0"/>
        </c:dLbls>
        <c:smooth val="0"/>
        <c:axId val="481411424"/>
        <c:axId val="481412080"/>
      </c:lineChart>
      <c:catAx>
        <c:axId val="481411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481412080"/>
        <c:crosses val="autoZero"/>
        <c:auto val="1"/>
        <c:lblAlgn val="ctr"/>
        <c:lblOffset val="100"/>
        <c:tickLblSkip val="2"/>
        <c:tickMarkSkip val="1"/>
        <c:noMultiLvlLbl val="0"/>
      </c:catAx>
      <c:valAx>
        <c:axId val="481412080"/>
        <c:scaling>
          <c:orientation val="minMax"/>
          <c:max val="150"/>
          <c:min val="5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481411424"/>
        <c:crosses val="autoZero"/>
        <c:crossBetween val="between"/>
        <c:majorUnit val="5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zh-CN"/>
    </a:p>
  </c:txPr>
  <c:externalData r:id="rId4">
    <c:autoUpdate val="0"/>
  </c:externalData>
  <c:userShapes r:id="rId5"/>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071402962494073"/>
          <c:y val="0.18603214273317367"/>
          <c:w val="0.85280562293404849"/>
          <c:h val="0.60644488139939934"/>
        </c:manualLayout>
      </c:layout>
      <c:lineChart>
        <c:grouping val="standard"/>
        <c:varyColors val="0"/>
        <c:ser>
          <c:idx val="0"/>
          <c:order val="0"/>
          <c:tx>
            <c:strRef>
              <c:f>'Table I2'!$AN$7</c:f>
              <c:strCache>
                <c:ptCount val="1"/>
                <c:pt idx="0">
                  <c:v>Consumption</c:v>
                </c:pt>
              </c:strCache>
            </c:strRef>
          </c:tx>
          <c:spPr>
            <a:ln w="28575" cap="rnd">
              <a:solidFill>
                <a:schemeClr val="accent5"/>
              </a:solidFill>
              <a:round/>
            </a:ln>
            <a:effectLst/>
          </c:spPr>
          <c:marker>
            <c:symbol val="none"/>
          </c:marker>
          <c:cat>
            <c:numRef>
              <c:f>'Table I2'!$A$38:$A$56</c:f>
              <c:numCache>
                <c:formatCode>General</c:formatCode>
                <c:ptCount val="19"/>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numCache>
            </c:numRef>
          </c:cat>
          <c:val>
            <c:numRef>
              <c:f>'Table I2'!$AN$38:$AN$56</c:f>
              <c:numCache>
                <c:formatCode>#,##0.0</c:formatCode>
                <c:ptCount val="19"/>
                <c:pt idx="0">
                  <c:v>100</c:v>
                </c:pt>
                <c:pt idx="1">
                  <c:v>81.736467510653426</c:v>
                </c:pt>
                <c:pt idx="2">
                  <c:v>68.038141014332012</c:v>
                </c:pt>
                <c:pt idx="3">
                  <c:v>119.55179396451928</c:v>
                </c:pt>
                <c:pt idx="4">
                  <c:v>115.83917156034673</c:v>
                </c:pt>
                <c:pt idx="5">
                  <c:v>132.72443070515322</c:v>
                </c:pt>
                <c:pt idx="6">
                  <c:v>175.53270013408903</c:v>
                </c:pt>
                <c:pt idx="7">
                  <c:v>156.73159397569671</c:v>
                </c:pt>
                <c:pt idx="8">
                  <c:v>98.206600826304708</c:v>
                </c:pt>
                <c:pt idx="9">
                  <c:v>92.099192402534641</c:v>
                </c:pt>
                <c:pt idx="10">
                  <c:v>91.843961848679015</c:v>
                </c:pt>
                <c:pt idx="11">
                  <c:v>86.580200755824052</c:v>
                </c:pt>
                <c:pt idx="12">
                  <c:v>80.700610058687232</c:v>
                </c:pt>
                <c:pt idx="13">
                  <c:v>71.304150981691166</c:v>
                </c:pt>
                <c:pt idx="14">
                  <c:v>67.668874470592215</c:v>
                </c:pt>
                <c:pt idx="15">
                  <c:v>87.747750925727445</c:v>
                </c:pt>
                <c:pt idx="16">
                  <c:v>91.508453706720658</c:v>
                </c:pt>
                <c:pt idx="17">
                  <c:v>89.75552425178158</c:v>
                </c:pt>
                <c:pt idx="18">
                  <c:v>88.224261912972736</c:v>
                </c:pt>
              </c:numCache>
            </c:numRef>
          </c:val>
          <c:smooth val="0"/>
          <c:extLst>
            <c:ext xmlns:c16="http://schemas.microsoft.com/office/drawing/2014/chart" uri="{C3380CC4-5D6E-409C-BE32-E72D297353CC}">
              <c16:uniqueId val="{00000000-5A92-4641-B0A6-75361A2B1E21}"/>
            </c:ext>
          </c:extLst>
        </c:ser>
        <c:ser>
          <c:idx val="1"/>
          <c:order val="1"/>
          <c:tx>
            <c:strRef>
              <c:f>'Table I2'!$AO$7</c:f>
              <c:strCache>
                <c:ptCount val="1"/>
                <c:pt idx="0">
                  <c:v>bn tonne kms</c:v>
                </c:pt>
              </c:strCache>
            </c:strRef>
          </c:tx>
          <c:spPr>
            <a:ln w="28575" cap="rnd">
              <a:solidFill>
                <a:srgbClr val="FFC000"/>
              </a:solidFill>
              <a:round/>
            </a:ln>
            <a:effectLst/>
          </c:spPr>
          <c:marker>
            <c:symbol val="none"/>
          </c:marker>
          <c:cat>
            <c:numRef>
              <c:f>'Table I2'!$A$38:$A$56</c:f>
              <c:numCache>
                <c:formatCode>General</c:formatCode>
                <c:ptCount val="19"/>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numCache>
            </c:numRef>
          </c:cat>
          <c:val>
            <c:numRef>
              <c:f>'Table I2'!$AO$38:$AO$56</c:f>
              <c:numCache>
                <c:formatCode>#,##0.0</c:formatCode>
                <c:ptCount val="19"/>
                <c:pt idx="0">
                  <c:v>100</c:v>
                </c:pt>
                <c:pt idx="1">
                  <c:v>87.761194029850742</c:v>
                </c:pt>
                <c:pt idx="2">
                  <c:v>100.29850746268659</c:v>
                </c:pt>
                <c:pt idx="3">
                  <c:v>90.895522388059703</c:v>
                </c:pt>
                <c:pt idx="4">
                  <c:v>88.725411925370139</c:v>
                </c:pt>
                <c:pt idx="5">
                  <c:v>90.850464904504847</c:v>
                </c:pt>
                <c:pt idx="6">
                  <c:v>77.383813892310229</c:v>
                </c:pt>
                <c:pt idx="7">
                  <c:v>75.824690736713194</c:v>
                </c:pt>
                <c:pt idx="8">
                  <c:v>74.117771468121489</c:v>
                </c:pt>
                <c:pt idx="9">
                  <c:v>72.515176430113954</c:v>
                </c:pt>
                <c:pt idx="10">
                  <c:v>62.539872686209655</c:v>
                </c:pt>
                <c:pt idx="11">
                  <c:v>64.253011882490298</c:v>
                </c:pt>
                <c:pt idx="12">
                  <c:v>52.990646988020771</c:v>
                </c:pt>
                <c:pt idx="13">
                  <c:v>43.460216789213206</c:v>
                </c:pt>
                <c:pt idx="14">
                  <c:v>40.280412942045366</c:v>
                </c:pt>
                <c:pt idx="15">
                  <c:v>46.905553639858269</c:v>
                </c:pt>
                <c:pt idx="16">
                  <c:v>45.361193083602537</c:v>
                </c:pt>
                <c:pt idx="17">
                  <c:v>37.196599878730055</c:v>
                </c:pt>
                <c:pt idx="18">
                  <c:v>36.124817124819089</c:v>
                </c:pt>
              </c:numCache>
            </c:numRef>
          </c:val>
          <c:smooth val="0"/>
          <c:extLst>
            <c:ext xmlns:c16="http://schemas.microsoft.com/office/drawing/2014/chart" uri="{C3380CC4-5D6E-409C-BE32-E72D297353CC}">
              <c16:uniqueId val="{00000001-5A92-4641-B0A6-75361A2B1E21}"/>
            </c:ext>
          </c:extLst>
        </c:ser>
        <c:ser>
          <c:idx val="2"/>
          <c:order val="2"/>
          <c:tx>
            <c:strRef>
              <c:f>'Table I2'!$AP$7</c:f>
              <c:strCache>
                <c:ptCount val="1"/>
                <c:pt idx="0">
                  <c:v>Consumption per bn tonne kms</c:v>
                </c:pt>
              </c:strCache>
            </c:strRef>
          </c:tx>
          <c:spPr>
            <a:ln w="28575" cap="rnd">
              <a:solidFill>
                <a:srgbClr val="FF0000"/>
              </a:solidFill>
              <a:round/>
            </a:ln>
            <a:effectLst/>
          </c:spPr>
          <c:marker>
            <c:symbol val="none"/>
          </c:marker>
          <c:cat>
            <c:numRef>
              <c:f>'Table I2'!$A$38:$A$56</c:f>
              <c:numCache>
                <c:formatCode>General</c:formatCode>
                <c:ptCount val="19"/>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numCache>
            </c:numRef>
          </c:cat>
          <c:val>
            <c:numRef>
              <c:f>'Table I2'!$AP$38:$AP$56</c:f>
              <c:numCache>
                <c:formatCode>#,##0.0</c:formatCode>
                <c:ptCount val="19"/>
                <c:pt idx="0">
                  <c:v>100</c:v>
                </c:pt>
                <c:pt idx="1">
                  <c:v>93.135090530846583</c:v>
                </c:pt>
                <c:pt idx="2">
                  <c:v>67.835646547027451</c:v>
                </c:pt>
                <c:pt idx="3">
                  <c:v>131.52660419741858</c:v>
                </c:pt>
                <c:pt idx="4">
                  <c:v>130.55918146402394</c:v>
                </c:pt>
                <c:pt idx="5">
                  <c:v>146.09108587904655</c:v>
                </c:pt>
                <c:pt idx="6">
                  <c:v>226.83387042459026</c:v>
                </c:pt>
                <c:pt idx="7">
                  <c:v>206.70258256630066</c:v>
                </c:pt>
                <c:pt idx="8">
                  <c:v>132.50074696126552</c:v>
                </c:pt>
                <c:pt idx="9">
                  <c:v>127.0067824923444</c:v>
                </c:pt>
                <c:pt idx="10">
                  <c:v>146.85664985200879</c:v>
                </c:pt>
                <c:pt idx="11">
                  <c:v>134.74885957745769</c:v>
                </c:pt>
                <c:pt idx="12">
                  <c:v>152.29217729108055</c:v>
                </c:pt>
                <c:pt idx="13">
                  <c:v>164.06763759951795</c:v>
                </c:pt>
                <c:pt idx="14">
                  <c:v>167.99449044366256</c:v>
                </c:pt>
                <c:pt idx="15">
                  <c:v>187.07326556564354</c:v>
                </c:pt>
                <c:pt idx="16">
                  <c:v>201.7329075495586</c:v>
                </c:pt>
                <c:pt idx="17">
                  <c:v>241.30034611874845</c:v>
                </c:pt>
                <c:pt idx="18">
                  <c:v>244.22064645514675</c:v>
                </c:pt>
              </c:numCache>
            </c:numRef>
          </c:val>
          <c:smooth val="0"/>
          <c:extLst>
            <c:ext xmlns:c16="http://schemas.microsoft.com/office/drawing/2014/chart" uri="{C3380CC4-5D6E-409C-BE32-E72D297353CC}">
              <c16:uniqueId val="{00000002-5A92-4641-B0A6-75361A2B1E21}"/>
            </c:ext>
          </c:extLst>
        </c:ser>
        <c:dLbls>
          <c:showLegendKey val="0"/>
          <c:showVal val="0"/>
          <c:showCatName val="0"/>
          <c:showSerName val="0"/>
          <c:showPercent val="0"/>
          <c:showBubbleSize val="0"/>
        </c:dLbls>
        <c:smooth val="0"/>
        <c:axId val="481411424"/>
        <c:axId val="481412080"/>
      </c:lineChart>
      <c:catAx>
        <c:axId val="481411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481412080"/>
        <c:crosses val="autoZero"/>
        <c:auto val="1"/>
        <c:lblAlgn val="ctr"/>
        <c:lblOffset val="100"/>
        <c:tickLblSkip val="2"/>
        <c:noMultiLvlLbl val="0"/>
      </c:catAx>
      <c:valAx>
        <c:axId val="4814120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481411424"/>
        <c:crosses val="autoZero"/>
        <c:crossBetween val="between"/>
      </c:valAx>
      <c:spPr>
        <a:noFill/>
        <a:ln>
          <a:noFill/>
        </a:ln>
        <a:effectLst/>
      </c:spPr>
    </c:plotArea>
    <c:legend>
      <c:legendPos val="b"/>
      <c:layout>
        <c:manualLayout>
          <c:xMode val="edge"/>
          <c:yMode val="edge"/>
          <c:x val="0"/>
          <c:y val="0.88170730960300392"/>
          <c:w val="1"/>
          <c:h val="8.71749637061947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zh-CN"/>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3868110236220469E-2"/>
          <c:y val="0.20477351922641246"/>
          <c:w val="0.881827646544182"/>
          <c:h val="0.47545679136654417"/>
        </c:manualLayout>
      </c:layout>
      <c:lineChart>
        <c:grouping val="standard"/>
        <c:varyColors val="0"/>
        <c:ser>
          <c:idx val="0"/>
          <c:order val="0"/>
          <c:tx>
            <c:strRef>
              <c:f>'Table I2'!$AF$7</c:f>
              <c:strCache>
                <c:ptCount val="1"/>
                <c:pt idx="0">
                  <c:v>Consumption</c:v>
                </c:pt>
              </c:strCache>
            </c:strRef>
          </c:tx>
          <c:spPr>
            <a:ln w="28575" cap="rnd">
              <a:solidFill>
                <a:schemeClr val="accent1"/>
              </a:solidFill>
              <a:round/>
            </a:ln>
            <a:effectLst/>
          </c:spPr>
          <c:marker>
            <c:symbol val="none"/>
          </c:marker>
          <c:cat>
            <c:numRef>
              <c:f>'Table I2'!$A$38:$A$56</c:f>
              <c:numCache>
                <c:formatCode>General</c:formatCode>
                <c:ptCount val="19"/>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numCache>
            </c:numRef>
          </c:cat>
          <c:val>
            <c:numRef>
              <c:f>'Table I2'!$AF$38:$AF$56</c:f>
              <c:numCache>
                <c:formatCode>#,##0.0</c:formatCode>
                <c:ptCount val="19"/>
                <c:pt idx="0">
                  <c:v>100</c:v>
                </c:pt>
                <c:pt idx="1">
                  <c:v>98.295023627389327</c:v>
                </c:pt>
                <c:pt idx="2">
                  <c:v>97.328613978693042</c:v>
                </c:pt>
                <c:pt idx="3">
                  <c:v>99.649863327783834</c:v>
                </c:pt>
                <c:pt idx="4">
                  <c:v>107.77073903779426</c:v>
                </c:pt>
                <c:pt idx="5">
                  <c:v>115.68387272999993</c:v>
                </c:pt>
                <c:pt idx="6">
                  <c:v>116.87570108780669</c:v>
                </c:pt>
                <c:pt idx="7">
                  <c:v>116.09856933151855</c:v>
                </c:pt>
                <c:pt idx="8">
                  <c:v>112.09217676230827</c:v>
                </c:pt>
                <c:pt idx="9">
                  <c:v>106.45848851203003</c:v>
                </c:pt>
                <c:pt idx="10">
                  <c:v>102.58847037416803</c:v>
                </c:pt>
                <c:pt idx="11">
                  <c:v>106.88545279798367</c:v>
                </c:pt>
                <c:pt idx="12">
                  <c:v>103.59154936930126</c:v>
                </c:pt>
                <c:pt idx="13">
                  <c:v>103.80537252607856</c:v>
                </c:pt>
                <c:pt idx="14">
                  <c:v>103.68261707019579</c:v>
                </c:pt>
                <c:pt idx="15">
                  <c:v>104.59330553907384</c:v>
                </c:pt>
                <c:pt idx="16">
                  <c:v>104.66479832259985</c:v>
                </c:pt>
                <c:pt idx="17">
                  <c:v>112.45218762319908</c:v>
                </c:pt>
                <c:pt idx="18">
                  <c:v>113.20946426940857</c:v>
                </c:pt>
              </c:numCache>
            </c:numRef>
          </c:val>
          <c:smooth val="0"/>
          <c:extLst>
            <c:ext xmlns:c16="http://schemas.microsoft.com/office/drawing/2014/chart" uri="{C3380CC4-5D6E-409C-BE32-E72D297353CC}">
              <c16:uniqueId val="{00000000-B03F-4A5D-86A3-CF5C9FFB415E}"/>
            </c:ext>
          </c:extLst>
        </c:ser>
        <c:ser>
          <c:idx val="1"/>
          <c:order val="1"/>
          <c:tx>
            <c:strRef>
              <c:f>'Table I2'!$AG$7</c:f>
              <c:strCache>
                <c:ptCount val="1"/>
                <c:pt idx="0">
                  <c:v>bn passenger kms</c:v>
                </c:pt>
              </c:strCache>
            </c:strRef>
          </c:tx>
          <c:spPr>
            <a:ln w="28575" cap="rnd">
              <a:solidFill>
                <a:schemeClr val="accent5"/>
              </a:solidFill>
              <a:round/>
            </a:ln>
            <a:effectLst/>
          </c:spPr>
          <c:marker>
            <c:symbol val="none"/>
          </c:marker>
          <c:cat>
            <c:numRef>
              <c:f>'Table I2'!$A$38:$A$56</c:f>
              <c:numCache>
                <c:formatCode>General</c:formatCode>
                <c:ptCount val="19"/>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numCache>
            </c:numRef>
          </c:cat>
          <c:val>
            <c:numRef>
              <c:f>'Table I2'!$AG$38:$AG$56</c:f>
              <c:numCache>
                <c:formatCode>#,##0.0</c:formatCode>
                <c:ptCount val="19"/>
                <c:pt idx="0">
                  <c:v>100</c:v>
                </c:pt>
                <c:pt idx="1">
                  <c:v>95.418384408603757</c:v>
                </c:pt>
                <c:pt idx="2">
                  <c:v>93.680144975785069</c:v>
                </c:pt>
                <c:pt idx="3">
                  <c:v>97.606542817517123</c:v>
                </c:pt>
                <c:pt idx="4">
                  <c:v>104.73634645791535</c:v>
                </c:pt>
                <c:pt idx="5">
                  <c:v>110.26606704787061</c:v>
                </c:pt>
                <c:pt idx="6">
                  <c:v>115.00774266284036</c:v>
                </c:pt>
                <c:pt idx="7">
                  <c:v>120.56605001758814</c:v>
                </c:pt>
                <c:pt idx="8">
                  <c:v>119.50868348734329</c:v>
                </c:pt>
                <c:pt idx="9">
                  <c:v>113.80673482370787</c:v>
                </c:pt>
                <c:pt idx="10">
                  <c:v>110.60285404329706</c:v>
                </c:pt>
                <c:pt idx="11">
                  <c:v>116.80588849678469</c:v>
                </c:pt>
                <c:pt idx="12">
                  <c:v>118.40888435934838</c:v>
                </c:pt>
                <c:pt idx="13">
                  <c:v>119.38359869466115</c:v>
                </c:pt>
                <c:pt idx="14">
                  <c:v>124.25697546756889</c:v>
                </c:pt>
                <c:pt idx="15">
                  <c:v>127.71444777371607</c:v>
                </c:pt>
                <c:pt idx="16">
                  <c:v>132.30083390066412</c:v>
                </c:pt>
                <c:pt idx="17">
                  <c:v>139.35128988390633</c:v>
                </c:pt>
                <c:pt idx="18">
                  <c:v>152.59915842442894</c:v>
                </c:pt>
              </c:numCache>
            </c:numRef>
          </c:val>
          <c:smooth val="0"/>
          <c:extLst>
            <c:ext xmlns:c16="http://schemas.microsoft.com/office/drawing/2014/chart" uri="{C3380CC4-5D6E-409C-BE32-E72D297353CC}">
              <c16:uniqueId val="{00000001-B03F-4A5D-86A3-CF5C9FFB415E}"/>
            </c:ext>
          </c:extLst>
        </c:ser>
        <c:ser>
          <c:idx val="2"/>
          <c:order val="2"/>
          <c:tx>
            <c:strRef>
              <c:f>'Table I2'!$AH$7</c:f>
              <c:strCache>
                <c:ptCount val="1"/>
                <c:pt idx="0">
                  <c:v>Consumption per bn passenger kms</c:v>
                </c:pt>
              </c:strCache>
            </c:strRef>
          </c:tx>
          <c:spPr>
            <a:ln w="28575" cap="rnd">
              <a:solidFill>
                <a:srgbClr val="FF0000"/>
              </a:solidFill>
              <a:round/>
            </a:ln>
            <a:effectLst/>
          </c:spPr>
          <c:marker>
            <c:symbol val="none"/>
          </c:marker>
          <c:cat>
            <c:numRef>
              <c:f>'Table I2'!$A$38:$A$56</c:f>
              <c:numCache>
                <c:formatCode>General</c:formatCode>
                <c:ptCount val="19"/>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numCache>
            </c:numRef>
          </c:cat>
          <c:val>
            <c:numRef>
              <c:f>'Table I2'!$AH$38:$AH$56</c:f>
              <c:numCache>
                <c:formatCode>#,##0.0</c:formatCode>
                <c:ptCount val="19"/>
                <c:pt idx="0">
                  <c:v>100</c:v>
                </c:pt>
                <c:pt idx="1">
                  <c:v>103.01476412183541</c:v>
                </c:pt>
                <c:pt idx="2">
                  <c:v>103.89460221677822</c:v>
                </c:pt>
                <c:pt idx="3">
                  <c:v>102.09342575946661</c:v>
                </c:pt>
                <c:pt idx="4">
                  <c:v>102.89717245493013</c:v>
                </c:pt>
                <c:pt idx="5">
                  <c:v>104.91339341937103</c:v>
                </c:pt>
                <c:pt idx="6">
                  <c:v>101.62420232039725</c:v>
                </c:pt>
                <c:pt idx="7">
                  <c:v>96.294578212176745</c:v>
                </c:pt>
                <c:pt idx="8">
                  <c:v>93.794169169455827</c:v>
                </c:pt>
                <c:pt idx="9">
                  <c:v>93.543223673835641</c:v>
                </c:pt>
                <c:pt idx="10">
                  <c:v>92.753908804205281</c:v>
                </c:pt>
                <c:pt idx="11">
                  <c:v>91.506904466486645</c:v>
                </c:pt>
                <c:pt idx="12">
                  <c:v>87.486297949502386</c:v>
                </c:pt>
                <c:pt idx="13">
                  <c:v>86.95111695499655</c:v>
                </c:pt>
                <c:pt idx="14">
                  <c:v>83.442089814311473</c:v>
                </c:pt>
                <c:pt idx="15">
                  <c:v>81.896220327704697</c:v>
                </c:pt>
                <c:pt idx="16">
                  <c:v>79.111215883329706</c:v>
                </c:pt>
                <c:pt idx="17">
                  <c:v>80.696911895744279</c:v>
                </c:pt>
                <c:pt idx="18">
                  <c:v>74.18747615536347</c:v>
                </c:pt>
              </c:numCache>
            </c:numRef>
          </c:val>
          <c:smooth val="0"/>
          <c:extLst>
            <c:ext xmlns:c16="http://schemas.microsoft.com/office/drawing/2014/chart" uri="{C3380CC4-5D6E-409C-BE32-E72D297353CC}">
              <c16:uniqueId val="{00000002-B03F-4A5D-86A3-CF5C9FFB415E}"/>
            </c:ext>
          </c:extLst>
        </c:ser>
        <c:dLbls>
          <c:showLegendKey val="0"/>
          <c:showVal val="0"/>
          <c:showCatName val="0"/>
          <c:showSerName val="0"/>
          <c:showPercent val="0"/>
          <c:showBubbleSize val="0"/>
        </c:dLbls>
        <c:smooth val="0"/>
        <c:axId val="481411424"/>
        <c:axId val="481412080"/>
      </c:lineChart>
      <c:catAx>
        <c:axId val="481411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481412080"/>
        <c:crosses val="autoZero"/>
        <c:auto val="1"/>
        <c:lblAlgn val="ctr"/>
        <c:lblOffset val="100"/>
        <c:tickLblSkip val="2"/>
        <c:noMultiLvlLbl val="0"/>
      </c:catAx>
      <c:valAx>
        <c:axId val="481412080"/>
        <c:scaling>
          <c:orientation val="minMax"/>
          <c:max val="200"/>
          <c:min val="5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481411424"/>
        <c:crosses val="autoZero"/>
        <c:crossBetween val="between"/>
        <c:majorUnit val="50"/>
      </c:valAx>
      <c:spPr>
        <a:noFill/>
        <a:ln>
          <a:noFill/>
        </a:ln>
        <a:effectLst/>
      </c:spPr>
    </c:plotArea>
    <c:legend>
      <c:legendPos val="b"/>
      <c:layout>
        <c:manualLayout>
          <c:xMode val="edge"/>
          <c:yMode val="edge"/>
          <c:x val="0"/>
          <c:y val="0.81202336754537807"/>
          <c:w val="0.99726574803149604"/>
          <c:h val="0.1537241782601009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zh-CN"/>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交通运输二氧化碳排放!$E$2</c:f>
              <c:strCache>
                <c:ptCount val="1"/>
                <c:pt idx="0">
                  <c:v>欧盟</c:v>
                </c:pt>
              </c:strCache>
            </c:strRef>
          </c:tx>
          <c:spPr>
            <a:solidFill>
              <a:schemeClr val="accent1"/>
            </a:solidFill>
            <a:ln>
              <a:noFill/>
            </a:ln>
            <a:effectLst/>
          </c:spPr>
          <c:invertIfNegative val="0"/>
          <c:cat>
            <c:numRef>
              <c:f>交通运输二氧化碳排放!$A$3:$A$24</c:f>
              <c:numCache>
                <c:formatCode>General</c:formatCode>
                <c:ptCount val="22"/>
                <c:pt idx="0">
                  <c:v>1990</c:v>
                </c:pt>
                <c:pt idx="1">
                  <c:v>1995</c:v>
                </c:pt>
                <c:pt idx="2">
                  <c:v>2000</c:v>
                </c:pt>
                <c:pt idx="3">
                  <c:v>2001</c:v>
                </c:pt>
                <c:pt idx="4">
                  <c:v>2002</c:v>
                </c:pt>
                <c:pt idx="5">
                  <c:v>2003</c:v>
                </c:pt>
                <c:pt idx="6">
                  <c:v>2004</c:v>
                </c:pt>
                <c:pt idx="7">
                  <c:v>2005</c:v>
                </c:pt>
                <c:pt idx="8">
                  <c:v>2006</c:v>
                </c:pt>
                <c:pt idx="9">
                  <c:v>2007</c:v>
                </c:pt>
                <c:pt idx="10">
                  <c:v>2008</c:v>
                </c:pt>
                <c:pt idx="11">
                  <c:v>2009</c:v>
                </c:pt>
                <c:pt idx="12">
                  <c:v>2010</c:v>
                </c:pt>
                <c:pt idx="13">
                  <c:v>2011</c:v>
                </c:pt>
                <c:pt idx="14">
                  <c:v>2012</c:v>
                </c:pt>
                <c:pt idx="15">
                  <c:v>2013</c:v>
                </c:pt>
                <c:pt idx="16">
                  <c:v>2014</c:v>
                </c:pt>
                <c:pt idx="17">
                  <c:v>2015</c:v>
                </c:pt>
                <c:pt idx="18">
                  <c:v>2016</c:v>
                </c:pt>
                <c:pt idx="19">
                  <c:v>2017</c:v>
                </c:pt>
                <c:pt idx="20">
                  <c:v>2018</c:v>
                </c:pt>
                <c:pt idx="21">
                  <c:v>2019</c:v>
                </c:pt>
              </c:numCache>
            </c:numRef>
          </c:cat>
          <c:val>
            <c:numRef>
              <c:f>交通运输二氧化碳排放!$E$3:$E$24</c:f>
              <c:numCache>
                <c:formatCode>General</c:formatCode>
                <c:ptCount val="22"/>
                <c:pt idx="0">
                  <c:v>793.69856000000004</c:v>
                </c:pt>
                <c:pt idx="1">
                  <c:v>848.17078000000004</c:v>
                </c:pt>
                <c:pt idx="2">
                  <c:v>927.61017000000004</c:v>
                </c:pt>
                <c:pt idx="3">
                  <c:v>940.82921999999996</c:v>
                </c:pt>
                <c:pt idx="4">
                  <c:v>952.31194999999991</c:v>
                </c:pt>
                <c:pt idx="5">
                  <c:v>961.39116000000001</c:v>
                </c:pt>
                <c:pt idx="6">
                  <c:v>980.79789000000005</c:v>
                </c:pt>
                <c:pt idx="7">
                  <c:v>980.01567</c:v>
                </c:pt>
                <c:pt idx="8">
                  <c:v>987.51947999999993</c:v>
                </c:pt>
                <c:pt idx="9">
                  <c:v>997.19938999999999</c:v>
                </c:pt>
                <c:pt idx="10">
                  <c:v>972.44680000000005</c:v>
                </c:pt>
                <c:pt idx="11">
                  <c:v>944.80624</c:v>
                </c:pt>
                <c:pt idx="12">
                  <c:v>939.42611999999997</c:v>
                </c:pt>
                <c:pt idx="13">
                  <c:v>927.00827000000004</c:v>
                </c:pt>
                <c:pt idx="14">
                  <c:v>896.5180600000001</c:v>
                </c:pt>
                <c:pt idx="15">
                  <c:v>890.13853000000006</c:v>
                </c:pt>
                <c:pt idx="16">
                  <c:v>897.74345999999991</c:v>
                </c:pt>
                <c:pt idx="17">
                  <c:v>914.77415000000008</c:v>
                </c:pt>
                <c:pt idx="18">
                  <c:v>935.21667000000002</c:v>
                </c:pt>
                <c:pt idx="19">
                  <c:v>949.9264300000001</c:v>
                </c:pt>
                <c:pt idx="20">
                  <c:v>950.24950999999999</c:v>
                </c:pt>
                <c:pt idx="21">
                  <c:v>954.69664999999998</c:v>
                </c:pt>
              </c:numCache>
            </c:numRef>
          </c:val>
          <c:extLst>
            <c:ext xmlns:c16="http://schemas.microsoft.com/office/drawing/2014/chart" uri="{C3380CC4-5D6E-409C-BE32-E72D297353CC}">
              <c16:uniqueId val="{00000000-19A5-4D8C-AF09-D09F52C13281}"/>
            </c:ext>
          </c:extLst>
        </c:ser>
        <c:dLbls>
          <c:showLegendKey val="0"/>
          <c:showVal val="0"/>
          <c:showCatName val="0"/>
          <c:showSerName val="0"/>
          <c:showPercent val="0"/>
          <c:showBubbleSize val="0"/>
        </c:dLbls>
        <c:gapWidth val="219"/>
        <c:overlap val="-27"/>
        <c:axId val="691880624"/>
        <c:axId val="691885616"/>
      </c:barChart>
      <c:catAx>
        <c:axId val="6918806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691885616"/>
        <c:crosses val="autoZero"/>
        <c:auto val="1"/>
        <c:lblAlgn val="ctr"/>
        <c:lblOffset val="100"/>
        <c:noMultiLvlLbl val="0"/>
      </c:catAx>
      <c:valAx>
        <c:axId val="6918856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6918806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zh-CN"/>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algn="l">
              <a:defRPr lang="zh-CN" sz="1200" b="1" i="0" u="none" strike="noStrike" kern="1200" baseline="0">
                <a:solidFill>
                  <a:srgbClr val="000000"/>
                </a:solidFill>
                <a:latin typeface="Times New Roman" panose="02020603050405020304" charset="0"/>
                <a:ea typeface="楷体" panose="02010609060101010101" pitchFamily="3" charset="-122"/>
                <a:cs typeface="Times New Roman" panose="02020603050405020304" charset="0"/>
              </a:defRPr>
            </a:pPr>
            <a:r>
              <a:rPr lang="en-US"/>
              <a:t>%</a:t>
            </a:r>
            <a:endParaRPr lang="zh-CN"/>
          </a:p>
        </c:rich>
      </c:tx>
      <c:layout>
        <c:manualLayout>
          <c:xMode val="edge"/>
          <c:yMode val="edge"/>
          <c:x val="3.5608486439195099E-2"/>
          <c:y val="2.8735783027121611E-2"/>
        </c:manualLayout>
      </c:layout>
      <c:overlay val="0"/>
    </c:title>
    <c:autoTitleDeleted val="0"/>
    <c:plotArea>
      <c:layout>
        <c:manualLayout>
          <c:layoutTarget val="inner"/>
          <c:xMode val="edge"/>
          <c:yMode val="edge"/>
          <c:x val="6.9465223097112866E-2"/>
          <c:y val="0.15704615048118986"/>
          <c:w val="0.936296194472091"/>
          <c:h val="0.57712658096745095"/>
        </c:manualLayout>
      </c:layout>
      <c:barChart>
        <c:barDir val="col"/>
        <c:grouping val="stacked"/>
        <c:varyColors val="0"/>
        <c:ser>
          <c:idx val="0"/>
          <c:order val="0"/>
          <c:tx>
            <c:strRef>
              <c:f>Sheet2!$A$2</c:f>
              <c:strCache>
                <c:ptCount val="1"/>
                <c:pt idx="0">
                  <c:v>铁路</c:v>
                </c:pt>
              </c:strCache>
            </c:strRef>
          </c:tx>
          <c:spPr>
            <a:solidFill>
              <a:srgbClr val="B9C31E">
                <a:lumMod val="100000"/>
              </a:srgbClr>
            </a:solidFill>
            <a:ln>
              <a:noFill/>
              <a:round/>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solidFill>
                    <a:latin typeface="Times New Roman" panose="02020603050405020304" charset="0"/>
                    <a:ea typeface="楷体" panose="02010609060101010101" pitchFamily="3" charset="-122"/>
                    <a:cs typeface="Times New Roman" panose="02020603050405020304" charset="0"/>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Sheet2!$B$1:$K$1</c:f>
              <c:numCache>
                <c:formatCode>General</c:formatCode>
                <c:ptCount val="10"/>
                <c:pt idx="0">
                  <c:v>2009</c:v>
                </c:pt>
                <c:pt idx="1">
                  <c:v>2010</c:v>
                </c:pt>
                <c:pt idx="2">
                  <c:v>2011</c:v>
                </c:pt>
                <c:pt idx="3">
                  <c:v>2012</c:v>
                </c:pt>
                <c:pt idx="4">
                  <c:v>2013</c:v>
                </c:pt>
                <c:pt idx="5">
                  <c:v>2014</c:v>
                </c:pt>
                <c:pt idx="6">
                  <c:v>2015</c:v>
                </c:pt>
                <c:pt idx="7">
                  <c:v>2016</c:v>
                </c:pt>
                <c:pt idx="8">
                  <c:v>2017</c:v>
                </c:pt>
                <c:pt idx="9">
                  <c:v>2018</c:v>
                </c:pt>
              </c:numCache>
            </c:numRef>
          </c:cat>
          <c:val>
            <c:numRef>
              <c:f>Sheet2!$B$2:$K$2</c:f>
              <c:numCache>
                <c:formatCode>#,##0.0</c:formatCode>
                <c:ptCount val="10"/>
                <c:pt idx="0">
                  <c:v>16.899999999999999</c:v>
                </c:pt>
                <c:pt idx="1">
                  <c:v>17.399999999999999</c:v>
                </c:pt>
                <c:pt idx="2">
                  <c:v>18.7</c:v>
                </c:pt>
                <c:pt idx="3">
                  <c:v>18.5</c:v>
                </c:pt>
                <c:pt idx="4">
                  <c:v>18.3</c:v>
                </c:pt>
                <c:pt idx="5">
                  <c:v>18.399999999999999</c:v>
                </c:pt>
                <c:pt idx="6">
                  <c:v>18.2</c:v>
                </c:pt>
                <c:pt idx="7">
                  <c:v>18.2</c:v>
                </c:pt>
                <c:pt idx="8">
                  <c:v>17.7</c:v>
                </c:pt>
                <c:pt idx="9">
                  <c:v>18</c:v>
                </c:pt>
              </c:numCache>
            </c:numRef>
          </c:val>
          <c:extLst>
            <c:ext xmlns:c16="http://schemas.microsoft.com/office/drawing/2014/chart" uri="{C3380CC4-5D6E-409C-BE32-E72D297353CC}">
              <c16:uniqueId val="{00000000-3CCC-442D-BB5C-AD1DAEFB72A2}"/>
            </c:ext>
          </c:extLst>
        </c:ser>
        <c:ser>
          <c:idx val="1"/>
          <c:order val="1"/>
          <c:tx>
            <c:strRef>
              <c:f>Sheet2!$A$3</c:f>
              <c:strCache>
                <c:ptCount val="1"/>
                <c:pt idx="0">
                  <c:v>公路</c:v>
                </c:pt>
              </c:strCache>
            </c:strRef>
          </c:tx>
          <c:spPr>
            <a:solidFill>
              <a:srgbClr val="C84B96">
                <a:lumMod val="100000"/>
              </a:srgbClr>
            </a:solidFill>
            <a:ln>
              <a:noFill/>
              <a:round/>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solidFill>
                    <a:latin typeface="Times New Roman" panose="02020603050405020304" charset="0"/>
                    <a:ea typeface="楷体" panose="02010609060101010101" pitchFamily="3" charset="-122"/>
                    <a:cs typeface="Times New Roman" panose="02020603050405020304" charset="0"/>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Sheet2!$B$1:$K$1</c:f>
              <c:numCache>
                <c:formatCode>General</c:formatCode>
                <c:ptCount val="10"/>
                <c:pt idx="0">
                  <c:v>2009</c:v>
                </c:pt>
                <c:pt idx="1">
                  <c:v>2010</c:v>
                </c:pt>
                <c:pt idx="2">
                  <c:v>2011</c:v>
                </c:pt>
                <c:pt idx="3">
                  <c:v>2012</c:v>
                </c:pt>
                <c:pt idx="4">
                  <c:v>2013</c:v>
                </c:pt>
                <c:pt idx="5">
                  <c:v>2014</c:v>
                </c:pt>
                <c:pt idx="6">
                  <c:v>2015</c:v>
                </c:pt>
                <c:pt idx="7">
                  <c:v>2016</c:v>
                </c:pt>
                <c:pt idx="8">
                  <c:v>2017</c:v>
                </c:pt>
                <c:pt idx="9">
                  <c:v>2018</c:v>
                </c:pt>
              </c:numCache>
            </c:numRef>
          </c:cat>
          <c:val>
            <c:numRef>
              <c:f>Sheet2!$B$3:$K$3</c:f>
              <c:numCache>
                <c:formatCode>#,##0.0</c:formatCode>
                <c:ptCount val="10"/>
                <c:pt idx="0">
                  <c:v>77</c:v>
                </c:pt>
                <c:pt idx="1">
                  <c:v>75.7</c:v>
                </c:pt>
                <c:pt idx="2">
                  <c:v>75</c:v>
                </c:pt>
                <c:pt idx="3">
                  <c:v>74.599999999999994</c:v>
                </c:pt>
                <c:pt idx="4">
                  <c:v>74.8</c:v>
                </c:pt>
                <c:pt idx="5">
                  <c:v>74.8</c:v>
                </c:pt>
                <c:pt idx="6">
                  <c:v>75.3</c:v>
                </c:pt>
                <c:pt idx="7">
                  <c:v>75.599999999999994</c:v>
                </c:pt>
                <c:pt idx="8">
                  <c:v>76.3</c:v>
                </c:pt>
                <c:pt idx="9">
                  <c:v>76.5</c:v>
                </c:pt>
              </c:numCache>
            </c:numRef>
          </c:val>
          <c:extLst>
            <c:ext xmlns:c16="http://schemas.microsoft.com/office/drawing/2014/chart" uri="{C3380CC4-5D6E-409C-BE32-E72D297353CC}">
              <c16:uniqueId val="{00000001-3CCC-442D-BB5C-AD1DAEFB72A2}"/>
            </c:ext>
          </c:extLst>
        </c:ser>
        <c:ser>
          <c:idx val="2"/>
          <c:order val="2"/>
          <c:tx>
            <c:strRef>
              <c:f>Sheet2!$A$4</c:f>
              <c:strCache>
                <c:ptCount val="1"/>
                <c:pt idx="0">
                  <c:v>内陆水道</c:v>
                </c:pt>
              </c:strCache>
            </c:strRef>
          </c:tx>
          <c:spPr>
            <a:solidFill>
              <a:srgbClr val="286EB4">
                <a:lumMod val="100000"/>
              </a:srgbClr>
            </a:solidFill>
            <a:ln>
              <a:noFill/>
              <a:round/>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solidFill>
                    <a:latin typeface="Times New Roman" panose="02020603050405020304" charset="0"/>
                    <a:ea typeface="楷体" panose="02010609060101010101" pitchFamily="3" charset="-122"/>
                    <a:cs typeface="Times New Roman" panose="02020603050405020304" charset="0"/>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Sheet2!$B$1:$K$1</c:f>
              <c:numCache>
                <c:formatCode>General</c:formatCode>
                <c:ptCount val="10"/>
                <c:pt idx="0">
                  <c:v>2009</c:v>
                </c:pt>
                <c:pt idx="1">
                  <c:v>2010</c:v>
                </c:pt>
                <c:pt idx="2">
                  <c:v>2011</c:v>
                </c:pt>
                <c:pt idx="3">
                  <c:v>2012</c:v>
                </c:pt>
                <c:pt idx="4">
                  <c:v>2013</c:v>
                </c:pt>
                <c:pt idx="5">
                  <c:v>2014</c:v>
                </c:pt>
                <c:pt idx="6">
                  <c:v>2015</c:v>
                </c:pt>
                <c:pt idx="7">
                  <c:v>2016</c:v>
                </c:pt>
                <c:pt idx="8">
                  <c:v>2017</c:v>
                </c:pt>
                <c:pt idx="9">
                  <c:v>2018</c:v>
                </c:pt>
              </c:numCache>
            </c:numRef>
          </c:cat>
          <c:val>
            <c:numRef>
              <c:f>Sheet2!$B$4:$K$4</c:f>
              <c:numCache>
                <c:formatCode>#,##0.0</c:formatCode>
                <c:ptCount val="10"/>
                <c:pt idx="0">
                  <c:v>6.2</c:v>
                </c:pt>
                <c:pt idx="1">
                  <c:v>6.9</c:v>
                </c:pt>
                <c:pt idx="2">
                  <c:v>6.3</c:v>
                </c:pt>
                <c:pt idx="3">
                  <c:v>6.8</c:v>
                </c:pt>
                <c:pt idx="4">
                  <c:v>6.9</c:v>
                </c:pt>
                <c:pt idx="5">
                  <c:v>6.8</c:v>
                </c:pt>
                <c:pt idx="6">
                  <c:v>6.5</c:v>
                </c:pt>
                <c:pt idx="7">
                  <c:v>6.2</c:v>
                </c:pt>
                <c:pt idx="8">
                  <c:v>6</c:v>
                </c:pt>
                <c:pt idx="9">
                  <c:v>5.5</c:v>
                </c:pt>
              </c:numCache>
            </c:numRef>
          </c:val>
          <c:extLst>
            <c:ext xmlns:c16="http://schemas.microsoft.com/office/drawing/2014/chart" uri="{C3380CC4-5D6E-409C-BE32-E72D297353CC}">
              <c16:uniqueId val="{00000002-3CCC-442D-BB5C-AD1DAEFB72A2}"/>
            </c:ext>
          </c:extLst>
        </c:ser>
        <c:dLbls>
          <c:showLegendKey val="0"/>
          <c:showVal val="1"/>
          <c:showCatName val="0"/>
          <c:showSerName val="0"/>
          <c:showPercent val="0"/>
          <c:showBubbleSize val="0"/>
        </c:dLbls>
        <c:gapWidth val="150"/>
        <c:overlap val="100"/>
        <c:axId val="432014040"/>
        <c:axId val="432014432"/>
      </c:barChart>
      <c:catAx>
        <c:axId val="432014040"/>
        <c:scaling>
          <c:orientation val="minMax"/>
        </c:scaling>
        <c:delete val="0"/>
        <c:axPos val="b"/>
        <c:numFmt formatCode="General" sourceLinked="0"/>
        <c:majorTickMark val="none"/>
        <c:minorTickMark val="out"/>
        <c:tickLblPos val="nextTo"/>
        <c:spPr>
          <a:ln w="9525" cap="flat" cmpd="sng" algn="ctr">
            <a:solidFill>
              <a:srgbClr val="000000"/>
            </a:solidFill>
            <a:prstDash val="solid"/>
            <a:round/>
          </a:ln>
        </c:spPr>
        <c:txPr>
          <a:bodyPr rot="-5400000" spcFirstLastPara="0" vertOverflow="ellipsis" vert="horz" wrap="square" anchor="ctr" anchorCtr="1"/>
          <a:lstStyle/>
          <a:p>
            <a:pPr>
              <a:defRPr lang="zh-CN" sz="1000" b="0" i="0" u="none" strike="noStrike" kern="1200" baseline="0">
                <a:solidFill>
                  <a:srgbClr val="000000"/>
                </a:solidFill>
                <a:latin typeface="Times New Roman" panose="02020603050405020304" charset="0"/>
                <a:ea typeface="楷体" panose="02010609060101010101" pitchFamily="3" charset="-122"/>
                <a:cs typeface="Times New Roman" panose="02020603050405020304" charset="0"/>
              </a:defRPr>
            </a:pPr>
            <a:endParaRPr lang="zh-CN"/>
          </a:p>
        </c:txPr>
        <c:crossAx val="432014432"/>
        <c:crosses val="autoZero"/>
        <c:auto val="1"/>
        <c:lblAlgn val="ctr"/>
        <c:lblOffset val="100"/>
        <c:noMultiLvlLbl val="0"/>
      </c:catAx>
      <c:valAx>
        <c:axId val="432014432"/>
        <c:scaling>
          <c:orientation val="minMax"/>
          <c:max val="100"/>
        </c:scaling>
        <c:delete val="0"/>
        <c:axPos val="l"/>
        <c:majorGridlines>
          <c:spPr>
            <a:ln w="3175" cap="flat" cmpd="sng" algn="ctr">
              <a:solidFill>
                <a:srgbClr val="C0C0C0"/>
              </a:solidFill>
              <a:prstDash val="sysDash"/>
              <a:round/>
            </a:ln>
          </c:spPr>
        </c:majorGridlines>
        <c:numFmt formatCode="#,##0" sourceLinked="0"/>
        <c:majorTickMark val="out"/>
        <c:minorTickMark val="none"/>
        <c:tickLblPos val="nextTo"/>
        <c:spPr>
          <a:noFill/>
          <a:ln w="9525" cap="flat" cmpd="sng" algn="ctr">
            <a:noFill/>
            <a:prstDash val="solid"/>
            <a:round/>
          </a:ln>
          <a:effectLst/>
        </c:spPr>
        <c:txPr>
          <a:bodyPr rot="-60000000" spcFirstLastPara="0" vertOverflow="ellipsis" vert="horz" wrap="square" anchor="ctr" anchorCtr="1"/>
          <a:lstStyle/>
          <a:p>
            <a:pPr>
              <a:defRPr lang="zh-CN" sz="1000" b="0" i="0" u="none" strike="noStrike" kern="1200" baseline="0">
                <a:solidFill>
                  <a:srgbClr val="000000"/>
                </a:solidFill>
                <a:latin typeface="Times New Roman" panose="02020603050405020304" charset="0"/>
                <a:ea typeface="楷体" panose="02010609060101010101" pitchFamily="3" charset="-122"/>
                <a:cs typeface="Times New Roman" panose="02020603050405020304" charset="0"/>
              </a:defRPr>
            </a:pPr>
            <a:endParaRPr lang="zh-CN"/>
          </a:p>
        </c:txPr>
        <c:crossAx val="432014040"/>
        <c:crosses val="autoZero"/>
        <c:crossBetween val="between"/>
        <c:majorUnit val="20"/>
      </c:valAx>
    </c:plotArea>
    <c:legend>
      <c:legendPos val="b"/>
      <c:layout>
        <c:manualLayout>
          <c:xMode val="edge"/>
          <c:yMode val="edge"/>
          <c:x val="0.32477755905511813"/>
          <c:y val="0.90545895304753576"/>
          <c:w val="0.35044488188976403"/>
          <c:h val="5.1125801940866203E-2"/>
        </c:manualLayout>
      </c:layout>
      <c:overlay val="0"/>
      <c:spPr>
        <a:noFill/>
        <a:ln>
          <a:noFill/>
        </a:ln>
        <a:effectLst/>
      </c:spPr>
      <c:txPr>
        <a:bodyPr rot="0" spcFirstLastPara="0" vertOverflow="ellipsis" vert="horz" wrap="square" anchor="ctr" anchorCtr="1"/>
        <a:lstStyle/>
        <a:p>
          <a:pPr>
            <a:defRPr lang="zh-CN" sz="1000" b="0" i="0" u="none" strike="noStrike" kern="1200" baseline="0">
              <a:solidFill>
                <a:srgbClr val="000000"/>
              </a:solidFill>
              <a:latin typeface="Times New Roman" panose="02020603050405020304" charset="0"/>
              <a:ea typeface="楷体" panose="02010609060101010101" pitchFamily="3" charset="-122"/>
              <a:cs typeface="Times New Roman" panose="02020603050405020304" charset="0"/>
            </a:defRPr>
          </a:pPr>
          <a:endParaRPr lang="zh-CN"/>
        </a:p>
      </c:txPr>
    </c:legend>
    <c:plotVisOnly val="1"/>
    <c:dispBlanksAs val="gap"/>
    <c:showDLblsOverMax val="0"/>
  </c:chart>
  <c:spPr>
    <a:solidFill>
      <a:sysClr val="window" lastClr="FFFFFF"/>
    </a:solidFill>
    <a:ln w="6350" cap="flat" cmpd="sng" algn="ctr">
      <a:solidFill>
        <a:sysClr val="window" lastClr="FFFFFF">
          <a:lumMod val="65000"/>
        </a:sysClr>
      </a:solidFill>
      <a:prstDash val="solid"/>
      <a:round/>
    </a:ln>
    <a:effectLst/>
  </c:spPr>
  <c:txPr>
    <a:bodyPr/>
    <a:lstStyle/>
    <a:p>
      <a:pPr>
        <a:defRPr lang="zh-CN" sz="1000">
          <a:solidFill>
            <a:srgbClr val="000000"/>
          </a:solidFill>
          <a:latin typeface="Times New Roman" panose="02020603050405020304" charset="0"/>
          <a:ea typeface="楷体" panose="02010609060101010101" pitchFamily="3" charset="-122"/>
          <a:cs typeface="Times New Roman" panose="02020603050405020304" charset="0"/>
        </a:defRPr>
      </a:pPr>
      <a:endParaRPr lang="zh-CN"/>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1"/>
          <c:order val="1"/>
          <c:tx>
            <c:strRef>
              <c:f>画图!$I$117</c:f>
              <c:strCache>
                <c:ptCount val="1"/>
                <c:pt idx="0">
                  <c:v>铁路货运量</c:v>
                </c:pt>
              </c:strCache>
            </c:strRef>
          </c:tx>
          <c:spPr>
            <a:solidFill>
              <a:schemeClr val="accent2"/>
            </a:solidFill>
            <a:ln>
              <a:noFill/>
            </a:ln>
            <a:effectLst/>
          </c:spPr>
          <c:cat>
            <c:numRef>
              <c:f>画图!$G$118:$G$133</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画图!$I$118:$I$133</c:f>
              <c:numCache>
                <c:formatCode>General</c:formatCode>
                <c:ptCount val="16"/>
                <c:pt idx="0">
                  <c:v>26.929600000000001</c:v>
                </c:pt>
                <c:pt idx="1">
                  <c:v>28.822399999999998</c:v>
                </c:pt>
                <c:pt idx="2">
                  <c:v>31.4237</c:v>
                </c:pt>
                <c:pt idx="3">
                  <c:v>32.590000000000003</c:v>
                </c:pt>
                <c:pt idx="4">
                  <c:v>33.200000000000003</c:v>
                </c:pt>
                <c:pt idx="5">
                  <c:v>36.29</c:v>
                </c:pt>
                <c:pt idx="6">
                  <c:v>39.19</c:v>
                </c:pt>
                <c:pt idx="7">
                  <c:v>38.92</c:v>
                </c:pt>
                <c:pt idx="8">
                  <c:v>39.67</c:v>
                </c:pt>
                <c:pt idx="9">
                  <c:v>38.130000000000003</c:v>
                </c:pt>
                <c:pt idx="10">
                  <c:v>33.58</c:v>
                </c:pt>
                <c:pt idx="11">
                  <c:v>33.32</c:v>
                </c:pt>
                <c:pt idx="12">
                  <c:v>36.89</c:v>
                </c:pt>
                <c:pt idx="13">
                  <c:v>40.26</c:v>
                </c:pt>
                <c:pt idx="14">
                  <c:v>43.89</c:v>
                </c:pt>
                <c:pt idx="15">
                  <c:v>45.523600000000002</c:v>
                </c:pt>
              </c:numCache>
            </c:numRef>
          </c:val>
          <c:extLst>
            <c:ext xmlns:c16="http://schemas.microsoft.com/office/drawing/2014/chart" uri="{C3380CC4-5D6E-409C-BE32-E72D297353CC}">
              <c16:uniqueId val="{00000000-DCAC-4AEC-9996-A91D1CAC3D9B}"/>
            </c:ext>
          </c:extLst>
        </c:ser>
        <c:ser>
          <c:idx val="2"/>
          <c:order val="2"/>
          <c:tx>
            <c:strRef>
              <c:f>画图!$J$117</c:f>
              <c:strCache>
                <c:ptCount val="1"/>
                <c:pt idx="0">
                  <c:v>公路货运量</c:v>
                </c:pt>
              </c:strCache>
            </c:strRef>
          </c:tx>
          <c:spPr>
            <a:solidFill>
              <a:schemeClr val="accent5"/>
            </a:solidFill>
            <a:ln>
              <a:noFill/>
            </a:ln>
            <a:effectLst/>
          </c:spPr>
          <c:cat>
            <c:numRef>
              <c:f>画图!$G$118:$G$133</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画图!$J$118:$J$133</c:f>
              <c:numCache>
                <c:formatCode>General</c:formatCode>
                <c:ptCount val="16"/>
                <c:pt idx="0">
                  <c:v>116.18</c:v>
                </c:pt>
                <c:pt idx="1">
                  <c:v>146.63</c:v>
                </c:pt>
                <c:pt idx="2">
                  <c:v>163.94</c:v>
                </c:pt>
                <c:pt idx="3">
                  <c:v>191.68</c:v>
                </c:pt>
                <c:pt idx="4">
                  <c:v>212.78</c:v>
                </c:pt>
                <c:pt idx="5">
                  <c:v>244.81</c:v>
                </c:pt>
                <c:pt idx="6">
                  <c:v>282.01</c:v>
                </c:pt>
                <c:pt idx="7">
                  <c:v>318.85000000000002</c:v>
                </c:pt>
                <c:pt idx="8">
                  <c:v>307.66000000000003</c:v>
                </c:pt>
                <c:pt idx="9">
                  <c:v>333.28</c:v>
                </c:pt>
                <c:pt idx="10">
                  <c:v>315</c:v>
                </c:pt>
                <c:pt idx="11">
                  <c:v>334.13</c:v>
                </c:pt>
                <c:pt idx="12">
                  <c:v>368.69</c:v>
                </c:pt>
                <c:pt idx="13">
                  <c:v>395.69</c:v>
                </c:pt>
                <c:pt idx="14">
                  <c:v>414.55</c:v>
                </c:pt>
                <c:pt idx="15">
                  <c:v>424.64</c:v>
                </c:pt>
              </c:numCache>
            </c:numRef>
          </c:val>
          <c:extLst>
            <c:ext xmlns:c16="http://schemas.microsoft.com/office/drawing/2014/chart" uri="{C3380CC4-5D6E-409C-BE32-E72D297353CC}">
              <c16:uniqueId val="{00000001-DCAC-4AEC-9996-A91D1CAC3D9B}"/>
            </c:ext>
          </c:extLst>
        </c:ser>
        <c:ser>
          <c:idx val="3"/>
          <c:order val="3"/>
          <c:tx>
            <c:strRef>
              <c:f>画图!$K$117</c:f>
              <c:strCache>
                <c:ptCount val="1"/>
                <c:pt idx="0">
                  <c:v>水路货运量</c:v>
                </c:pt>
              </c:strCache>
            </c:strRef>
          </c:tx>
          <c:spPr>
            <a:solidFill>
              <a:schemeClr val="accent4"/>
            </a:solidFill>
            <a:ln>
              <a:noFill/>
            </a:ln>
            <a:effectLst/>
          </c:spPr>
          <c:cat>
            <c:numRef>
              <c:f>画图!$G$118:$G$133</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画图!$K$118:$K$133</c:f>
              <c:numCache>
                <c:formatCode>General</c:formatCode>
                <c:ptCount val="16"/>
                <c:pt idx="0">
                  <c:v>17.11</c:v>
                </c:pt>
                <c:pt idx="1">
                  <c:v>19.43</c:v>
                </c:pt>
                <c:pt idx="2">
                  <c:v>22.23</c:v>
                </c:pt>
                <c:pt idx="3">
                  <c:v>23.834929406841518</c:v>
                </c:pt>
                <c:pt idx="4">
                  <c:v>27.962464703420761</c:v>
                </c:pt>
                <c:pt idx="5">
                  <c:v>32.090000000000003</c:v>
                </c:pt>
                <c:pt idx="6">
                  <c:v>36.25</c:v>
                </c:pt>
                <c:pt idx="7">
                  <c:v>39.29</c:v>
                </c:pt>
                <c:pt idx="8">
                  <c:v>48.86</c:v>
                </c:pt>
                <c:pt idx="9">
                  <c:v>52.35</c:v>
                </c:pt>
                <c:pt idx="10">
                  <c:v>53.89</c:v>
                </c:pt>
                <c:pt idx="11">
                  <c:v>55.849999999999994</c:v>
                </c:pt>
                <c:pt idx="12">
                  <c:v>59.179999999999993</c:v>
                </c:pt>
                <c:pt idx="13">
                  <c:v>62.57</c:v>
                </c:pt>
                <c:pt idx="14">
                  <c:v>66.400000000000006</c:v>
                </c:pt>
                <c:pt idx="15">
                  <c:v>76.2</c:v>
                </c:pt>
              </c:numCache>
            </c:numRef>
          </c:val>
          <c:extLst>
            <c:ext xmlns:c16="http://schemas.microsoft.com/office/drawing/2014/chart" uri="{C3380CC4-5D6E-409C-BE32-E72D297353CC}">
              <c16:uniqueId val="{00000002-DCAC-4AEC-9996-A91D1CAC3D9B}"/>
            </c:ext>
          </c:extLst>
        </c:ser>
        <c:ser>
          <c:idx val="4"/>
          <c:order val="4"/>
          <c:tx>
            <c:strRef>
              <c:f>画图!$L$117</c:f>
              <c:strCache>
                <c:ptCount val="1"/>
                <c:pt idx="0">
                  <c:v>民航货运量</c:v>
                </c:pt>
              </c:strCache>
            </c:strRef>
          </c:tx>
          <c:spPr>
            <a:solidFill>
              <a:schemeClr val="accent6"/>
            </a:solidFill>
            <a:ln>
              <a:noFill/>
            </a:ln>
            <a:effectLst/>
          </c:spPr>
          <c:cat>
            <c:numRef>
              <c:f>画图!$G$118:$G$133</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画图!$L$118:$L$133</c:f>
              <c:numCache>
                <c:formatCode>General</c:formatCode>
                <c:ptCount val="16"/>
                <c:pt idx="0">
                  <c:v>3.0669999999999999E-2</c:v>
                </c:pt>
                <c:pt idx="1">
                  <c:v>3.4939999999999999E-2</c:v>
                </c:pt>
                <c:pt idx="2">
                  <c:v>4.018E-2</c:v>
                </c:pt>
                <c:pt idx="3">
                  <c:v>4.0760000000000005E-2</c:v>
                </c:pt>
                <c:pt idx="4">
                  <c:v>4.4549999999999999E-2</c:v>
                </c:pt>
                <c:pt idx="5">
                  <c:v>5.6300000000000003E-2</c:v>
                </c:pt>
                <c:pt idx="6">
                  <c:v>5.5750000000000001E-2</c:v>
                </c:pt>
                <c:pt idx="7">
                  <c:v>5.45E-2</c:v>
                </c:pt>
                <c:pt idx="8">
                  <c:v>5.6129999999999992E-2</c:v>
                </c:pt>
                <c:pt idx="9">
                  <c:v>5.9410000000000004E-2</c:v>
                </c:pt>
                <c:pt idx="10">
                  <c:v>6.293E-2</c:v>
                </c:pt>
                <c:pt idx="11">
                  <c:v>6.6799999999999998E-2</c:v>
                </c:pt>
                <c:pt idx="12">
                  <c:v>7.059E-2</c:v>
                </c:pt>
                <c:pt idx="13">
                  <c:v>7.3849999999999999E-2</c:v>
                </c:pt>
                <c:pt idx="14">
                  <c:v>7.5310000000000002E-2</c:v>
                </c:pt>
                <c:pt idx="15">
                  <c:v>6.7699999999999996E-2</c:v>
                </c:pt>
              </c:numCache>
            </c:numRef>
          </c:val>
          <c:extLst>
            <c:ext xmlns:c16="http://schemas.microsoft.com/office/drawing/2014/chart" uri="{C3380CC4-5D6E-409C-BE32-E72D297353CC}">
              <c16:uniqueId val="{00000003-DCAC-4AEC-9996-A91D1CAC3D9B}"/>
            </c:ext>
          </c:extLst>
        </c:ser>
        <c:dLbls>
          <c:showLegendKey val="0"/>
          <c:showVal val="0"/>
          <c:showCatName val="0"/>
          <c:showSerName val="0"/>
          <c:showPercent val="0"/>
          <c:showBubbleSize val="0"/>
        </c:dLbls>
        <c:axId val="1351165823"/>
        <c:axId val="1585207727"/>
      </c:areaChart>
      <c:lineChart>
        <c:grouping val="standard"/>
        <c:varyColors val="0"/>
        <c:ser>
          <c:idx val="0"/>
          <c:order val="0"/>
          <c:tx>
            <c:strRef>
              <c:f>画图!$H$117</c:f>
              <c:strCache>
                <c:ptCount val="1"/>
                <c:pt idx="0">
                  <c:v>GDP</c:v>
                </c:pt>
              </c:strCache>
            </c:strRef>
          </c:tx>
          <c:spPr>
            <a:ln w="28575" cap="rnd">
              <a:solidFill>
                <a:schemeClr val="accent1"/>
              </a:solidFill>
              <a:round/>
            </a:ln>
            <a:effectLst/>
          </c:spPr>
          <c:marker>
            <c:symbol val="none"/>
          </c:marker>
          <c:cat>
            <c:numRef>
              <c:f>画图!$G$118:$G$133</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画图!$H$118:$H$133</c:f>
              <c:numCache>
                <c:formatCode>General</c:formatCode>
                <c:ptCount val="16"/>
                <c:pt idx="0">
                  <c:v>18.599889999999998</c:v>
                </c:pt>
                <c:pt idx="1">
                  <c:v>21.902850000000001</c:v>
                </c:pt>
                <c:pt idx="2">
                  <c:v>27.070399999999999</c:v>
                </c:pt>
                <c:pt idx="3">
                  <c:v>32.122950000000003</c:v>
                </c:pt>
                <c:pt idx="4">
                  <c:v>34.793490000000006</c:v>
                </c:pt>
                <c:pt idx="5">
                  <c:v>41.035409999999999</c:v>
                </c:pt>
                <c:pt idx="6">
                  <c:v>48.339280000000002</c:v>
                </c:pt>
                <c:pt idx="7">
                  <c:v>53.732900000000001</c:v>
                </c:pt>
                <c:pt idx="8">
                  <c:v>58.814119999999996</c:v>
                </c:pt>
                <c:pt idx="9">
                  <c:v>64.438019999999995</c:v>
                </c:pt>
                <c:pt idx="10">
                  <c:v>68.557119999999998</c:v>
                </c:pt>
                <c:pt idx="11">
                  <c:v>74.269409999999993</c:v>
                </c:pt>
                <c:pt idx="12">
                  <c:v>83.09456999999999</c:v>
                </c:pt>
                <c:pt idx="13">
                  <c:v>91.524349999999998</c:v>
                </c:pt>
                <c:pt idx="14">
                  <c:v>98.375119999999995</c:v>
                </c:pt>
                <c:pt idx="15">
                  <c:v>100.87824999999999</c:v>
                </c:pt>
              </c:numCache>
            </c:numRef>
          </c:val>
          <c:smooth val="0"/>
          <c:extLst>
            <c:ext xmlns:c16="http://schemas.microsoft.com/office/drawing/2014/chart" uri="{C3380CC4-5D6E-409C-BE32-E72D297353CC}">
              <c16:uniqueId val="{00000004-DCAC-4AEC-9996-A91D1CAC3D9B}"/>
            </c:ext>
          </c:extLst>
        </c:ser>
        <c:dLbls>
          <c:showLegendKey val="0"/>
          <c:showVal val="0"/>
          <c:showCatName val="0"/>
          <c:showSerName val="0"/>
          <c:showPercent val="0"/>
          <c:showBubbleSize val="0"/>
        </c:dLbls>
        <c:marker val="1"/>
        <c:smooth val="0"/>
        <c:axId val="1350489423"/>
        <c:axId val="1585199823"/>
      </c:lineChart>
      <c:catAx>
        <c:axId val="1351165823"/>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585207727"/>
        <c:crosses val="autoZero"/>
        <c:auto val="1"/>
        <c:lblAlgn val="ctr"/>
        <c:lblOffset val="100"/>
        <c:noMultiLvlLbl val="0"/>
      </c:catAx>
      <c:valAx>
        <c:axId val="15852077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货运量（</a:t>
                </a:r>
                <a:r>
                  <a:rPr lang="zh-CN" altLang="en-US" sz="1000" b="0" i="0" u="none" strike="noStrike" kern="1200" baseline="0">
                    <a:solidFill>
                      <a:schemeClr val="tx1"/>
                    </a:solidFill>
                    <a:latin typeface="楷体" panose="02010609060101010101" pitchFamily="49" charset="-122"/>
                    <a:ea typeface="楷体" panose="02010609060101010101" pitchFamily="49" charset="-122"/>
                    <a:cs typeface="+mn-cs"/>
                  </a:rPr>
                  <a:t>亿</a:t>
                </a:r>
                <a:r>
                  <a:rPr lang="en-US" altLang="en-US" sz="1000" b="0" i="0" u="none" strike="noStrike" kern="1200" baseline="0">
                    <a:solidFill>
                      <a:schemeClr val="tx1"/>
                    </a:solidFill>
                    <a:latin typeface="楷体" panose="02010609060101010101" pitchFamily="49" charset="-122"/>
                    <a:ea typeface="楷体" panose="02010609060101010101" pitchFamily="49" charset="-122"/>
                    <a:cs typeface="+mn-cs"/>
                  </a:rPr>
                  <a:t>t</a:t>
                </a:r>
                <a:r>
                  <a:rPr lang="zh-CN" altLang="en-US">
                    <a:solidFill>
                      <a:schemeClr val="tx1"/>
                    </a:solidFill>
                    <a:latin typeface="楷体" panose="02010609060101010101" pitchFamily="49" charset="-122"/>
                    <a:ea typeface="楷体" panose="02010609060101010101" pitchFamily="49" charset="-122"/>
                  </a:rPr>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351165823"/>
        <c:crosses val="autoZero"/>
        <c:crossBetween val="between"/>
      </c:valAx>
      <c:valAx>
        <c:axId val="1585199823"/>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solidFill>
                      <a:schemeClr val="tx1"/>
                    </a:solidFill>
                    <a:latin typeface="楷体" panose="02010609060101010101" pitchFamily="49" charset="-122"/>
                    <a:ea typeface="楷体" panose="02010609060101010101" pitchFamily="49" charset="-122"/>
                  </a:rPr>
                  <a:t>GDP</a:t>
                </a:r>
                <a:r>
                  <a:rPr lang="zh-CN" altLang="en-US">
                    <a:solidFill>
                      <a:schemeClr val="tx1"/>
                    </a:solidFill>
                    <a:latin typeface="楷体" panose="02010609060101010101" pitchFamily="49" charset="-122"/>
                    <a:ea typeface="楷体" panose="02010609060101010101" pitchFamily="49" charset="-122"/>
                  </a:rPr>
                  <a:t>（万亿元）</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350489423"/>
        <c:crosses val="max"/>
        <c:crossBetween val="between"/>
      </c:valAx>
      <c:catAx>
        <c:axId val="1350489423"/>
        <c:scaling>
          <c:orientation val="minMax"/>
        </c:scaling>
        <c:delete val="1"/>
        <c:axPos val="b"/>
        <c:numFmt formatCode="General" sourceLinked="1"/>
        <c:majorTickMark val="out"/>
        <c:minorTickMark val="none"/>
        <c:tickLblPos val="nextTo"/>
        <c:crossAx val="158519982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楷体" panose="02010609060101010101" pitchFamily="49" charset="-122"/>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1"/>
          <c:order val="1"/>
          <c:tx>
            <c:strRef>
              <c:f>画图!$I$139</c:f>
              <c:strCache>
                <c:ptCount val="1"/>
                <c:pt idx="0">
                  <c:v>铁路客运量</c:v>
                </c:pt>
              </c:strCache>
            </c:strRef>
          </c:tx>
          <c:spPr>
            <a:solidFill>
              <a:schemeClr val="accent2"/>
            </a:solidFill>
            <a:ln w="25400">
              <a:noFill/>
            </a:ln>
            <a:effectLst/>
          </c:spPr>
          <c:cat>
            <c:numRef>
              <c:f>画图!$G$140:$G$155</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画图!$I$140:$I$155</c:f>
              <c:numCache>
                <c:formatCode>0.00</c:formatCode>
                <c:ptCount val="16"/>
                <c:pt idx="0">
                  <c:v>11.558299999999999</c:v>
                </c:pt>
                <c:pt idx="1">
                  <c:v>12.565580000000001</c:v>
                </c:pt>
                <c:pt idx="2">
                  <c:v>13.567</c:v>
                </c:pt>
                <c:pt idx="3">
                  <c:v>14.62</c:v>
                </c:pt>
                <c:pt idx="4">
                  <c:v>15.25</c:v>
                </c:pt>
                <c:pt idx="5">
                  <c:v>16.760000000000002</c:v>
                </c:pt>
                <c:pt idx="6">
                  <c:v>18.62</c:v>
                </c:pt>
                <c:pt idx="7">
                  <c:v>18.93</c:v>
                </c:pt>
                <c:pt idx="8">
                  <c:v>21.06</c:v>
                </c:pt>
                <c:pt idx="9">
                  <c:v>23.57</c:v>
                </c:pt>
                <c:pt idx="10">
                  <c:v>25.35</c:v>
                </c:pt>
                <c:pt idx="11">
                  <c:v>28.14</c:v>
                </c:pt>
                <c:pt idx="12">
                  <c:v>30.84</c:v>
                </c:pt>
                <c:pt idx="13">
                  <c:v>33.75</c:v>
                </c:pt>
                <c:pt idx="14">
                  <c:v>36.6</c:v>
                </c:pt>
                <c:pt idx="15">
                  <c:v>22</c:v>
                </c:pt>
              </c:numCache>
            </c:numRef>
          </c:val>
          <c:extLst>
            <c:ext xmlns:c16="http://schemas.microsoft.com/office/drawing/2014/chart" uri="{C3380CC4-5D6E-409C-BE32-E72D297353CC}">
              <c16:uniqueId val="{00000000-599C-4CA6-92DA-4611C5E89CB7}"/>
            </c:ext>
          </c:extLst>
        </c:ser>
        <c:ser>
          <c:idx val="2"/>
          <c:order val="2"/>
          <c:tx>
            <c:strRef>
              <c:f>画图!$J$139</c:f>
              <c:strCache>
                <c:ptCount val="1"/>
                <c:pt idx="0">
                  <c:v>公路客运量</c:v>
                </c:pt>
              </c:strCache>
            </c:strRef>
          </c:tx>
          <c:spPr>
            <a:solidFill>
              <a:schemeClr val="accent5"/>
            </a:solidFill>
            <a:ln w="25400">
              <a:noFill/>
            </a:ln>
            <a:effectLst/>
          </c:spPr>
          <c:cat>
            <c:numRef>
              <c:f>画图!$G$140:$G$155</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画图!$J$140:$J$155</c:f>
              <c:numCache>
                <c:formatCode>0</c:formatCode>
                <c:ptCount val="16"/>
                <c:pt idx="0">
                  <c:v>69.739999999999995</c:v>
                </c:pt>
                <c:pt idx="1">
                  <c:v>86.05</c:v>
                </c:pt>
                <c:pt idx="2">
                  <c:v>105.07</c:v>
                </c:pt>
                <c:pt idx="3">
                  <c:v>118.21</c:v>
                </c:pt>
                <c:pt idx="4">
                  <c:v>117.91</c:v>
                </c:pt>
                <c:pt idx="5">
                  <c:v>125.27</c:v>
                </c:pt>
                <c:pt idx="6">
                  <c:v>128.62</c:v>
                </c:pt>
                <c:pt idx="7">
                  <c:v>125.7</c:v>
                </c:pt>
                <c:pt idx="8">
                  <c:v>135.35</c:v>
                </c:pt>
                <c:pt idx="9">
                  <c:v>140.82</c:v>
                </c:pt>
                <c:pt idx="10">
                  <c:v>151.91</c:v>
                </c:pt>
                <c:pt idx="11">
                  <c:v>154.28</c:v>
                </c:pt>
                <c:pt idx="12">
                  <c:v>154.28</c:v>
                </c:pt>
                <c:pt idx="13">
                  <c:v>154.28</c:v>
                </c:pt>
                <c:pt idx="14">
                  <c:v>154.28</c:v>
                </c:pt>
                <c:pt idx="15">
                  <c:v>154.28</c:v>
                </c:pt>
              </c:numCache>
            </c:numRef>
          </c:val>
          <c:extLst>
            <c:ext xmlns:c16="http://schemas.microsoft.com/office/drawing/2014/chart" uri="{C3380CC4-5D6E-409C-BE32-E72D297353CC}">
              <c16:uniqueId val="{00000001-599C-4CA6-92DA-4611C5E89CB7}"/>
            </c:ext>
          </c:extLst>
        </c:ser>
        <c:ser>
          <c:idx val="3"/>
          <c:order val="3"/>
          <c:tx>
            <c:strRef>
              <c:f>画图!$K$139</c:f>
              <c:strCache>
                <c:ptCount val="1"/>
                <c:pt idx="0">
                  <c:v>水路客运量</c:v>
                </c:pt>
              </c:strCache>
            </c:strRef>
          </c:tx>
          <c:spPr>
            <a:solidFill>
              <a:schemeClr val="accent4"/>
            </a:solidFill>
            <a:ln w="25400">
              <a:noFill/>
            </a:ln>
            <a:effectLst/>
          </c:spPr>
          <c:cat>
            <c:numRef>
              <c:f>画图!$G$140:$G$155</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画图!$K$140:$K$155</c:f>
              <c:numCache>
                <c:formatCode>0.00</c:formatCode>
                <c:ptCount val="16"/>
                <c:pt idx="0">
                  <c:v>2.0226999999999999</c:v>
                </c:pt>
                <c:pt idx="1">
                  <c:v>2.2046999999999999</c:v>
                </c:pt>
                <c:pt idx="2">
                  <c:v>2.2835000000000001</c:v>
                </c:pt>
                <c:pt idx="3">
                  <c:v>2.0333999999999999</c:v>
                </c:pt>
                <c:pt idx="4">
                  <c:v>2.2313999999999998</c:v>
                </c:pt>
                <c:pt idx="5">
                  <c:v>2.2391999999999999</c:v>
                </c:pt>
                <c:pt idx="6">
                  <c:v>2.4556</c:v>
                </c:pt>
                <c:pt idx="7">
                  <c:v>2.5752000000000002</c:v>
                </c:pt>
                <c:pt idx="8">
                  <c:v>2.3534999999999999</c:v>
                </c:pt>
                <c:pt idx="9">
                  <c:v>2.6293000000000002</c:v>
                </c:pt>
                <c:pt idx="10">
                  <c:v>2.7071999999999998</c:v>
                </c:pt>
                <c:pt idx="11">
                  <c:v>2.7233999999999998</c:v>
                </c:pt>
                <c:pt idx="12">
                  <c:v>2.83</c:v>
                </c:pt>
                <c:pt idx="13">
                  <c:v>2.7980999999999998</c:v>
                </c:pt>
                <c:pt idx="14">
                  <c:v>2.7267000000000001</c:v>
                </c:pt>
                <c:pt idx="15">
                  <c:v>1.5</c:v>
                </c:pt>
              </c:numCache>
            </c:numRef>
          </c:val>
          <c:extLst>
            <c:ext xmlns:c16="http://schemas.microsoft.com/office/drawing/2014/chart" uri="{C3380CC4-5D6E-409C-BE32-E72D297353CC}">
              <c16:uniqueId val="{00000002-599C-4CA6-92DA-4611C5E89CB7}"/>
            </c:ext>
          </c:extLst>
        </c:ser>
        <c:ser>
          <c:idx val="4"/>
          <c:order val="4"/>
          <c:tx>
            <c:strRef>
              <c:f>画图!$L$139</c:f>
              <c:strCache>
                <c:ptCount val="1"/>
                <c:pt idx="0">
                  <c:v>民航客运量</c:v>
                </c:pt>
              </c:strCache>
            </c:strRef>
          </c:tx>
          <c:spPr>
            <a:solidFill>
              <a:schemeClr val="accent6"/>
            </a:solidFill>
            <a:ln w="25400">
              <a:noFill/>
            </a:ln>
            <a:effectLst/>
          </c:spPr>
          <c:cat>
            <c:numRef>
              <c:f>画图!$G$140:$G$155</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画图!$L$140:$L$155</c:f>
              <c:numCache>
                <c:formatCode>0.00</c:formatCode>
                <c:ptCount val="16"/>
                <c:pt idx="0">
                  <c:v>1.3827</c:v>
                </c:pt>
                <c:pt idx="1">
                  <c:v>1.5968</c:v>
                </c:pt>
                <c:pt idx="2">
                  <c:v>1.8575999999999999</c:v>
                </c:pt>
                <c:pt idx="3">
                  <c:v>1.9251</c:v>
                </c:pt>
                <c:pt idx="4">
                  <c:v>2.3052000000000001</c:v>
                </c:pt>
                <c:pt idx="5">
                  <c:v>2.6768999999999998</c:v>
                </c:pt>
                <c:pt idx="6">
                  <c:v>2.9317000000000002</c:v>
                </c:pt>
                <c:pt idx="7">
                  <c:v>3.1936</c:v>
                </c:pt>
                <c:pt idx="8">
                  <c:v>3.5396999999999998</c:v>
                </c:pt>
                <c:pt idx="9">
                  <c:v>3.9195000000000002</c:v>
                </c:pt>
                <c:pt idx="10">
                  <c:v>4.3617999999999997</c:v>
                </c:pt>
                <c:pt idx="11">
                  <c:v>4.8795999999999999</c:v>
                </c:pt>
                <c:pt idx="12">
                  <c:v>5.5156000000000001</c:v>
                </c:pt>
                <c:pt idx="13">
                  <c:v>6.1173999999999999</c:v>
                </c:pt>
                <c:pt idx="14">
                  <c:v>6.5993000000000004</c:v>
                </c:pt>
                <c:pt idx="15">
                  <c:v>4.2</c:v>
                </c:pt>
              </c:numCache>
            </c:numRef>
          </c:val>
          <c:extLst>
            <c:ext xmlns:c16="http://schemas.microsoft.com/office/drawing/2014/chart" uri="{C3380CC4-5D6E-409C-BE32-E72D297353CC}">
              <c16:uniqueId val="{00000003-599C-4CA6-92DA-4611C5E89CB7}"/>
            </c:ext>
          </c:extLst>
        </c:ser>
        <c:dLbls>
          <c:showLegendKey val="0"/>
          <c:showVal val="0"/>
          <c:showCatName val="0"/>
          <c:showSerName val="0"/>
          <c:showPercent val="0"/>
          <c:showBubbleSize val="0"/>
        </c:dLbls>
        <c:axId val="1351165823"/>
        <c:axId val="1585207727"/>
      </c:areaChart>
      <c:lineChart>
        <c:grouping val="standard"/>
        <c:varyColors val="0"/>
        <c:ser>
          <c:idx val="0"/>
          <c:order val="0"/>
          <c:tx>
            <c:strRef>
              <c:f>画图!$H$139</c:f>
              <c:strCache>
                <c:ptCount val="1"/>
                <c:pt idx="0">
                  <c:v>GDP</c:v>
                </c:pt>
              </c:strCache>
            </c:strRef>
          </c:tx>
          <c:spPr>
            <a:ln w="28575" cap="rnd">
              <a:solidFill>
                <a:schemeClr val="accent1"/>
              </a:solidFill>
              <a:round/>
            </a:ln>
            <a:effectLst/>
          </c:spPr>
          <c:marker>
            <c:symbol val="none"/>
          </c:marker>
          <c:cat>
            <c:numRef>
              <c:f>画图!$G$140:$G$155</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画图!$H$140:$H$155</c:f>
              <c:numCache>
                <c:formatCode>General</c:formatCode>
                <c:ptCount val="16"/>
                <c:pt idx="0">
                  <c:v>18.599889999999998</c:v>
                </c:pt>
                <c:pt idx="1">
                  <c:v>21.902850000000001</c:v>
                </c:pt>
                <c:pt idx="2">
                  <c:v>27.070399999999999</c:v>
                </c:pt>
                <c:pt idx="3">
                  <c:v>32.122950000000003</c:v>
                </c:pt>
                <c:pt idx="4">
                  <c:v>34.793490000000006</c:v>
                </c:pt>
                <c:pt idx="5">
                  <c:v>41.035409999999999</c:v>
                </c:pt>
                <c:pt idx="6">
                  <c:v>48.339280000000002</c:v>
                </c:pt>
                <c:pt idx="7">
                  <c:v>53.732900000000001</c:v>
                </c:pt>
                <c:pt idx="8">
                  <c:v>58.814119999999996</c:v>
                </c:pt>
                <c:pt idx="9">
                  <c:v>64.438019999999995</c:v>
                </c:pt>
                <c:pt idx="10">
                  <c:v>68.557119999999998</c:v>
                </c:pt>
                <c:pt idx="11">
                  <c:v>74.269409999999993</c:v>
                </c:pt>
                <c:pt idx="12">
                  <c:v>83.09456999999999</c:v>
                </c:pt>
                <c:pt idx="13">
                  <c:v>91.524349999999998</c:v>
                </c:pt>
                <c:pt idx="14">
                  <c:v>98.375119999999995</c:v>
                </c:pt>
                <c:pt idx="15">
                  <c:v>100.87824999999999</c:v>
                </c:pt>
              </c:numCache>
            </c:numRef>
          </c:val>
          <c:smooth val="0"/>
          <c:extLst>
            <c:ext xmlns:c16="http://schemas.microsoft.com/office/drawing/2014/chart" uri="{C3380CC4-5D6E-409C-BE32-E72D297353CC}">
              <c16:uniqueId val="{00000004-599C-4CA6-92DA-4611C5E89CB7}"/>
            </c:ext>
          </c:extLst>
        </c:ser>
        <c:dLbls>
          <c:showLegendKey val="0"/>
          <c:showVal val="0"/>
          <c:showCatName val="0"/>
          <c:showSerName val="0"/>
          <c:showPercent val="0"/>
          <c:showBubbleSize val="0"/>
        </c:dLbls>
        <c:marker val="1"/>
        <c:smooth val="0"/>
        <c:axId val="1350489423"/>
        <c:axId val="1585199823"/>
      </c:lineChart>
      <c:catAx>
        <c:axId val="1351165823"/>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585207727"/>
        <c:crosses val="autoZero"/>
        <c:auto val="1"/>
        <c:lblAlgn val="ctr"/>
        <c:lblOffset val="100"/>
        <c:noMultiLvlLbl val="0"/>
      </c:catAx>
      <c:valAx>
        <c:axId val="15852077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客运量（万亿人次）</a:t>
                </a:r>
              </a:p>
            </c:rich>
          </c:tx>
          <c:layout>
            <c:manualLayout>
              <c:xMode val="edge"/>
              <c:yMode val="edge"/>
              <c:x val="1.9444444444444445E-2"/>
              <c:y val="0.27913245909890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351165823"/>
        <c:crosses val="autoZero"/>
        <c:crossBetween val="between"/>
      </c:valAx>
      <c:valAx>
        <c:axId val="1585199823"/>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solidFill>
                      <a:schemeClr val="tx1"/>
                    </a:solidFill>
                    <a:latin typeface="楷体" panose="02010609060101010101" pitchFamily="49" charset="-122"/>
                    <a:ea typeface="楷体" panose="02010609060101010101" pitchFamily="49" charset="-122"/>
                  </a:rPr>
                  <a:t>GDP</a:t>
                </a:r>
                <a:r>
                  <a:rPr lang="zh-CN" altLang="en-US">
                    <a:solidFill>
                      <a:schemeClr val="tx1"/>
                    </a:solidFill>
                    <a:latin typeface="楷体" panose="02010609060101010101" pitchFamily="49" charset="-122"/>
                    <a:ea typeface="楷体" panose="02010609060101010101" pitchFamily="49" charset="-122"/>
                  </a:rPr>
                  <a:t>（万亿元）</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350489423"/>
        <c:crosses val="max"/>
        <c:crossBetween val="between"/>
      </c:valAx>
      <c:catAx>
        <c:axId val="1350489423"/>
        <c:scaling>
          <c:orientation val="minMax"/>
        </c:scaling>
        <c:delete val="1"/>
        <c:axPos val="b"/>
        <c:numFmt formatCode="General" sourceLinked="1"/>
        <c:majorTickMark val="out"/>
        <c:minorTickMark val="none"/>
        <c:tickLblPos val="nextTo"/>
        <c:crossAx val="158519982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楷体" panose="02010609060101010101" pitchFamily="49" charset="-122"/>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1"/>
          <c:order val="1"/>
          <c:tx>
            <c:strRef>
              <c:f>画图!$I$163</c:f>
              <c:strCache>
                <c:ptCount val="1"/>
                <c:pt idx="0">
                  <c:v>铁路客运周转量</c:v>
                </c:pt>
              </c:strCache>
            </c:strRef>
          </c:tx>
          <c:spPr>
            <a:solidFill>
              <a:schemeClr val="accent4"/>
            </a:solidFill>
            <a:ln>
              <a:noFill/>
            </a:ln>
            <a:effectLst/>
          </c:spPr>
          <c:invertIfNegative val="0"/>
          <c:cat>
            <c:numRef>
              <c:f>画图!$G$164:$G$179</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画图!$I$164:$I$179</c:f>
              <c:numCache>
                <c:formatCode>General</c:formatCode>
                <c:ptCount val="16"/>
                <c:pt idx="0">
                  <c:v>6061.96</c:v>
                </c:pt>
                <c:pt idx="1">
                  <c:v>6622.12</c:v>
                </c:pt>
                <c:pt idx="2">
                  <c:v>7216.31</c:v>
                </c:pt>
                <c:pt idx="3">
                  <c:v>7778.6</c:v>
                </c:pt>
                <c:pt idx="4">
                  <c:v>7878.89</c:v>
                </c:pt>
                <c:pt idx="5">
                  <c:v>8762.18</c:v>
                </c:pt>
                <c:pt idx="6">
                  <c:v>9612.2900000000009</c:v>
                </c:pt>
                <c:pt idx="7">
                  <c:v>9812.33</c:v>
                </c:pt>
                <c:pt idx="8">
                  <c:v>10595.62</c:v>
                </c:pt>
                <c:pt idx="9">
                  <c:v>11604.75</c:v>
                </c:pt>
                <c:pt idx="10">
                  <c:v>11960.6</c:v>
                </c:pt>
                <c:pt idx="11">
                  <c:v>12579.29</c:v>
                </c:pt>
                <c:pt idx="12">
                  <c:v>13456.92</c:v>
                </c:pt>
                <c:pt idx="13">
                  <c:v>14146.58</c:v>
                </c:pt>
                <c:pt idx="14">
                  <c:v>14706.64</c:v>
                </c:pt>
                <c:pt idx="15">
                  <c:v>8266.2000000000007</c:v>
                </c:pt>
              </c:numCache>
            </c:numRef>
          </c:val>
          <c:extLst>
            <c:ext xmlns:c16="http://schemas.microsoft.com/office/drawing/2014/chart" uri="{C3380CC4-5D6E-409C-BE32-E72D297353CC}">
              <c16:uniqueId val="{00000000-B416-4131-BC21-15F422F472B5}"/>
            </c:ext>
          </c:extLst>
        </c:ser>
        <c:ser>
          <c:idx val="2"/>
          <c:order val="2"/>
          <c:tx>
            <c:strRef>
              <c:f>画图!$J$163</c:f>
              <c:strCache>
                <c:ptCount val="1"/>
                <c:pt idx="0">
                  <c:v>公路客运周转量</c:v>
                </c:pt>
              </c:strCache>
            </c:strRef>
          </c:tx>
          <c:spPr>
            <a:solidFill>
              <a:schemeClr val="accent6"/>
            </a:solidFill>
            <a:ln>
              <a:noFill/>
            </a:ln>
            <a:effectLst/>
          </c:spPr>
          <c:invertIfNegative val="0"/>
          <c:cat>
            <c:numRef>
              <c:f>画图!$G$164:$G$179</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画图!$J$164:$J$179</c:f>
              <c:numCache>
                <c:formatCode>General</c:formatCode>
                <c:ptCount val="16"/>
                <c:pt idx="0">
                  <c:v>9292.08</c:v>
                </c:pt>
                <c:pt idx="1">
                  <c:v>10130.85</c:v>
                </c:pt>
                <c:pt idx="2">
                  <c:v>11506.77</c:v>
                </c:pt>
                <c:pt idx="3">
                  <c:v>12476.11</c:v>
                </c:pt>
                <c:pt idx="4">
                  <c:v>13511.44</c:v>
                </c:pt>
                <c:pt idx="5">
                  <c:v>15020.81</c:v>
                </c:pt>
                <c:pt idx="6">
                  <c:v>16760.25</c:v>
                </c:pt>
                <c:pt idx="7">
                  <c:v>18467.55</c:v>
                </c:pt>
                <c:pt idx="8">
                  <c:v>11250.94</c:v>
                </c:pt>
                <c:pt idx="9">
                  <c:v>12084.1</c:v>
                </c:pt>
                <c:pt idx="10">
                  <c:v>10742.66</c:v>
                </c:pt>
                <c:pt idx="11">
                  <c:v>10228.709999999999</c:v>
                </c:pt>
                <c:pt idx="12">
                  <c:v>9765.18</c:v>
                </c:pt>
                <c:pt idx="13">
                  <c:v>9279.68</c:v>
                </c:pt>
                <c:pt idx="14">
                  <c:v>8857.08</c:v>
                </c:pt>
                <c:pt idx="15">
                  <c:v>4641.0097999999998</c:v>
                </c:pt>
              </c:numCache>
            </c:numRef>
          </c:val>
          <c:extLst>
            <c:ext xmlns:c16="http://schemas.microsoft.com/office/drawing/2014/chart" uri="{C3380CC4-5D6E-409C-BE32-E72D297353CC}">
              <c16:uniqueId val="{00000001-B416-4131-BC21-15F422F472B5}"/>
            </c:ext>
          </c:extLst>
        </c:ser>
        <c:ser>
          <c:idx val="3"/>
          <c:order val="3"/>
          <c:tx>
            <c:strRef>
              <c:f>画图!$K$163</c:f>
              <c:strCache>
                <c:ptCount val="1"/>
                <c:pt idx="0">
                  <c:v>水路客运周转量</c:v>
                </c:pt>
              </c:strCache>
            </c:strRef>
          </c:tx>
          <c:spPr>
            <a:solidFill>
              <a:schemeClr val="accent2">
                <a:lumMod val="60000"/>
              </a:schemeClr>
            </a:solidFill>
            <a:ln>
              <a:noFill/>
            </a:ln>
            <a:effectLst/>
          </c:spPr>
          <c:invertIfNegative val="0"/>
          <c:cat>
            <c:numRef>
              <c:f>画图!$G$164:$G$179</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画图!$K$164:$K$179</c:f>
              <c:numCache>
                <c:formatCode>General</c:formatCode>
                <c:ptCount val="16"/>
                <c:pt idx="0">
                  <c:v>67.8</c:v>
                </c:pt>
                <c:pt idx="1">
                  <c:v>73.599999999999994</c:v>
                </c:pt>
                <c:pt idx="2">
                  <c:v>77.8</c:v>
                </c:pt>
                <c:pt idx="3">
                  <c:v>59.2</c:v>
                </c:pt>
                <c:pt idx="4">
                  <c:v>69.400000000000006</c:v>
                </c:pt>
                <c:pt idx="5">
                  <c:v>72.3</c:v>
                </c:pt>
                <c:pt idx="6">
                  <c:v>74.5</c:v>
                </c:pt>
                <c:pt idx="7">
                  <c:v>77.5</c:v>
                </c:pt>
                <c:pt idx="8">
                  <c:v>68.3</c:v>
                </c:pt>
                <c:pt idx="9">
                  <c:v>74.3</c:v>
                </c:pt>
                <c:pt idx="10">
                  <c:v>73.099999999999994</c:v>
                </c:pt>
                <c:pt idx="11">
                  <c:v>72.3</c:v>
                </c:pt>
                <c:pt idx="12">
                  <c:v>77.7</c:v>
                </c:pt>
                <c:pt idx="13">
                  <c:v>79.599999999999994</c:v>
                </c:pt>
                <c:pt idx="14">
                  <c:v>80.2</c:v>
                </c:pt>
                <c:pt idx="15">
                  <c:v>33</c:v>
                </c:pt>
              </c:numCache>
            </c:numRef>
          </c:val>
          <c:extLst>
            <c:ext xmlns:c16="http://schemas.microsoft.com/office/drawing/2014/chart" uri="{C3380CC4-5D6E-409C-BE32-E72D297353CC}">
              <c16:uniqueId val="{00000002-B416-4131-BC21-15F422F472B5}"/>
            </c:ext>
          </c:extLst>
        </c:ser>
        <c:ser>
          <c:idx val="4"/>
          <c:order val="4"/>
          <c:tx>
            <c:strRef>
              <c:f>画图!$L$163</c:f>
              <c:strCache>
                <c:ptCount val="1"/>
                <c:pt idx="0">
                  <c:v>民航客运周转量</c:v>
                </c:pt>
              </c:strCache>
            </c:strRef>
          </c:tx>
          <c:spPr>
            <a:solidFill>
              <a:schemeClr val="accent4">
                <a:lumMod val="60000"/>
              </a:schemeClr>
            </a:solidFill>
            <a:ln>
              <a:noFill/>
            </a:ln>
            <a:effectLst/>
          </c:spPr>
          <c:invertIfNegative val="0"/>
          <c:cat>
            <c:numRef>
              <c:f>画图!$G$164:$G$179</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画图!$L$164:$L$179</c:f>
              <c:numCache>
                <c:formatCode>General</c:formatCode>
                <c:ptCount val="16"/>
                <c:pt idx="0">
                  <c:v>2044.9</c:v>
                </c:pt>
                <c:pt idx="1">
                  <c:v>2370.6999999999998</c:v>
                </c:pt>
                <c:pt idx="2">
                  <c:v>2791.7</c:v>
                </c:pt>
                <c:pt idx="3">
                  <c:v>2882.8</c:v>
                </c:pt>
                <c:pt idx="4">
                  <c:v>3375.2</c:v>
                </c:pt>
                <c:pt idx="5">
                  <c:v>4039</c:v>
                </c:pt>
                <c:pt idx="6">
                  <c:v>4537</c:v>
                </c:pt>
                <c:pt idx="7">
                  <c:v>5025.7</c:v>
                </c:pt>
                <c:pt idx="8">
                  <c:v>5656.8</c:v>
                </c:pt>
                <c:pt idx="9">
                  <c:v>6334.2</c:v>
                </c:pt>
                <c:pt idx="10">
                  <c:v>7282.6</c:v>
                </c:pt>
                <c:pt idx="11">
                  <c:v>8378.1</c:v>
                </c:pt>
                <c:pt idx="12">
                  <c:v>9513</c:v>
                </c:pt>
                <c:pt idx="13">
                  <c:v>10712.3</c:v>
                </c:pt>
                <c:pt idx="14">
                  <c:v>11705.3</c:v>
                </c:pt>
                <c:pt idx="15">
                  <c:v>6311.2</c:v>
                </c:pt>
              </c:numCache>
            </c:numRef>
          </c:val>
          <c:extLst>
            <c:ext xmlns:c16="http://schemas.microsoft.com/office/drawing/2014/chart" uri="{C3380CC4-5D6E-409C-BE32-E72D297353CC}">
              <c16:uniqueId val="{00000003-B416-4131-BC21-15F422F472B5}"/>
            </c:ext>
          </c:extLst>
        </c:ser>
        <c:dLbls>
          <c:showLegendKey val="0"/>
          <c:showVal val="0"/>
          <c:showCatName val="0"/>
          <c:showSerName val="0"/>
          <c:showPercent val="0"/>
          <c:showBubbleSize val="0"/>
        </c:dLbls>
        <c:gapWidth val="150"/>
        <c:overlap val="100"/>
        <c:axId val="1351165823"/>
        <c:axId val="1585207727"/>
      </c:barChart>
      <c:lineChart>
        <c:grouping val="standard"/>
        <c:varyColors val="0"/>
        <c:ser>
          <c:idx val="0"/>
          <c:order val="0"/>
          <c:tx>
            <c:strRef>
              <c:f>画图!$H$163</c:f>
              <c:strCache>
                <c:ptCount val="1"/>
                <c:pt idx="0">
                  <c:v>人口</c:v>
                </c:pt>
              </c:strCache>
            </c:strRef>
          </c:tx>
          <c:spPr>
            <a:ln w="28575" cap="rnd">
              <a:solidFill>
                <a:schemeClr val="accent2"/>
              </a:solidFill>
              <a:round/>
            </a:ln>
            <a:effectLst/>
          </c:spPr>
          <c:marker>
            <c:symbol val="none"/>
          </c:marker>
          <c:cat>
            <c:numRef>
              <c:f>画图!$G$164:$G$179</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画图!$H$164:$H$179</c:f>
              <c:numCache>
                <c:formatCode>General</c:formatCode>
                <c:ptCount val="16"/>
                <c:pt idx="0">
                  <c:v>13.0756</c:v>
                </c:pt>
                <c:pt idx="1">
                  <c:v>13.1448</c:v>
                </c:pt>
                <c:pt idx="2">
                  <c:v>13.212899999999999</c:v>
                </c:pt>
                <c:pt idx="3">
                  <c:v>13.280200000000001</c:v>
                </c:pt>
                <c:pt idx="4">
                  <c:v>13.345000000000001</c:v>
                </c:pt>
                <c:pt idx="5">
                  <c:v>13.4091</c:v>
                </c:pt>
                <c:pt idx="6">
                  <c:v>13.4916</c:v>
                </c:pt>
                <c:pt idx="7">
                  <c:v>13.5922</c:v>
                </c:pt>
                <c:pt idx="8">
                  <c:v>13.672599999999999</c:v>
                </c:pt>
                <c:pt idx="9">
                  <c:v>13.7646</c:v>
                </c:pt>
                <c:pt idx="10">
                  <c:v>13.832599999999999</c:v>
                </c:pt>
                <c:pt idx="11">
                  <c:v>13.9232</c:v>
                </c:pt>
                <c:pt idx="12">
                  <c:v>14.001099999999999</c:v>
                </c:pt>
                <c:pt idx="13">
                  <c:v>14.0541</c:v>
                </c:pt>
                <c:pt idx="14">
                  <c:v>14.1008</c:v>
                </c:pt>
                <c:pt idx="15">
                  <c:v>14.117800000000001</c:v>
                </c:pt>
              </c:numCache>
            </c:numRef>
          </c:val>
          <c:smooth val="0"/>
          <c:extLst>
            <c:ext xmlns:c16="http://schemas.microsoft.com/office/drawing/2014/chart" uri="{C3380CC4-5D6E-409C-BE32-E72D297353CC}">
              <c16:uniqueId val="{00000004-B416-4131-BC21-15F422F472B5}"/>
            </c:ext>
          </c:extLst>
        </c:ser>
        <c:dLbls>
          <c:showLegendKey val="0"/>
          <c:showVal val="0"/>
          <c:showCatName val="0"/>
          <c:showSerName val="0"/>
          <c:showPercent val="0"/>
          <c:showBubbleSize val="0"/>
        </c:dLbls>
        <c:marker val="1"/>
        <c:smooth val="0"/>
        <c:axId val="1350489423"/>
        <c:axId val="1585199823"/>
      </c:lineChart>
      <c:catAx>
        <c:axId val="1351165823"/>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585207727"/>
        <c:crosses val="autoZero"/>
        <c:auto val="1"/>
        <c:lblAlgn val="ctr"/>
        <c:lblOffset val="100"/>
        <c:noMultiLvlLbl val="0"/>
      </c:catAx>
      <c:valAx>
        <c:axId val="15852077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客运周转量（亿人公里）</a:t>
                </a:r>
              </a:p>
            </c:rich>
          </c:tx>
          <c:layout>
            <c:manualLayout>
              <c:xMode val="edge"/>
              <c:yMode val="edge"/>
              <c:x val="1.9444444444444445E-2"/>
              <c:y val="0.27913245909890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351165823"/>
        <c:crosses val="autoZero"/>
        <c:crossBetween val="between"/>
      </c:valAx>
      <c:valAx>
        <c:axId val="1585199823"/>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人口（亿人）</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350489423"/>
        <c:crosses val="max"/>
        <c:crossBetween val="between"/>
      </c:valAx>
      <c:catAx>
        <c:axId val="1350489423"/>
        <c:scaling>
          <c:orientation val="minMax"/>
        </c:scaling>
        <c:delete val="1"/>
        <c:axPos val="b"/>
        <c:numFmt formatCode="General" sourceLinked="1"/>
        <c:majorTickMark val="out"/>
        <c:minorTickMark val="none"/>
        <c:tickLblPos val="nextTo"/>
        <c:crossAx val="158519982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楷体" panose="02010609060101010101" pitchFamily="49" charset="-122"/>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1"/>
          <c:order val="1"/>
          <c:tx>
            <c:strRef>
              <c:f>画图!$I$184</c:f>
              <c:strCache>
                <c:ptCount val="1"/>
                <c:pt idx="0">
                  <c:v>公共汽电车</c:v>
                </c:pt>
              </c:strCache>
            </c:strRef>
          </c:tx>
          <c:spPr>
            <a:solidFill>
              <a:schemeClr val="accent4"/>
            </a:solidFill>
            <a:ln>
              <a:noFill/>
            </a:ln>
            <a:effectLst/>
          </c:spPr>
          <c:invertIfNegative val="0"/>
          <c:cat>
            <c:numRef>
              <c:f>画图!$G$185:$G$200</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画图!$I$185:$I$200</c:f>
              <c:numCache>
                <c:formatCode>0_);[Red]\(0\)</c:formatCode>
                <c:ptCount val="16"/>
                <c:pt idx="0">
                  <c:v>637.73394381094397</c:v>
                </c:pt>
                <c:pt idx="1">
                  <c:v>653.30045785820801</c:v>
                </c:pt>
                <c:pt idx="2">
                  <c:v>668.86697190547204</c:v>
                </c:pt>
                <c:pt idx="3">
                  <c:v>684.43348595273596</c:v>
                </c:pt>
                <c:pt idx="4">
                  <c:v>700</c:v>
                </c:pt>
                <c:pt idx="5">
                  <c:v>713.56651404726404</c:v>
                </c:pt>
                <c:pt idx="6">
                  <c:v>715.56651404726392</c:v>
                </c:pt>
                <c:pt idx="7">
                  <c:v>749.91370672153266</c:v>
                </c:pt>
                <c:pt idx="8">
                  <c:v>770.91129050973564</c:v>
                </c:pt>
                <c:pt idx="9">
                  <c:v>781.70404857687197</c:v>
                </c:pt>
                <c:pt idx="10">
                  <c:v>765.28826355675767</c:v>
                </c:pt>
                <c:pt idx="11">
                  <c:v>745.39076870428198</c:v>
                </c:pt>
                <c:pt idx="12">
                  <c:v>723.02904564315349</c:v>
                </c:pt>
                <c:pt idx="13">
                  <c:v>697</c:v>
                </c:pt>
                <c:pt idx="14">
                  <c:v>691</c:v>
                </c:pt>
                <c:pt idx="15">
                  <c:v>205.27</c:v>
                </c:pt>
              </c:numCache>
            </c:numRef>
          </c:val>
          <c:extLst>
            <c:ext xmlns:c16="http://schemas.microsoft.com/office/drawing/2014/chart" uri="{C3380CC4-5D6E-409C-BE32-E72D297353CC}">
              <c16:uniqueId val="{00000000-94E2-4B5E-93CB-A7960CA400A3}"/>
            </c:ext>
          </c:extLst>
        </c:ser>
        <c:ser>
          <c:idx val="2"/>
          <c:order val="2"/>
          <c:tx>
            <c:strRef>
              <c:f>画图!$J$184</c:f>
              <c:strCache>
                <c:ptCount val="1"/>
                <c:pt idx="0">
                  <c:v>轨道交通</c:v>
                </c:pt>
              </c:strCache>
            </c:strRef>
          </c:tx>
          <c:spPr>
            <a:solidFill>
              <a:schemeClr val="accent6"/>
            </a:solidFill>
            <a:ln>
              <a:noFill/>
            </a:ln>
            <a:effectLst/>
          </c:spPr>
          <c:invertIfNegative val="0"/>
          <c:cat>
            <c:numRef>
              <c:f>画图!$G$185:$G$200</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画图!$J$185:$J$200</c:f>
              <c:numCache>
                <c:formatCode>0_);[Red]\(0\)</c:formatCode>
                <c:ptCount val="16"/>
                <c:pt idx="0">
                  <c:v>62.611184332737203</c:v>
                </c:pt>
                <c:pt idx="1">
                  <c:v>64.458388249552897</c:v>
                </c:pt>
                <c:pt idx="2">
                  <c:v>66.305592166368598</c:v>
                </c:pt>
                <c:pt idx="3">
                  <c:v>68.152796083184299</c:v>
                </c:pt>
                <c:pt idx="4">
                  <c:v>70</c:v>
                </c:pt>
                <c:pt idx="5">
                  <c:v>71.847203916815701</c:v>
                </c:pt>
                <c:pt idx="6">
                  <c:v>71.847203916815701</c:v>
                </c:pt>
                <c:pt idx="7">
                  <c:v>87.940977594182414</c:v>
                </c:pt>
                <c:pt idx="8">
                  <c:v>110.01416297032219</c:v>
                </c:pt>
                <c:pt idx="9">
                  <c:v>127.61642904557374</c:v>
                </c:pt>
                <c:pt idx="10">
                  <c:v>141.01615409535898</c:v>
                </c:pt>
                <c:pt idx="11">
                  <c:v>162.73264182604427</c:v>
                </c:pt>
                <c:pt idx="12">
                  <c:v>184.37608318890815</c:v>
                </c:pt>
                <c:pt idx="13">
                  <c:v>212.77</c:v>
                </c:pt>
                <c:pt idx="14">
                  <c:v>238</c:v>
                </c:pt>
                <c:pt idx="15">
                  <c:v>170.93</c:v>
                </c:pt>
              </c:numCache>
            </c:numRef>
          </c:val>
          <c:extLst>
            <c:ext xmlns:c16="http://schemas.microsoft.com/office/drawing/2014/chart" uri="{C3380CC4-5D6E-409C-BE32-E72D297353CC}">
              <c16:uniqueId val="{00000001-94E2-4B5E-93CB-A7960CA400A3}"/>
            </c:ext>
          </c:extLst>
        </c:ser>
        <c:ser>
          <c:idx val="3"/>
          <c:order val="3"/>
          <c:tx>
            <c:strRef>
              <c:f>画图!$K$184</c:f>
              <c:strCache>
                <c:ptCount val="1"/>
                <c:pt idx="0">
                  <c:v>巡游出租车</c:v>
                </c:pt>
              </c:strCache>
            </c:strRef>
          </c:tx>
          <c:spPr>
            <a:solidFill>
              <a:schemeClr val="accent2">
                <a:lumMod val="60000"/>
              </a:schemeClr>
            </a:solidFill>
            <a:ln>
              <a:noFill/>
            </a:ln>
            <a:effectLst/>
          </c:spPr>
          <c:invertIfNegative val="0"/>
          <c:cat>
            <c:numRef>
              <c:f>画图!$G$185:$G$200</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画图!$K$185:$K$200</c:f>
              <c:numCache>
                <c:formatCode>0_);[Red]\(0\)</c:formatCode>
                <c:ptCount val="16"/>
                <c:pt idx="0">
                  <c:v>326.48576092424003</c:v>
                </c:pt>
                <c:pt idx="1">
                  <c:v>336.61432069317999</c:v>
                </c:pt>
                <c:pt idx="2">
                  <c:v>346.74288046212001</c:v>
                </c:pt>
                <c:pt idx="3">
                  <c:v>356.87144023105998</c:v>
                </c:pt>
                <c:pt idx="4">
                  <c:v>367</c:v>
                </c:pt>
                <c:pt idx="5">
                  <c:v>377.12855976893991</c:v>
                </c:pt>
                <c:pt idx="6">
                  <c:v>377.12855976893991</c:v>
                </c:pt>
                <c:pt idx="7">
                  <c:v>390.32805936085276</c:v>
                </c:pt>
                <c:pt idx="8">
                  <c:v>402.42822920103919</c:v>
                </c:pt>
                <c:pt idx="9">
                  <c:v>406.4525114930496</c:v>
                </c:pt>
                <c:pt idx="10">
                  <c:v>397.10410372870945</c:v>
                </c:pt>
                <c:pt idx="11">
                  <c:v>377.64600264600267</c:v>
                </c:pt>
                <c:pt idx="12">
                  <c:v>365.56133056133058</c:v>
                </c:pt>
                <c:pt idx="13">
                  <c:v>351.67</c:v>
                </c:pt>
                <c:pt idx="14">
                  <c:v>347</c:v>
                </c:pt>
                <c:pt idx="15">
                  <c:v>320</c:v>
                </c:pt>
              </c:numCache>
            </c:numRef>
          </c:val>
          <c:extLst>
            <c:ext xmlns:c16="http://schemas.microsoft.com/office/drawing/2014/chart" uri="{C3380CC4-5D6E-409C-BE32-E72D297353CC}">
              <c16:uniqueId val="{00000002-94E2-4B5E-93CB-A7960CA400A3}"/>
            </c:ext>
          </c:extLst>
        </c:ser>
        <c:ser>
          <c:idx val="4"/>
          <c:order val="4"/>
          <c:tx>
            <c:strRef>
              <c:f>画图!$L$184</c:f>
              <c:strCache>
                <c:ptCount val="1"/>
                <c:pt idx="0">
                  <c:v>轮渡</c:v>
                </c:pt>
              </c:strCache>
            </c:strRef>
          </c:tx>
          <c:spPr>
            <a:solidFill>
              <a:schemeClr val="accent4">
                <a:lumMod val="60000"/>
              </a:schemeClr>
            </a:solidFill>
            <a:ln>
              <a:noFill/>
            </a:ln>
            <a:effectLst/>
          </c:spPr>
          <c:invertIfNegative val="0"/>
          <c:cat>
            <c:numRef>
              <c:f>画图!$G$185:$G$200</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画图!$L$185:$L$200</c:f>
              <c:numCache>
                <c:formatCode>0_);[Red]\(0\)</c:formatCode>
                <c:ptCount val="16"/>
                <c:pt idx="0">
                  <c:v>1.73159550475056</c:v>
                </c:pt>
                <c:pt idx="1">
                  <c:v>1.7111966285629201</c:v>
                </c:pt>
                <c:pt idx="2">
                  <c:v>1.69079775237528</c:v>
                </c:pt>
                <c:pt idx="3">
                  <c:v>1.67039887618764</c:v>
                </c:pt>
                <c:pt idx="4">
                  <c:v>1.65</c:v>
                </c:pt>
                <c:pt idx="5">
                  <c:v>1.62960112381236</c:v>
                </c:pt>
                <c:pt idx="6">
                  <c:v>1.6296011238123649</c:v>
                </c:pt>
                <c:pt idx="7">
                  <c:v>1.2450152585926468</c:v>
                </c:pt>
                <c:pt idx="8">
                  <c:v>1.0034822984256733</c:v>
                </c:pt>
                <c:pt idx="9">
                  <c:v>1.0105066745146529</c:v>
                </c:pt>
                <c:pt idx="10">
                  <c:v>1.0052520398071767</c:v>
                </c:pt>
                <c:pt idx="11">
                  <c:v>0.93287389294105993</c:v>
                </c:pt>
                <c:pt idx="12">
                  <c:v>0.82559339525283804</c:v>
                </c:pt>
                <c:pt idx="13">
                  <c:v>0.8</c:v>
                </c:pt>
                <c:pt idx="14">
                  <c:v>1.3</c:v>
                </c:pt>
                <c:pt idx="15">
                  <c:v>1</c:v>
                </c:pt>
              </c:numCache>
            </c:numRef>
          </c:val>
          <c:extLst>
            <c:ext xmlns:c16="http://schemas.microsoft.com/office/drawing/2014/chart" uri="{C3380CC4-5D6E-409C-BE32-E72D297353CC}">
              <c16:uniqueId val="{00000003-94E2-4B5E-93CB-A7960CA400A3}"/>
            </c:ext>
          </c:extLst>
        </c:ser>
        <c:ser>
          <c:idx val="5"/>
          <c:order val="5"/>
          <c:tx>
            <c:strRef>
              <c:f>画图!$M$184</c:f>
              <c:strCache>
                <c:ptCount val="1"/>
                <c:pt idx="0">
                  <c:v>摩托车</c:v>
                </c:pt>
              </c:strCache>
            </c:strRef>
          </c:tx>
          <c:spPr>
            <a:solidFill>
              <a:schemeClr val="accent6">
                <a:lumMod val="60000"/>
              </a:schemeClr>
            </a:solidFill>
            <a:ln>
              <a:noFill/>
            </a:ln>
            <a:effectLst/>
          </c:spPr>
          <c:invertIfNegative val="0"/>
          <c:cat>
            <c:numRef>
              <c:f>画图!$G$185:$G$200</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画图!$M$185:$M$200</c:f>
              <c:numCache>
                <c:formatCode>0_);[Red]\(0\)</c:formatCode>
                <c:ptCount val="16"/>
                <c:pt idx="0">
                  <c:v>156.48256511999998</c:v>
                </c:pt>
                <c:pt idx="1">
                  <c:v>169.28110943999999</c:v>
                </c:pt>
                <c:pt idx="2">
                  <c:v>182.26377000000005</c:v>
                </c:pt>
                <c:pt idx="3">
                  <c:v>190.56673439999997</c:v>
                </c:pt>
                <c:pt idx="4">
                  <c:v>202.56178895999997</c:v>
                </c:pt>
                <c:pt idx="5">
                  <c:v>213.45271632000001</c:v>
                </c:pt>
                <c:pt idx="6">
                  <c:v>215.61362136</c:v>
                </c:pt>
                <c:pt idx="7">
                  <c:v>187.92000000000002</c:v>
                </c:pt>
                <c:pt idx="8">
                  <c:v>187.92000000000002</c:v>
                </c:pt>
                <c:pt idx="9">
                  <c:v>187.92000000000002</c:v>
                </c:pt>
                <c:pt idx="10">
                  <c:v>187.92000000000002</c:v>
                </c:pt>
                <c:pt idx="11">
                  <c:v>187.92000000000002</c:v>
                </c:pt>
                <c:pt idx="12">
                  <c:v>187.92000000000002</c:v>
                </c:pt>
                <c:pt idx="13">
                  <c:v>187.92000000000002</c:v>
                </c:pt>
                <c:pt idx="14">
                  <c:v>176</c:v>
                </c:pt>
                <c:pt idx="15">
                  <c:v>105</c:v>
                </c:pt>
              </c:numCache>
            </c:numRef>
          </c:val>
          <c:extLst>
            <c:ext xmlns:c16="http://schemas.microsoft.com/office/drawing/2014/chart" uri="{C3380CC4-5D6E-409C-BE32-E72D297353CC}">
              <c16:uniqueId val="{00000004-94E2-4B5E-93CB-A7960CA400A3}"/>
            </c:ext>
          </c:extLst>
        </c:ser>
        <c:ser>
          <c:idx val="6"/>
          <c:order val="6"/>
          <c:tx>
            <c:strRef>
              <c:f>画图!$N$184</c:f>
              <c:strCache>
                <c:ptCount val="1"/>
                <c:pt idx="0">
                  <c:v>私人乘用车</c:v>
                </c:pt>
              </c:strCache>
            </c:strRef>
          </c:tx>
          <c:spPr>
            <a:solidFill>
              <a:schemeClr val="accent2">
                <a:lumMod val="80000"/>
                <a:lumOff val="20000"/>
              </a:schemeClr>
            </a:solidFill>
            <a:ln>
              <a:noFill/>
            </a:ln>
            <a:effectLst/>
          </c:spPr>
          <c:invertIfNegative val="0"/>
          <c:cat>
            <c:numRef>
              <c:f>画图!$G$185:$G$200</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画图!$N$185:$N$200</c:f>
              <c:numCache>
                <c:formatCode>0_);[Red]\(0\)</c:formatCode>
                <c:ptCount val="16"/>
                <c:pt idx="0">
                  <c:v>65.492323200000001</c:v>
                </c:pt>
                <c:pt idx="1">
                  <c:v>78.510816000000005</c:v>
                </c:pt>
                <c:pt idx="2">
                  <c:v>89.080555679999989</c:v>
                </c:pt>
                <c:pt idx="3">
                  <c:v>124.593147</c:v>
                </c:pt>
                <c:pt idx="4">
                  <c:v>164.72550582</c:v>
                </c:pt>
                <c:pt idx="5">
                  <c:v>215.815833</c:v>
                </c:pt>
                <c:pt idx="6">
                  <c:v>269.79509484000005</c:v>
                </c:pt>
                <c:pt idx="7">
                  <c:v>330.36842898000003</c:v>
                </c:pt>
                <c:pt idx="8">
                  <c:v>397.86024042000003</c:v>
                </c:pt>
                <c:pt idx="9">
                  <c:v>473.43189906000003</c:v>
                </c:pt>
                <c:pt idx="10">
                  <c:v>552.28869900000007</c:v>
                </c:pt>
                <c:pt idx="11">
                  <c:v>572.73294239999996</c:v>
                </c:pt>
                <c:pt idx="12">
                  <c:v>655.02742608000005</c:v>
                </c:pt>
                <c:pt idx="13">
                  <c:v>727.89753599999995</c:v>
                </c:pt>
                <c:pt idx="14">
                  <c:v>847.29059099999984</c:v>
                </c:pt>
                <c:pt idx="15">
                  <c:v>727.81102799999985</c:v>
                </c:pt>
              </c:numCache>
            </c:numRef>
          </c:val>
          <c:extLst>
            <c:ext xmlns:c16="http://schemas.microsoft.com/office/drawing/2014/chart" uri="{C3380CC4-5D6E-409C-BE32-E72D297353CC}">
              <c16:uniqueId val="{00000005-94E2-4B5E-93CB-A7960CA400A3}"/>
            </c:ext>
          </c:extLst>
        </c:ser>
        <c:ser>
          <c:idx val="7"/>
          <c:order val="7"/>
          <c:tx>
            <c:strRef>
              <c:f>画图!$O$184</c:f>
              <c:strCache>
                <c:ptCount val="1"/>
                <c:pt idx="0">
                  <c:v>网约车</c:v>
                </c:pt>
              </c:strCache>
            </c:strRef>
          </c:tx>
          <c:spPr>
            <a:solidFill>
              <a:schemeClr val="accent4">
                <a:lumMod val="80000"/>
                <a:lumOff val="20000"/>
              </a:schemeClr>
            </a:solidFill>
            <a:ln>
              <a:noFill/>
            </a:ln>
            <a:effectLst/>
          </c:spPr>
          <c:invertIfNegative val="0"/>
          <c:cat>
            <c:numRef>
              <c:f>画图!$G$185:$G$200</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画图!$O$185:$O$200</c:f>
              <c:numCache>
                <c:formatCode>0_);[Red]\(0\)</c:formatCode>
                <c:ptCount val="16"/>
                <c:pt idx="0">
                  <c:v>0</c:v>
                </c:pt>
                <c:pt idx="1">
                  <c:v>0</c:v>
                </c:pt>
                <c:pt idx="2">
                  <c:v>0</c:v>
                </c:pt>
                <c:pt idx="3">
                  <c:v>0</c:v>
                </c:pt>
                <c:pt idx="4">
                  <c:v>0</c:v>
                </c:pt>
                <c:pt idx="5">
                  <c:v>0</c:v>
                </c:pt>
                <c:pt idx="6">
                  <c:v>0</c:v>
                </c:pt>
                <c:pt idx="7">
                  <c:v>0</c:v>
                </c:pt>
                <c:pt idx="8">
                  <c:v>0</c:v>
                </c:pt>
                <c:pt idx="9">
                  <c:v>0</c:v>
                </c:pt>
                <c:pt idx="10">
                  <c:v>20.774400237303375</c:v>
                </c:pt>
                <c:pt idx="11">
                  <c:v>50.601864798202257</c:v>
                </c:pt>
                <c:pt idx="12">
                  <c:v>117.49588201132586</c:v>
                </c:pt>
                <c:pt idx="13">
                  <c:v>229.49377920000003</c:v>
                </c:pt>
                <c:pt idx="14">
                  <c:v>268.05599999999998</c:v>
                </c:pt>
                <c:pt idx="15">
                  <c:v>165.33404999999999</c:v>
                </c:pt>
              </c:numCache>
            </c:numRef>
          </c:val>
          <c:extLst>
            <c:ext xmlns:c16="http://schemas.microsoft.com/office/drawing/2014/chart" uri="{C3380CC4-5D6E-409C-BE32-E72D297353CC}">
              <c16:uniqueId val="{00000006-94E2-4B5E-93CB-A7960CA400A3}"/>
            </c:ext>
          </c:extLst>
        </c:ser>
        <c:dLbls>
          <c:showLegendKey val="0"/>
          <c:showVal val="0"/>
          <c:showCatName val="0"/>
          <c:showSerName val="0"/>
          <c:showPercent val="0"/>
          <c:showBubbleSize val="0"/>
        </c:dLbls>
        <c:gapWidth val="150"/>
        <c:overlap val="100"/>
        <c:axId val="1351165823"/>
        <c:axId val="1585207727"/>
      </c:barChart>
      <c:lineChart>
        <c:grouping val="standard"/>
        <c:varyColors val="0"/>
        <c:ser>
          <c:idx val="0"/>
          <c:order val="0"/>
          <c:tx>
            <c:strRef>
              <c:f>画图!$H$184</c:f>
              <c:strCache>
                <c:ptCount val="1"/>
                <c:pt idx="0">
                  <c:v>城镇化率</c:v>
                </c:pt>
              </c:strCache>
            </c:strRef>
          </c:tx>
          <c:spPr>
            <a:ln w="28575" cap="rnd">
              <a:solidFill>
                <a:schemeClr val="accent2"/>
              </a:solidFill>
              <a:round/>
            </a:ln>
            <a:effectLst/>
          </c:spPr>
          <c:marker>
            <c:symbol val="none"/>
          </c:marker>
          <c:cat>
            <c:numRef>
              <c:f>画图!$G$185:$G$200</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画图!$H$185:$H$200</c:f>
              <c:numCache>
                <c:formatCode>0.0%</c:formatCode>
                <c:ptCount val="16"/>
                <c:pt idx="0">
                  <c:v>0.42989996634953653</c:v>
                </c:pt>
                <c:pt idx="1">
                  <c:v>0.4434301016371493</c:v>
                </c:pt>
                <c:pt idx="2">
                  <c:v>0.45889244601866358</c:v>
                </c:pt>
                <c:pt idx="3">
                  <c:v>0.46989503170132979</c:v>
                </c:pt>
                <c:pt idx="4">
                  <c:v>0.48341701011614835</c:v>
                </c:pt>
                <c:pt idx="5">
                  <c:v>0.49680000000000002</c:v>
                </c:pt>
                <c:pt idx="6">
                  <c:v>0.50790024198980277</c:v>
                </c:pt>
                <c:pt idx="7">
                  <c:v>0.51900048397960552</c:v>
                </c:pt>
                <c:pt idx="8">
                  <c:v>0.53010072596940827</c:v>
                </c:pt>
                <c:pt idx="9">
                  <c:v>0.54120096795921102</c:v>
                </c:pt>
                <c:pt idx="10">
                  <c:v>0.55230120994901377</c:v>
                </c:pt>
                <c:pt idx="11">
                  <c:v>0.56340145193881652</c:v>
                </c:pt>
                <c:pt idx="12">
                  <c:v>0.57450169392861927</c:v>
                </c:pt>
                <c:pt idx="13">
                  <c:v>0.58560193591842202</c:v>
                </c:pt>
                <c:pt idx="14">
                  <c:v>0.59670217790822477</c:v>
                </c:pt>
                <c:pt idx="15">
                  <c:v>0.61890266188783005</c:v>
                </c:pt>
              </c:numCache>
            </c:numRef>
          </c:val>
          <c:smooth val="0"/>
          <c:extLst>
            <c:ext xmlns:c16="http://schemas.microsoft.com/office/drawing/2014/chart" uri="{C3380CC4-5D6E-409C-BE32-E72D297353CC}">
              <c16:uniqueId val="{00000007-94E2-4B5E-93CB-A7960CA400A3}"/>
            </c:ext>
          </c:extLst>
        </c:ser>
        <c:dLbls>
          <c:showLegendKey val="0"/>
          <c:showVal val="0"/>
          <c:showCatName val="0"/>
          <c:showSerName val="0"/>
          <c:showPercent val="0"/>
          <c:showBubbleSize val="0"/>
        </c:dLbls>
        <c:marker val="1"/>
        <c:smooth val="0"/>
        <c:axId val="1350489423"/>
        <c:axId val="1585199823"/>
      </c:lineChart>
      <c:catAx>
        <c:axId val="1351165823"/>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585207727"/>
        <c:crosses val="autoZero"/>
        <c:auto val="1"/>
        <c:lblAlgn val="ctr"/>
        <c:lblOffset val="100"/>
        <c:noMultiLvlLbl val="0"/>
      </c:catAx>
      <c:valAx>
        <c:axId val="15852077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客运周转量（亿人公里）</a:t>
                </a:r>
              </a:p>
            </c:rich>
          </c:tx>
          <c:layout>
            <c:manualLayout>
              <c:xMode val="edge"/>
              <c:yMode val="edge"/>
              <c:x val="1.9444444444444445E-2"/>
              <c:y val="0.27913245909890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0_);[Red]\(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351165823"/>
        <c:crosses val="autoZero"/>
        <c:crossBetween val="between"/>
      </c:valAx>
      <c:valAx>
        <c:axId val="1585199823"/>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人口（亿人）</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350489423"/>
        <c:crosses val="max"/>
        <c:crossBetween val="between"/>
      </c:valAx>
      <c:catAx>
        <c:axId val="1350489423"/>
        <c:scaling>
          <c:orientation val="minMax"/>
        </c:scaling>
        <c:delete val="1"/>
        <c:axPos val="b"/>
        <c:numFmt formatCode="General" sourceLinked="1"/>
        <c:majorTickMark val="out"/>
        <c:minorTickMark val="none"/>
        <c:tickLblPos val="nextTo"/>
        <c:crossAx val="158519982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楷体" panose="02010609060101010101" pitchFamily="49" charset="-122"/>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1"/>
          <c:order val="1"/>
          <c:tx>
            <c:strRef>
              <c:f>画图!$I$205</c:f>
              <c:strCache>
                <c:ptCount val="1"/>
                <c:pt idx="0">
                  <c:v>货运周转量</c:v>
                </c:pt>
              </c:strCache>
            </c:strRef>
          </c:tx>
          <c:spPr>
            <a:solidFill>
              <a:schemeClr val="accent4"/>
            </a:solidFill>
            <a:ln>
              <a:noFill/>
            </a:ln>
            <a:effectLst/>
          </c:spPr>
          <c:invertIfNegative val="0"/>
          <c:cat>
            <c:numRef>
              <c:f>画图!$G$206:$G$221</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画图!$I$206:$I$221</c:f>
              <c:numCache>
                <c:formatCode>0_);[Red]\(0\)</c:formatCode>
                <c:ptCount val="16"/>
                <c:pt idx="0">
                  <c:v>4.1707089999999996</c:v>
                </c:pt>
                <c:pt idx="1">
                  <c:v>4.626239</c:v>
                </c:pt>
                <c:pt idx="2">
                  <c:v>5.2733030000000003</c:v>
                </c:pt>
                <c:pt idx="3">
                  <c:v>7.3371572428789866</c:v>
                </c:pt>
                <c:pt idx="4">
                  <c:v>8.2305886214394945</c:v>
                </c:pt>
                <c:pt idx="5">
                  <c:v>9.5526619999999998</c:v>
                </c:pt>
                <c:pt idx="6">
                  <c:v>10.963239</c:v>
                </c:pt>
                <c:pt idx="7">
                  <c:v>12.009713</c:v>
                </c:pt>
                <c:pt idx="8">
                  <c:v>11.930864999999999</c:v>
                </c:pt>
                <c:pt idx="9">
                  <c:v>12.990207</c:v>
                </c:pt>
                <c:pt idx="10">
                  <c:v>12.411944999999999</c:v>
                </c:pt>
                <c:pt idx="11">
                  <c:v>12.855499999999999</c:v>
                </c:pt>
                <c:pt idx="12">
                  <c:v>14.228866</c:v>
                </c:pt>
                <c:pt idx="13">
                  <c:v>15.275948999999999</c:v>
                </c:pt>
                <c:pt idx="14">
                  <c:v>13.998654</c:v>
                </c:pt>
                <c:pt idx="15">
                  <c:v>10.686438500000001</c:v>
                </c:pt>
              </c:numCache>
            </c:numRef>
          </c:val>
          <c:extLst>
            <c:ext xmlns:c16="http://schemas.microsoft.com/office/drawing/2014/chart" uri="{C3380CC4-5D6E-409C-BE32-E72D297353CC}">
              <c16:uniqueId val="{00000000-45DC-4892-9381-C7E130CA763A}"/>
            </c:ext>
          </c:extLst>
        </c:ser>
        <c:dLbls>
          <c:showLegendKey val="0"/>
          <c:showVal val="0"/>
          <c:showCatName val="0"/>
          <c:showSerName val="0"/>
          <c:showPercent val="0"/>
          <c:showBubbleSize val="0"/>
        </c:dLbls>
        <c:gapWidth val="150"/>
        <c:overlap val="100"/>
        <c:axId val="1351165823"/>
        <c:axId val="1585207727"/>
      </c:barChart>
      <c:lineChart>
        <c:grouping val="standard"/>
        <c:varyColors val="0"/>
        <c:ser>
          <c:idx val="0"/>
          <c:order val="0"/>
          <c:tx>
            <c:strRef>
              <c:f>画图!$H$205</c:f>
              <c:strCache>
                <c:ptCount val="1"/>
                <c:pt idx="0">
                  <c:v>第二产业增加值</c:v>
                </c:pt>
              </c:strCache>
            </c:strRef>
          </c:tx>
          <c:spPr>
            <a:ln w="28575" cap="rnd">
              <a:solidFill>
                <a:schemeClr val="accent2"/>
              </a:solidFill>
              <a:round/>
            </a:ln>
            <a:effectLst/>
          </c:spPr>
          <c:marker>
            <c:symbol val="none"/>
          </c:marker>
          <c:cat>
            <c:numRef>
              <c:f>画图!$G$206:$G$221</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画图!$H$206:$H$221</c:f>
              <c:numCache>
                <c:formatCode>0.0</c:formatCode>
                <c:ptCount val="16"/>
                <c:pt idx="0">
                  <c:v>8.8082200000000004</c:v>
                </c:pt>
                <c:pt idx="1">
                  <c:v>10.435919999999999</c:v>
                </c:pt>
                <c:pt idx="2">
                  <c:v>12.66305</c:v>
                </c:pt>
                <c:pt idx="3">
                  <c:v>14.995289999999999</c:v>
                </c:pt>
                <c:pt idx="4">
                  <c:v>16.01688</c:v>
                </c:pt>
                <c:pt idx="5">
                  <c:v>19.162649999999999</c:v>
                </c:pt>
                <c:pt idx="6">
                  <c:v>22.703510000000001</c:v>
                </c:pt>
                <c:pt idx="7">
                  <c:v>24.463910000000002</c:v>
                </c:pt>
                <c:pt idx="8">
                  <c:v>26.195160000000001</c:v>
                </c:pt>
                <c:pt idx="9">
                  <c:v>27.728279999999998</c:v>
                </c:pt>
                <c:pt idx="10">
                  <c:v>28.133890000000001</c:v>
                </c:pt>
                <c:pt idx="11">
                  <c:v>29.54278</c:v>
                </c:pt>
                <c:pt idx="12">
                  <c:v>33.158050000000003</c:v>
                </c:pt>
                <c:pt idx="13">
                  <c:v>36.483519999999999</c:v>
                </c:pt>
                <c:pt idx="14">
                  <c:v>38.067059999999998</c:v>
                </c:pt>
                <c:pt idx="15">
                  <c:v>38.425530000000002</c:v>
                </c:pt>
              </c:numCache>
            </c:numRef>
          </c:val>
          <c:smooth val="0"/>
          <c:extLst>
            <c:ext xmlns:c16="http://schemas.microsoft.com/office/drawing/2014/chart" uri="{C3380CC4-5D6E-409C-BE32-E72D297353CC}">
              <c16:uniqueId val="{00000001-45DC-4892-9381-C7E130CA763A}"/>
            </c:ext>
          </c:extLst>
        </c:ser>
        <c:dLbls>
          <c:showLegendKey val="0"/>
          <c:showVal val="0"/>
          <c:showCatName val="0"/>
          <c:showSerName val="0"/>
          <c:showPercent val="0"/>
          <c:showBubbleSize val="0"/>
        </c:dLbls>
        <c:marker val="1"/>
        <c:smooth val="0"/>
        <c:axId val="1350489423"/>
        <c:axId val="1585199823"/>
      </c:lineChart>
      <c:catAx>
        <c:axId val="1351165823"/>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585207727"/>
        <c:crosses val="autoZero"/>
        <c:auto val="1"/>
        <c:lblAlgn val="ctr"/>
        <c:lblOffset val="100"/>
        <c:noMultiLvlLbl val="0"/>
      </c:catAx>
      <c:valAx>
        <c:axId val="15852077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货运周转量（万</a:t>
                </a:r>
                <a:r>
                  <a:rPr lang="zh-CN" altLang="en-US" sz="1000" b="0" i="0" u="none" strike="noStrike" kern="1200" baseline="0">
                    <a:solidFill>
                      <a:schemeClr val="tx1"/>
                    </a:solidFill>
                    <a:latin typeface="楷体" panose="02010609060101010101" pitchFamily="49" charset="-122"/>
                    <a:ea typeface="楷体" panose="02010609060101010101" pitchFamily="49" charset="-122"/>
                    <a:cs typeface="+mn-cs"/>
                  </a:rPr>
                  <a:t>亿</a:t>
                </a:r>
                <a:r>
                  <a:rPr lang="en-US" altLang="en-US" sz="1000" b="0" i="0" u="none" strike="noStrike" kern="1200" baseline="0">
                    <a:solidFill>
                      <a:schemeClr val="tx1"/>
                    </a:solidFill>
                    <a:latin typeface="楷体" panose="02010609060101010101" pitchFamily="49" charset="-122"/>
                    <a:ea typeface="楷体" panose="02010609060101010101" pitchFamily="49" charset="-122"/>
                    <a:cs typeface="+mn-cs"/>
                  </a:rPr>
                  <a:t>t</a:t>
                </a:r>
                <a:r>
                  <a:rPr lang="zh-CN" altLang="en-US">
                    <a:solidFill>
                      <a:schemeClr val="tx1"/>
                    </a:solidFill>
                    <a:latin typeface="楷体" panose="02010609060101010101" pitchFamily="49" charset="-122"/>
                    <a:ea typeface="楷体" panose="02010609060101010101" pitchFamily="49" charset="-122"/>
                  </a:rPr>
                  <a:t>公里）</a:t>
                </a:r>
              </a:p>
            </c:rich>
          </c:tx>
          <c:layout>
            <c:manualLayout>
              <c:xMode val="edge"/>
              <c:yMode val="edge"/>
              <c:x val="1.9444444444444445E-2"/>
              <c:y val="0.27913245909890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0_);[Red]\(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351165823"/>
        <c:crosses val="autoZero"/>
        <c:crossBetween val="between"/>
      </c:valAx>
      <c:valAx>
        <c:axId val="1585199823"/>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第二产业增加值（万亿元）</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0_);[Red]\(#,##0\)" sourceLinked="0"/>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350489423"/>
        <c:crosses val="max"/>
        <c:crossBetween val="between"/>
      </c:valAx>
      <c:catAx>
        <c:axId val="1350489423"/>
        <c:scaling>
          <c:orientation val="minMax"/>
        </c:scaling>
        <c:delete val="1"/>
        <c:axPos val="b"/>
        <c:numFmt formatCode="General" sourceLinked="1"/>
        <c:majorTickMark val="out"/>
        <c:minorTickMark val="none"/>
        <c:tickLblPos val="nextTo"/>
        <c:crossAx val="158519982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楷体" panose="02010609060101010101" pitchFamily="49" charset="-122"/>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9034651540007406E-2"/>
          <c:y val="5.1536911219931411E-2"/>
          <c:w val="0.8579751878004368"/>
          <c:h val="0.74354543379725269"/>
        </c:manualLayout>
      </c:layout>
      <c:barChart>
        <c:barDir val="col"/>
        <c:grouping val="percentStacked"/>
        <c:varyColors val="0"/>
        <c:ser>
          <c:idx val="0"/>
          <c:order val="0"/>
          <c:tx>
            <c:strRef>
              <c:f>画图!$E$3</c:f>
              <c:strCache>
                <c:ptCount val="1"/>
                <c:pt idx="0">
                  <c:v>铁路货运量</c:v>
                </c:pt>
              </c:strCache>
            </c:strRef>
          </c:tx>
          <c:spPr>
            <a:solidFill>
              <a:srgbClr val="70AD47"/>
            </a:solidFill>
            <a:ln w="9525">
              <a:solidFill>
                <a:srgbClr val="70AD47"/>
              </a:solidFill>
              <a:prstDash val="solid"/>
            </a:ln>
            <a:effectLst/>
          </c:spPr>
          <c:invertIfNegative val="0"/>
          <c:cat>
            <c:numRef>
              <c:f>画图!$D$4:$D$19</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画图!$E$4:$E$19</c:f>
              <c:numCache>
                <c:formatCode>0.00</c:formatCode>
                <c:ptCount val="16"/>
                <c:pt idx="0">
                  <c:v>26.929600000000001</c:v>
                </c:pt>
                <c:pt idx="1">
                  <c:v>28.822399999999998</c:v>
                </c:pt>
                <c:pt idx="2">
                  <c:v>31.4237</c:v>
                </c:pt>
                <c:pt idx="3">
                  <c:v>32.590000000000003</c:v>
                </c:pt>
                <c:pt idx="4">
                  <c:v>33.200000000000003</c:v>
                </c:pt>
                <c:pt idx="5">
                  <c:v>36.29</c:v>
                </c:pt>
                <c:pt idx="6">
                  <c:v>39.19</c:v>
                </c:pt>
                <c:pt idx="7">
                  <c:v>38.92</c:v>
                </c:pt>
                <c:pt idx="8">
                  <c:v>39.67</c:v>
                </c:pt>
                <c:pt idx="9">
                  <c:v>38.130000000000003</c:v>
                </c:pt>
                <c:pt idx="10">
                  <c:v>33.58</c:v>
                </c:pt>
                <c:pt idx="11">
                  <c:v>33.32</c:v>
                </c:pt>
                <c:pt idx="12">
                  <c:v>36.89</c:v>
                </c:pt>
                <c:pt idx="13">
                  <c:v>40.26</c:v>
                </c:pt>
                <c:pt idx="14">
                  <c:v>43.89</c:v>
                </c:pt>
                <c:pt idx="15">
                  <c:v>45.523600000000002</c:v>
                </c:pt>
              </c:numCache>
            </c:numRef>
          </c:val>
          <c:extLst>
            <c:ext xmlns:c16="http://schemas.microsoft.com/office/drawing/2014/chart" uri="{C3380CC4-5D6E-409C-BE32-E72D297353CC}">
              <c16:uniqueId val="{00000000-6C62-4492-8A40-FCFE3E468471}"/>
            </c:ext>
          </c:extLst>
        </c:ser>
        <c:ser>
          <c:idx val="1"/>
          <c:order val="1"/>
          <c:tx>
            <c:strRef>
              <c:f>画图!$G$3</c:f>
              <c:strCache>
                <c:ptCount val="1"/>
                <c:pt idx="0">
                  <c:v>公路货运量</c:v>
                </c:pt>
              </c:strCache>
            </c:strRef>
          </c:tx>
          <c:spPr>
            <a:solidFill>
              <a:srgbClr val="ED7D31"/>
            </a:solidFill>
            <a:ln w="9525">
              <a:solidFill>
                <a:srgbClr val="ED7D31"/>
              </a:solidFill>
              <a:prstDash val="solid"/>
            </a:ln>
            <a:effectLst/>
          </c:spPr>
          <c:invertIfNegative val="0"/>
          <c:cat>
            <c:numRef>
              <c:f>画图!$D$4:$D$19</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画图!$G$4:$G$19</c:f>
              <c:numCache>
                <c:formatCode>0.00_ </c:formatCode>
                <c:ptCount val="16"/>
                <c:pt idx="0">
                  <c:v>116.18</c:v>
                </c:pt>
                <c:pt idx="1">
                  <c:v>146.63</c:v>
                </c:pt>
                <c:pt idx="2">
                  <c:v>163.94</c:v>
                </c:pt>
                <c:pt idx="3">
                  <c:v>191.68</c:v>
                </c:pt>
                <c:pt idx="4">
                  <c:v>212.78</c:v>
                </c:pt>
                <c:pt idx="5">
                  <c:v>244.81</c:v>
                </c:pt>
                <c:pt idx="6">
                  <c:v>282.01</c:v>
                </c:pt>
                <c:pt idx="7">
                  <c:v>318.85000000000002</c:v>
                </c:pt>
                <c:pt idx="8">
                  <c:v>307.66000000000003</c:v>
                </c:pt>
                <c:pt idx="9">
                  <c:v>333.28</c:v>
                </c:pt>
                <c:pt idx="10">
                  <c:v>315</c:v>
                </c:pt>
                <c:pt idx="11">
                  <c:v>334.13</c:v>
                </c:pt>
                <c:pt idx="12">
                  <c:v>368.69</c:v>
                </c:pt>
                <c:pt idx="13">
                  <c:v>395.69</c:v>
                </c:pt>
                <c:pt idx="14">
                  <c:v>343.55</c:v>
                </c:pt>
                <c:pt idx="15">
                  <c:v>342.64</c:v>
                </c:pt>
              </c:numCache>
            </c:numRef>
          </c:val>
          <c:extLst>
            <c:ext xmlns:c16="http://schemas.microsoft.com/office/drawing/2014/chart" uri="{C3380CC4-5D6E-409C-BE32-E72D297353CC}">
              <c16:uniqueId val="{00000001-6C62-4492-8A40-FCFE3E468471}"/>
            </c:ext>
          </c:extLst>
        </c:ser>
        <c:ser>
          <c:idx val="2"/>
          <c:order val="2"/>
          <c:tx>
            <c:strRef>
              <c:f>画图!$I$3</c:f>
              <c:strCache>
                <c:ptCount val="1"/>
                <c:pt idx="0">
                  <c:v>水路货运量</c:v>
                </c:pt>
              </c:strCache>
            </c:strRef>
          </c:tx>
          <c:spPr>
            <a:solidFill>
              <a:srgbClr val="5B9BD5"/>
            </a:solidFill>
            <a:ln w="9525">
              <a:solidFill>
                <a:srgbClr val="5B9BD5"/>
              </a:solidFill>
              <a:prstDash val="solid"/>
            </a:ln>
            <a:effectLst/>
          </c:spPr>
          <c:invertIfNegative val="0"/>
          <c:cat>
            <c:numRef>
              <c:f>画图!$D$4:$D$19</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画图!$I$4:$I$19</c:f>
              <c:numCache>
                <c:formatCode>0.00</c:formatCode>
                <c:ptCount val="16"/>
                <c:pt idx="0">
                  <c:v>17.11</c:v>
                </c:pt>
                <c:pt idx="1">
                  <c:v>19.43</c:v>
                </c:pt>
                <c:pt idx="2">
                  <c:v>22.23</c:v>
                </c:pt>
                <c:pt idx="3">
                  <c:v>23.834929406841518</c:v>
                </c:pt>
                <c:pt idx="4">
                  <c:v>27.962464703420761</c:v>
                </c:pt>
                <c:pt idx="5">
                  <c:v>32.090000000000003</c:v>
                </c:pt>
                <c:pt idx="6">
                  <c:v>36.25</c:v>
                </c:pt>
                <c:pt idx="7">
                  <c:v>39.29</c:v>
                </c:pt>
                <c:pt idx="8">
                  <c:v>48.86</c:v>
                </c:pt>
                <c:pt idx="9">
                  <c:v>52.35</c:v>
                </c:pt>
                <c:pt idx="10">
                  <c:v>53.89</c:v>
                </c:pt>
                <c:pt idx="11">
                  <c:v>55.849999999999994</c:v>
                </c:pt>
                <c:pt idx="12">
                  <c:v>59.179999999999993</c:v>
                </c:pt>
                <c:pt idx="13">
                  <c:v>62.57</c:v>
                </c:pt>
                <c:pt idx="14">
                  <c:v>66.400000000000006</c:v>
                </c:pt>
                <c:pt idx="15">
                  <c:v>76.2</c:v>
                </c:pt>
              </c:numCache>
            </c:numRef>
          </c:val>
          <c:extLst>
            <c:ext xmlns:c16="http://schemas.microsoft.com/office/drawing/2014/chart" uri="{C3380CC4-5D6E-409C-BE32-E72D297353CC}">
              <c16:uniqueId val="{00000002-6C62-4492-8A40-FCFE3E468471}"/>
            </c:ext>
          </c:extLst>
        </c:ser>
        <c:ser>
          <c:idx val="3"/>
          <c:order val="3"/>
          <c:tx>
            <c:strRef>
              <c:f>画图!$K$3</c:f>
              <c:strCache>
                <c:ptCount val="1"/>
                <c:pt idx="0">
                  <c:v>民航货运量</c:v>
                </c:pt>
              </c:strCache>
            </c:strRef>
          </c:tx>
          <c:spPr>
            <a:pattFill prst="openDmnd">
              <a:fgClr>
                <a:srgbClr val="70AD47"/>
              </a:fgClr>
              <a:bgClr>
                <a:sysClr val="window" lastClr="FFFFFF"/>
              </a:bgClr>
            </a:pattFill>
            <a:ln w="9525">
              <a:solidFill>
                <a:srgbClr val="70AD47"/>
              </a:solidFill>
            </a:ln>
            <a:effectLst/>
          </c:spPr>
          <c:invertIfNegative val="0"/>
          <c:cat>
            <c:numRef>
              <c:f>画图!$D$4:$D$19</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画图!$K$4:$K$19</c:f>
              <c:numCache>
                <c:formatCode>0.000</c:formatCode>
                <c:ptCount val="16"/>
                <c:pt idx="0">
                  <c:v>3.0669999999999999E-2</c:v>
                </c:pt>
                <c:pt idx="1">
                  <c:v>3.4939999999999999E-2</c:v>
                </c:pt>
                <c:pt idx="2">
                  <c:v>4.018E-2</c:v>
                </c:pt>
                <c:pt idx="3">
                  <c:v>4.0760000000000005E-2</c:v>
                </c:pt>
                <c:pt idx="4">
                  <c:v>4.4549999999999999E-2</c:v>
                </c:pt>
                <c:pt idx="5">
                  <c:v>5.6300000000000003E-2</c:v>
                </c:pt>
                <c:pt idx="6">
                  <c:v>5.5750000000000001E-2</c:v>
                </c:pt>
                <c:pt idx="7">
                  <c:v>5.45E-2</c:v>
                </c:pt>
                <c:pt idx="8">
                  <c:v>5.6129999999999992E-2</c:v>
                </c:pt>
                <c:pt idx="9">
                  <c:v>5.9410000000000004E-2</c:v>
                </c:pt>
                <c:pt idx="10">
                  <c:v>6.293E-2</c:v>
                </c:pt>
                <c:pt idx="11">
                  <c:v>6.6799999999999998E-2</c:v>
                </c:pt>
                <c:pt idx="12">
                  <c:v>7.059E-2</c:v>
                </c:pt>
                <c:pt idx="13">
                  <c:v>7.3849999999999999E-2</c:v>
                </c:pt>
                <c:pt idx="14">
                  <c:v>7.5310000000000002E-2</c:v>
                </c:pt>
                <c:pt idx="15">
                  <c:v>6.7699999999999996E-2</c:v>
                </c:pt>
              </c:numCache>
            </c:numRef>
          </c:val>
          <c:extLst>
            <c:ext xmlns:c16="http://schemas.microsoft.com/office/drawing/2014/chart" uri="{C3380CC4-5D6E-409C-BE32-E72D297353CC}">
              <c16:uniqueId val="{00000003-6C62-4492-8A40-FCFE3E468471}"/>
            </c:ext>
          </c:extLst>
        </c:ser>
        <c:dLbls>
          <c:showLegendKey val="0"/>
          <c:showVal val="0"/>
          <c:showCatName val="0"/>
          <c:showSerName val="0"/>
          <c:showPercent val="0"/>
          <c:showBubbleSize val="0"/>
        </c:dLbls>
        <c:gapWidth val="150"/>
        <c:overlap val="100"/>
        <c:axId val="529247608"/>
        <c:axId val="529249904"/>
        <c:extLst>
          <c:ext xmlns:c15="http://schemas.microsoft.com/office/drawing/2012/chart" uri="{02D57815-91ED-43cb-92C2-25804820EDAC}">
            <c15:filteredBarSeries>
              <c15:ser>
                <c:idx val="4"/>
                <c:order val="4"/>
                <c:tx>
                  <c:strRef>
                    <c:extLst>
                      <c:ext uri="{02D57815-91ED-43cb-92C2-25804820EDAC}">
                        <c15:formulaRef>
                          <c15:sqref>画图!$F$3</c15:sqref>
                        </c15:formulaRef>
                      </c:ext>
                    </c:extLst>
                    <c:strCache>
                      <c:ptCount val="1"/>
                      <c:pt idx="0">
                        <c:v>铁路货运占比</c:v>
                      </c:pt>
                    </c:strCache>
                  </c:strRef>
                </c:tx>
                <c:spPr>
                  <a:solidFill>
                    <a:schemeClr val="accent5"/>
                  </a:solidFill>
                  <a:ln w="19050">
                    <a:solidFill>
                      <a:sysClr val="windowText" lastClr="000000"/>
                    </a:solidFill>
                  </a:ln>
                  <a:effectLst/>
                </c:spPr>
                <c:invertIfNegative val="0"/>
                <c:cat>
                  <c:numRef>
                    <c:extLst>
                      <c:ext uri="{02D57815-91ED-43cb-92C2-25804820EDAC}">
                        <c15:formulaRef>
                          <c15:sqref>画图!$D$4:$D$17</c15:sqref>
                        </c15:formulaRef>
                      </c:ext>
                    </c:extLst>
                    <c:numCache>
                      <c:formatCode>General</c:formatCode>
                      <c:ptCount val="14"/>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numCache>
                  </c:numRef>
                </c:cat>
                <c:val>
                  <c:numRef>
                    <c:extLst>
                      <c:ext uri="{02D57815-91ED-43cb-92C2-25804820EDAC}">
                        <c15:formulaRef>
                          <c15:sqref>画图!$F$4:$F$19</c15:sqref>
                        </c15:formulaRef>
                      </c:ext>
                    </c:extLst>
                    <c:numCache>
                      <c:formatCode>0.0%</c:formatCode>
                      <c:ptCount val="16"/>
                      <c:pt idx="0">
                        <c:v>0.16485427320805243</c:v>
                      </c:pt>
                      <c:pt idx="1">
                        <c:v>0.14537608870410881</c:v>
                      </c:pt>
                      <c:pt idx="2">
                        <c:v>0.14174672022636386</c:v>
                      </c:pt>
                      <c:pt idx="3">
                        <c:v>0.12905075970090302</c:v>
                      </c:pt>
                      <c:pt idx="4">
                        <c:v>0.11923282381722336</c:v>
                      </c:pt>
                      <c:pt idx="5">
                        <c:v>0.11403217976172332</c:v>
                      </c:pt>
                      <c:pt idx="6">
                        <c:v>0.10789810553337773</c:v>
                      </c:pt>
                      <c:pt idx="7">
                        <c:v>9.6493818271793735E-2</c:v>
                      </c:pt>
                      <c:pt idx="8">
                        <c:v>9.8493662701239465E-2</c:v>
                      </c:pt>
                      <c:pt idx="9">
                        <c:v>8.8428749144150956E-2</c:v>
                      </c:pt>
                      <c:pt idx="10">
                        <c:v>8.1878488567965965E-2</c:v>
                      </c:pt>
                      <c:pt idx="11">
                        <c:v>7.7361014274407336E-2</c:v>
                      </c:pt>
                      <c:pt idx="12">
                        <c:v>7.8009983713063349E-2</c:v>
                      </c:pt>
                      <c:pt idx="13">
                        <c:v>7.9318397661978915E-2</c:v>
                      </c:pt>
                      <c:pt idx="14">
                        <c:v>9.4786338871938047E-2</c:v>
                      </c:pt>
                      <c:pt idx="15">
                        <c:v>9.6101606323627395E-2</c:v>
                      </c:pt>
                    </c:numCache>
                  </c:numRef>
                </c:val>
                <c:extLst>
                  <c:ext xmlns:c16="http://schemas.microsoft.com/office/drawing/2014/chart" uri="{C3380CC4-5D6E-409C-BE32-E72D297353CC}">
                    <c16:uniqueId val="{00000004-6C62-4492-8A40-FCFE3E468471}"/>
                  </c:ext>
                </c:extLst>
              </c15:ser>
            </c15:filteredBarSeries>
            <c15:filteredBarSeries>
              <c15:ser>
                <c:idx val="5"/>
                <c:order val="5"/>
                <c:tx>
                  <c:strRef>
                    <c:extLst xmlns:c15="http://schemas.microsoft.com/office/drawing/2012/chart">
                      <c:ext xmlns:c15="http://schemas.microsoft.com/office/drawing/2012/chart" uri="{02D57815-91ED-43cb-92C2-25804820EDAC}">
                        <c15:formulaRef>
                          <c15:sqref>画图!$H$3</c15:sqref>
                        </c15:formulaRef>
                      </c:ext>
                    </c:extLst>
                    <c:strCache>
                      <c:ptCount val="1"/>
                      <c:pt idx="0">
                        <c:v>公路货运占比</c:v>
                      </c:pt>
                    </c:strCache>
                  </c:strRef>
                </c:tx>
                <c:spPr>
                  <a:solidFill>
                    <a:schemeClr val="accent6"/>
                  </a:solidFill>
                  <a:ln w="19050">
                    <a:solidFill>
                      <a:srgbClr val="ED7D31"/>
                    </a:solidFill>
                  </a:ln>
                  <a:effectLst/>
                </c:spPr>
                <c:invertIfNegative val="0"/>
                <c:cat>
                  <c:numRef>
                    <c:extLst xmlns:c15="http://schemas.microsoft.com/office/drawing/2012/chart">
                      <c:ext xmlns:c15="http://schemas.microsoft.com/office/drawing/2012/chart" uri="{02D57815-91ED-43cb-92C2-25804820EDAC}">
                        <c15:formulaRef>
                          <c15:sqref>画图!$D$4:$D$17</c15:sqref>
                        </c15:formulaRef>
                      </c:ext>
                    </c:extLst>
                    <c:numCache>
                      <c:formatCode>General</c:formatCode>
                      <c:ptCount val="14"/>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numCache>
                  </c:numRef>
                </c:cat>
                <c:val>
                  <c:numRef>
                    <c:extLst xmlns:c15="http://schemas.microsoft.com/office/drawing/2012/chart">
                      <c:ext xmlns:c15="http://schemas.microsoft.com/office/drawing/2012/chart" uri="{02D57815-91ED-43cb-92C2-25804820EDAC}">
                        <c15:formulaRef>
                          <c15:sqref>画图!$H$4:$H$19</c15:sqref>
                        </c15:formulaRef>
                      </c:ext>
                    </c:extLst>
                    <c:numCache>
                      <c:formatCode>0%</c:formatCode>
                      <c:ptCount val="16"/>
                      <c:pt idx="0">
                        <c:v>0.71121626245141156</c:v>
                      </c:pt>
                      <c:pt idx="1">
                        <c:v>0.7395808776050391</c:v>
                      </c:pt>
                      <c:pt idx="2">
                        <c:v>0.73950417404411617</c:v>
                      </c:pt>
                      <c:pt idx="3">
                        <c:v>0.75901962624943498</c:v>
                      </c:pt>
                      <c:pt idx="4">
                        <c:v>0.76416747746472247</c:v>
                      </c:pt>
                      <c:pt idx="5">
                        <c:v>0.76925373181227574</c:v>
                      </c:pt>
                      <c:pt idx="6">
                        <c:v>0.7764313534439361</c:v>
                      </c:pt>
                      <c:pt idx="7">
                        <c:v>0.79052039969068433</c:v>
                      </c:pt>
                      <c:pt idx="8">
                        <c:v>0.76386590034442492</c:v>
                      </c:pt>
                      <c:pt idx="9">
                        <c:v>0.77292246301501777</c:v>
                      </c:pt>
                      <c:pt idx="10">
                        <c:v>0.76806801366614896</c:v>
                      </c:pt>
                      <c:pt idx="11">
                        <c:v>0.77576937873672636</c:v>
                      </c:pt>
                      <c:pt idx="12">
                        <c:v>0.77965575752695371</c:v>
                      </c:pt>
                      <c:pt idx="13">
                        <c:v>0.77957021288793937</c:v>
                      </c:pt>
                      <c:pt idx="14">
                        <c:v>0.74194228114500604</c:v>
                      </c:pt>
                      <c:pt idx="15">
                        <c:v>0.72332272471262571</c:v>
                      </c:pt>
                    </c:numCache>
                  </c:numRef>
                </c:val>
                <c:extLst xmlns:c15="http://schemas.microsoft.com/office/drawing/2012/chart">
                  <c:ext xmlns:c16="http://schemas.microsoft.com/office/drawing/2014/chart" uri="{C3380CC4-5D6E-409C-BE32-E72D297353CC}">
                    <c16:uniqueId val="{00000005-6C62-4492-8A40-FCFE3E468471}"/>
                  </c:ext>
                </c:extLst>
              </c15:ser>
            </c15:filteredBarSeries>
            <c15:filteredBarSeries>
              <c15:ser>
                <c:idx val="6"/>
                <c:order val="6"/>
                <c:tx>
                  <c:strRef>
                    <c:extLst xmlns:c15="http://schemas.microsoft.com/office/drawing/2012/chart">
                      <c:ext xmlns:c15="http://schemas.microsoft.com/office/drawing/2012/chart" uri="{02D57815-91ED-43cb-92C2-25804820EDAC}">
                        <c15:formulaRef>
                          <c15:sqref>画图!$J$3</c15:sqref>
                        </c15:formulaRef>
                      </c:ext>
                    </c:extLst>
                    <c:strCache>
                      <c:ptCount val="1"/>
                      <c:pt idx="0">
                        <c:v>水路货运占比</c:v>
                      </c:pt>
                    </c:strCache>
                  </c:strRef>
                </c:tx>
                <c:spPr>
                  <a:solidFill>
                    <a:schemeClr val="accent1">
                      <a:lumMod val="60000"/>
                    </a:schemeClr>
                  </a:solidFill>
                  <a:ln w="19050">
                    <a:solidFill>
                      <a:srgbClr val="5B9BD5"/>
                    </a:solidFill>
                  </a:ln>
                  <a:effectLst/>
                </c:spPr>
                <c:invertIfNegative val="0"/>
                <c:cat>
                  <c:numRef>
                    <c:extLst xmlns:c15="http://schemas.microsoft.com/office/drawing/2012/chart">
                      <c:ext xmlns:c15="http://schemas.microsoft.com/office/drawing/2012/chart" uri="{02D57815-91ED-43cb-92C2-25804820EDAC}">
                        <c15:formulaRef>
                          <c15:sqref>画图!$D$4:$D$17</c15:sqref>
                        </c15:formulaRef>
                      </c:ext>
                    </c:extLst>
                    <c:numCache>
                      <c:formatCode>General</c:formatCode>
                      <c:ptCount val="14"/>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numCache>
                  </c:numRef>
                </c:cat>
                <c:val>
                  <c:numRef>
                    <c:extLst xmlns:c15="http://schemas.microsoft.com/office/drawing/2012/chart">
                      <c:ext xmlns:c15="http://schemas.microsoft.com/office/drawing/2012/chart" uri="{02D57815-91ED-43cb-92C2-25804820EDAC}">
                        <c15:formulaRef>
                          <c15:sqref>画图!$J$4:$J$19</c15:sqref>
                        </c15:formulaRef>
                      </c:ext>
                    </c:extLst>
                    <c:numCache>
                      <c:formatCode>0%</c:formatCode>
                      <c:ptCount val="16"/>
                      <c:pt idx="0">
                        <c:v>0.10474186822640429</c:v>
                      </c:pt>
                      <c:pt idx="1">
                        <c:v>9.8002158165899952E-2</c:v>
                      </c:pt>
                      <c:pt idx="2">
                        <c:v>0.10027557514334941</c:v>
                      </c:pt>
                      <c:pt idx="3">
                        <c:v>9.4382195378039005E-2</c:v>
                      </c:pt>
                      <c:pt idx="4">
                        <c:v>0.10042300082765947</c:v>
                      </c:pt>
                      <c:pt idx="5">
                        <c:v>0.10083473818004138</c:v>
                      </c:pt>
                      <c:pt idx="6">
                        <c:v>9.9803682714594111E-2</c:v>
                      </c:pt>
                      <c:pt idx="7">
                        <c:v>9.7411154159783547E-2</c:v>
                      </c:pt>
                      <c:pt idx="8">
                        <c:v>0.12131082328163752</c:v>
                      </c:pt>
                      <c:pt idx="9">
                        <c:v>0.12140689792017578</c:v>
                      </c:pt>
                      <c:pt idx="10">
                        <c:v>0.13140058811577385</c:v>
                      </c:pt>
                      <c:pt idx="11">
                        <c:v>0.12967024751577577</c:v>
                      </c:pt>
                      <c:pt idx="12">
                        <c:v>0.12514586164649194</c:v>
                      </c:pt>
                      <c:pt idx="13">
                        <c:v>0.1232725320842032</c:v>
                      </c:pt>
                      <c:pt idx="14">
                        <c:v>0.14339970155153078</c:v>
                      </c:pt>
                      <c:pt idx="15">
                        <c:v>0.160860353791449</c:v>
                      </c:pt>
                    </c:numCache>
                  </c:numRef>
                </c:val>
                <c:extLst xmlns:c15="http://schemas.microsoft.com/office/drawing/2012/chart">
                  <c:ext xmlns:c16="http://schemas.microsoft.com/office/drawing/2014/chart" uri="{C3380CC4-5D6E-409C-BE32-E72D297353CC}">
                    <c16:uniqueId val="{00000006-6C62-4492-8A40-FCFE3E468471}"/>
                  </c:ext>
                </c:extLst>
              </c15:ser>
            </c15:filteredBarSeries>
            <c15:filteredBarSeries>
              <c15:ser>
                <c:idx val="7"/>
                <c:order val="7"/>
                <c:tx>
                  <c:strRef>
                    <c:extLst xmlns:c15="http://schemas.microsoft.com/office/drawing/2012/chart">
                      <c:ext xmlns:c15="http://schemas.microsoft.com/office/drawing/2012/chart" uri="{02D57815-91ED-43cb-92C2-25804820EDAC}">
                        <c15:formulaRef>
                          <c15:sqref>画图!$L$3</c15:sqref>
                        </c15:formulaRef>
                      </c:ext>
                    </c:extLst>
                    <c:strCache>
                      <c:ptCount val="1"/>
                      <c:pt idx="0">
                        <c:v>民航货运占比</c:v>
                      </c:pt>
                    </c:strCache>
                  </c:strRef>
                </c:tx>
                <c:spPr>
                  <a:solidFill>
                    <a:schemeClr val="accent2">
                      <a:lumMod val="60000"/>
                    </a:schemeClr>
                  </a:solidFill>
                  <a:ln w="19050">
                    <a:solidFill>
                      <a:srgbClr val="70AD47"/>
                    </a:solidFill>
                  </a:ln>
                  <a:effectLst/>
                </c:spPr>
                <c:invertIfNegative val="0"/>
                <c:cat>
                  <c:numRef>
                    <c:extLst xmlns:c15="http://schemas.microsoft.com/office/drawing/2012/chart">
                      <c:ext xmlns:c15="http://schemas.microsoft.com/office/drawing/2012/chart" uri="{02D57815-91ED-43cb-92C2-25804820EDAC}">
                        <c15:formulaRef>
                          <c15:sqref>画图!$D$4:$D$17</c15:sqref>
                        </c15:formulaRef>
                      </c:ext>
                    </c:extLst>
                    <c:numCache>
                      <c:formatCode>General</c:formatCode>
                      <c:ptCount val="14"/>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numCache>
                  </c:numRef>
                </c:cat>
                <c:val>
                  <c:numRef>
                    <c:extLst xmlns:c15="http://schemas.microsoft.com/office/drawing/2012/chart">
                      <c:ext xmlns:c15="http://schemas.microsoft.com/office/drawing/2012/chart" uri="{02D57815-91ED-43cb-92C2-25804820EDAC}">
                        <c15:formulaRef>
                          <c15:sqref>画图!$L$4:$L$19</c15:sqref>
                        </c15:formulaRef>
                      </c:ext>
                    </c:extLst>
                    <c:numCache>
                      <c:formatCode>0.00%</c:formatCode>
                      <c:ptCount val="16"/>
                      <c:pt idx="0">
                        <c:v>1.8775178834037518E-4</c:v>
                      </c:pt>
                      <c:pt idx="1">
                        <c:v>1.7623239353147422E-4</c:v>
                      </c:pt>
                      <c:pt idx="2">
                        <c:v>1.8124483172558611E-4</c:v>
                      </c:pt>
                      <c:pt idx="3">
                        <c:v>1.6140254573208981E-4</c:v>
                      </c:pt>
                      <c:pt idx="4">
                        <c:v>1.5999464762220784E-4</c:v>
                      </c:pt>
                      <c:pt idx="5">
                        <c:v>1.769085621544509E-4</c:v>
                      </c:pt>
                      <c:pt idx="6">
                        <c:v>1.5349118100244473E-4</c:v>
                      </c:pt>
                      <c:pt idx="7">
                        <c:v>1.3512109701471628E-4</c:v>
                      </c:pt>
                      <c:pt idx="8">
                        <c:v>1.3936096010639201E-4</c:v>
                      </c:pt>
                      <c:pt idx="9">
                        <c:v>1.3778001538562834E-4</c:v>
                      </c:pt>
                      <c:pt idx="10">
                        <c:v>1.5344292095241508E-4</c:v>
                      </c:pt>
                      <c:pt idx="11">
                        <c:v>1.5509351000991624E-4</c:v>
                      </c:pt>
                      <c:pt idx="12">
                        <c:v>1.4927418677975444E-4</c:v>
                      </c:pt>
                      <c:pt idx="13">
                        <c:v>1.4549586853793202E-4</c:v>
                      </c:pt>
                      <c:pt idx="14">
                        <c:v>1.6264204102177385E-4</c:v>
                      </c:pt>
                      <c:pt idx="15">
                        <c:v>1.42916613539122E-4</c:v>
                      </c:pt>
                    </c:numCache>
                  </c:numRef>
                </c:val>
                <c:extLst xmlns:c15="http://schemas.microsoft.com/office/drawing/2012/chart">
                  <c:ext xmlns:c16="http://schemas.microsoft.com/office/drawing/2014/chart" uri="{C3380CC4-5D6E-409C-BE32-E72D297353CC}">
                    <c16:uniqueId val="{00000007-6C62-4492-8A40-FCFE3E468471}"/>
                  </c:ext>
                </c:extLst>
              </c15:ser>
            </c15:filteredBarSeries>
            <c15:filteredBarSeries>
              <c15:ser>
                <c:idx val="8"/>
                <c:order val="8"/>
                <c:tx>
                  <c:strRef>
                    <c:extLst xmlns:c15="http://schemas.microsoft.com/office/drawing/2012/chart">
                      <c:ext xmlns:c15="http://schemas.microsoft.com/office/drawing/2012/chart" uri="{02D57815-91ED-43cb-92C2-25804820EDAC}">
                        <c15:formulaRef>
                          <c15:sqref>画图!$N$3</c15:sqref>
                        </c15:formulaRef>
                      </c:ext>
                    </c:extLst>
                    <c:strCache>
                      <c:ptCount val="1"/>
                      <c:pt idx="0">
                        <c:v>管道货运量</c:v>
                      </c:pt>
                    </c:strCache>
                  </c:strRef>
                </c:tx>
                <c:spPr>
                  <a:pattFill prst="openDmnd">
                    <a:fgClr>
                      <a:srgbClr val="FFC000">
                        <a:lumMod val="50000"/>
                      </a:srgbClr>
                    </a:fgClr>
                    <a:bgClr>
                      <a:sysClr val="window" lastClr="FFFFFF"/>
                    </a:bgClr>
                  </a:pattFill>
                  <a:ln>
                    <a:solidFill>
                      <a:srgbClr val="FFC000">
                        <a:lumMod val="50000"/>
                      </a:srgbClr>
                    </a:solidFill>
                  </a:ln>
                  <a:effectLst/>
                </c:spPr>
                <c:invertIfNegative val="0"/>
                <c:cat>
                  <c:numRef>
                    <c:extLst xmlns:c15="http://schemas.microsoft.com/office/drawing/2012/chart">
                      <c:ext xmlns:c15="http://schemas.microsoft.com/office/drawing/2012/chart" uri="{02D57815-91ED-43cb-92C2-25804820EDAC}">
                        <c15:formulaRef>
                          <c15:sqref>画图!$D$4:$D$19</c15:sqref>
                        </c15:formulaRef>
                      </c:ext>
                    </c:extLst>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extLst xmlns:c15="http://schemas.microsoft.com/office/drawing/2012/chart">
                      <c:ext xmlns:c15="http://schemas.microsoft.com/office/drawing/2012/chart" uri="{02D57815-91ED-43cb-92C2-25804820EDAC}">
                        <c15:formulaRef>
                          <c15:sqref>画图!$N$4:$N$19</c15:sqref>
                        </c15:formulaRef>
                      </c:ext>
                    </c:extLst>
                    <c:numCache>
                      <c:formatCode>0.000</c:formatCode>
                      <c:ptCount val="16"/>
                      <c:pt idx="0">
                        <c:v>3.1036999999999999</c:v>
                      </c:pt>
                      <c:pt idx="1">
                        <c:v>3.3435999999999999</c:v>
                      </c:pt>
                      <c:pt idx="2">
                        <c:v>4.0552000000000001</c:v>
                      </c:pt>
                      <c:pt idx="3">
                        <c:v>4.3906000000000001</c:v>
                      </c:pt>
                      <c:pt idx="4">
                        <c:v>4.4598000000000004</c:v>
                      </c:pt>
                      <c:pt idx="5">
                        <c:v>4.9972000000000003</c:v>
                      </c:pt>
                      <c:pt idx="6">
                        <c:v>5.7073</c:v>
                      </c:pt>
                      <c:pt idx="7">
                        <c:v>6.2274000000000003</c:v>
                      </c:pt>
                      <c:pt idx="8">
                        <c:v>6.5209000000000001</c:v>
                      </c:pt>
                      <c:pt idx="9">
                        <c:v>7.3752000000000004</c:v>
                      </c:pt>
                      <c:pt idx="10">
                        <c:v>7.5869999999999997</c:v>
                      </c:pt>
                      <c:pt idx="11">
                        <c:v>7.3411</c:v>
                      </c:pt>
                      <c:pt idx="12">
                        <c:v>8.0576000000000008</c:v>
                      </c:pt>
                      <c:pt idx="13">
                        <c:v>8.9807000000000006</c:v>
                      </c:pt>
                      <c:pt idx="14">
                        <c:v>9.1260999999999992</c:v>
                      </c:pt>
                      <c:pt idx="15">
                        <c:v>9.2714999999999996</c:v>
                      </c:pt>
                    </c:numCache>
                  </c:numRef>
                </c:val>
                <c:extLst xmlns:c15="http://schemas.microsoft.com/office/drawing/2012/chart">
                  <c:ext xmlns:c16="http://schemas.microsoft.com/office/drawing/2014/chart" uri="{C3380CC4-5D6E-409C-BE32-E72D297353CC}">
                    <c16:uniqueId val="{00000008-6C62-4492-8A40-FCFE3E468471}"/>
                  </c:ext>
                </c:extLst>
              </c15:ser>
            </c15:filteredBarSeries>
            <c15:filteredBarSeries>
              <c15:ser>
                <c:idx val="9"/>
                <c:order val="9"/>
                <c:tx>
                  <c:strRef>
                    <c:extLst xmlns:c15="http://schemas.microsoft.com/office/drawing/2012/chart">
                      <c:ext xmlns:c15="http://schemas.microsoft.com/office/drawing/2012/chart" uri="{02D57815-91ED-43cb-92C2-25804820EDAC}">
                        <c15:formulaRef>
                          <c15:sqref>画图!$O$3</c15:sqref>
                        </c15:formulaRef>
                      </c:ext>
                    </c:extLst>
                    <c:strCache>
                      <c:ptCount val="1"/>
                      <c:pt idx="0">
                        <c:v>管道货运占比</c:v>
                      </c:pt>
                    </c:strCache>
                  </c:strRef>
                </c:tx>
                <c:spPr>
                  <a:solidFill>
                    <a:schemeClr val="accent4">
                      <a:lumMod val="60000"/>
                    </a:schemeClr>
                  </a:solidFill>
                  <a:ln w="19050">
                    <a:noFill/>
                  </a:ln>
                  <a:effectLst/>
                </c:spPr>
                <c:invertIfNegative val="0"/>
                <c:cat>
                  <c:numRef>
                    <c:extLst xmlns:c15="http://schemas.microsoft.com/office/drawing/2012/chart">
                      <c:ext xmlns:c15="http://schemas.microsoft.com/office/drawing/2012/chart" uri="{02D57815-91ED-43cb-92C2-25804820EDAC}">
                        <c15:formulaRef>
                          <c15:sqref>画图!$D$4:$D$17</c15:sqref>
                        </c15:formulaRef>
                      </c:ext>
                    </c:extLst>
                    <c:numCache>
                      <c:formatCode>General</c:formatCode>
                      <c:ptCount val="14"/>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numCache>
                  </c:numRef>
                </c:cat>
                <c:val>
                  <c:numRef>
                    <c:extLst xmlns:c15="http://schemas.microsoft.com/office/drawing/2012/chart">
                      <c:ext xmlns:c15="http://schemas.microsoft.com/office/drawing/2012/chart" uri="{02D57815-91ED-43cb-92C2-25804820EDAC}">
                        <c15:formulaRef>
                          <c15:sqref>画图!$O$4:$O$19</c15:sqref>
                        </c15:formulaRef>
                      </c:ext>
                    </c:extLst>
                    <c:numCache>
                      <c:formatCode>0.00%</c:formatCode>
                      <c:ptCount val="16"/>
                      <c:pt idx="0">
                        <c:v>1.8999844325791406E-2</c:v>
                      </c:pt>
                      <c:pt idx="1">
                        <c:v>1.686464313142064E-2</c:v>
                      </c:pt>
                      <c:pt idx="2">
                        <c:v>1.8292285754444918E-2</c:v>
                      </c:pt>
                      <c:pt idx="3">
                        <c:v>1.7386016125890909E-2</c:v>
                      </c:pt>
                      <c:pt idx="4">
                        <c:v>1.6016703242772674E-2</c:v>
                      </c:pt>
                      <c:pt idx="5">
                        <c:v>1.570244168380501E-2</c:v>
                      </c:pt>
                      <c:pt idx="6">
                        <c:v>1.5713367127089737E-2</c:v>
                      </c:pt>
                      <c:pt idx="7">
                        <c:v>1.5439506780723748E-2</c:v>
                      </c:pt>
                      <c:pt idx="8">
                        <c:v>1.6190252712591693E-2</c:v>
                      </c:pt>
                      <c:pt idx="9">
                        <c:v>1.7104109905269924E-2</c:v>
                      </c:pt>
                      <c:pt idx="10">
                        <c:v>1.8499466729158958E-2</c:v>
                      </c:pt>
                      <c:pt idx="11">
                        <c:v>1.7044265963080781E-2</c:v>
                      </c:pt>
                      <c:pt idx="12">
                        <c:v>1.7039122926711284E-2</c:v>
                      </c:pt>
                      <c:pt idx="13">
                        <c:v>1.7693361497340639E-2</c:v>
                      </c:pt>
                      <c:pt idx="14">
                        <c:v>1.9709036390503389E-2</c:v>
                      </c:pt>
                      <c:pt idx="15">
                        <c:v>1.9572398558758784E-2</c:v>
                      </c:pt>
                    </c:numCache>
                  </c:numRef>
                </c:val>
                <c:extLst xmlns:c15="http://schemas.microsoft.com/office/drawing/2012/chart">
                  <c:ext xmlns:c16="http://schemas.microsoft.com/office/drawing/2014/chart" uri="{C3380CC4-5D6E-409C-BE32-E72D297353CC}">
                    <c16:uniqueId val="{00000009-6C62-4492-8A40-FCFE3E468471}"/>
                  </c:ext>
                </c:extLst>
              </c15:ser>
            </c15:filteredBarSeries>
          </c:ext>
        </c:extLst>
      </c:barChart>
      <c:catAx>
        <c:axId val="529247608"/>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529249904"/>
        <c:crosses val="autoZero"/>
        <c:auto val="1"/>
        <c:lblAlgn val="ctr"/>
        <c:lblOffset val="100"/>
        <c:noMultiLvlLbl val="0"/>
      </c:catAx>
      <c:valAx>
        <c:axId val="529249904"/>
        <c:scaling>
          <c:orientation val="minMax"/>
        </c:scaling>
        <c:delete val="0"/>
        <c:axPos val="l"/>
        <c:numFmt formatCode="0%" sourceLinked="0"/>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529247608"/>
        <c:crosses val="autoZero"/>
        <c:crossBetween val="between"/>
      </c:valAx>
      <c:spPr>
        <a:noFill/>
        <a:ln w="6350">
          <a:solidFill>
            <a:sysClr val="windowText" lastClr="000000"/>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华文楷体" panose="02010600040101010101" pitchFamily="2" charset="-122"/>
              <a:ea typeface="华文楷体" panose="02010600040101010101" pitchFamily="2" charset="-122"/>
              <a:cs typeface="Times New Roman" panose="02020603050405020304" pitchFamily="18" charset="0"/>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userShapes r:id="rId5"/>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1"/>
          <c:order val="1"/>
          <c:tx>
            <c:strRef>
              <c:f>画图!$I$257</c:f>
              <c:strCache>
                <c:ptCount val="1"/>
                <c:pt idx="0">
                  <c:v>城市客运量</c:v>
                </c:pt>
              </c:strCache>
            </c:strRef>
          </c:tx>
          <c:spPr>
            <a:solidFill>
              <a:schemeClr val="accent4"/>
            </a:solidFill>
            <a:ln>
              <a:noFill/>
            </a:ln>
            <a:effectLst/>
          </c:spPr>
          <c:invertIfNegative val="0"/>
          <c:cat>
            <c:numRef>
              <c:f>画图!$G$258:$G$273</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画图!$I$258:$I$273</c:f>
              <c:numCache>
                <c:formatCode>0_);[Red]\(0\)</c:formatCode>
                <c:ptCount val="16"/>
                <c:pt idx="0">
                  <c:v>1250.537372892672</c:v>
                </c:pt>
                <c:pt idx="1">
                  <c:v>1303.8762888695037</c:v>
                </c:pt>
                <c:pt idx="2">
                  <c:v>1354.9505679663362</c:v>
                </c:pt>
                <c:pt idx="3">
                  <c:v>1426.2880025431677</c:v>
                </c:pt>
                <c:pt idx="4">
                  <c:v>1505.9372947800002</c:v>
                </c:pt>
                <c:pt idx="5">
                  <c:v>1593.440428176832</c:v>
                </c:pt>
                <c:pt idx="6">
                  <c:v>1651.580595056832</c:v>
                </c:pt>
                <c:pt idx="7">
                  <c:v>1747.7161879151608</c:v>
                </c:pt>
                <c:pt idx="8">
                  <c:v>1870.137405399523</c:v>
                </c:pt>
                <c:pt idx="9">
                  <c:v>1978.1353948500098</c:v>
                </c:pt>
                <c:pt idx="10">
                  <c:v>2065.3968726579369</c:v>
                </c:pt>
                <c:pt idx="11">
                  <c:v>2097.9570942674723</c:v>
                </c:pt>
                <c:pt idx="12">
                  <c:v>2234.2353608799708</c:v>
                </c:pt>
                <c:pt idx="13">
                  <c:v>2407.5513152000003</c:v>
                </c:pt>
                <c:pt idx="14">
                  <c:v>2568.6465909999997</c:v>
                </c:pt>
                <c:pt idx="15">
                  <c:v>1695.3450779999998</c:v>
                </c:pt>
              </c:numCache>
            </c:numRef>
          </c:val>
          <c:extLst>
            <c:ext xmlns:c16="http://schemas.microsoft.com/office/drawing/2014/chart" uri="{C3380CC4-5D6E-409C-BE32-E72D297353CC}">
              <c16:uniqueId val="{00000000-E49B-4386-BA73-0AC6B138D34B}"/>
            </c:ext>
          </c:extLst>
        </c:ser>
        <c:dLbls>
          <c:showLegendKey val="0"/>
          <c:showVal val="0"/>
          <c:showCatName val="0"/>
          <c:showSerName val="0"/>
          <c:showPercent val="0"/>
          <c:showBubbleSize val="0"/>
        </c:dLbls>
        <c:gapWidth val="150"/>
        <c:overlap val="100"/>
        <c:axId val="1351165823"/>
        <c:axId val="1585207727"/>
      </c:barChart>
      <c:lineChart>
        <c:grouping val="standard"/>
        <c:varyColors val="0"/>
        <c:ser>
          <c:idx val="0"/>
          <c:order val="0"/>
          <c:tx>
            <c:strRef>
              <c:f>画图!$H$257</c:f>
              <c:strCache>
                <c:ptCount val="1"/>
                <c:pt idx="0">
                  <c:v>人均GDP</c:v>
                </c:pt>
              </c:strCache>
            </c:strRef>
          </c:tx>
          <c:spPr>
            <a:ln w="28575" cap="rnd">
              <a:solidFill>
                <a:schemeClr val="accent2"/>
              </a:solidFill>
              <a:round/>
            </a:ln>
            <a:effectLst/>
          </c:spPr>
          <c:marker>
            <c:symbol val="none"/>
          </c:marker>
          <c:cat>
            <c:numRef>
              <c:f>画图!$G$258:$G$273</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画图!$H$258:$H$273</c:f>
              <c:numCache>
                <c:formatCode>0.0</c:formatCode>
                <c:ptCount val="16"/>
                <c:pt idx="0">
                  <c:v>14368</c:v>
                </c:pt>
                <c:pt idx="1">
                  <c:v>16738</c:v>
                </c:pt>
                <c:pt idx="2">
                  <c:v>20494</c:v>
                </c:pt>
                <c:pt idx="3">
                  <c:v>24100</c:v>
                </c:pt>
                <c:pt idx="4">
                  <c:v>26180</c:v>
                </c:pt>
                <c:pt idx="5">
                  <c:v>30808</c:v>
                </c:pt>
                <c:pt idx="6">
                  <c:v>36277</c:v>
                </c:pt>
                <c:pt idx="7">
                  <c:v>39771</c:v>
                </c:pt>
                <c:pt idx="8">
                  <c:v>43497</c:v>
                </c:pt>
                <c:pt idx="9">
                  <c:v>46912</c:v>
                </c:pt>
                <c:pt idx="10">
                  <c:v>49922</c:v>
                </c:pt>
                <c:pt idx="11">
                  <c:v>53783</c:v>
                </c:pt>
                <c:pt idx="12">
                  <c:v>59592</c:v>
                </c:pt>
                <c:pt idx="13">
                  <c:v>65534</c:v>
                </c:pt>
                <c:pt idx="14">
                  <c:v>70328</c:v>
                </c:pt>
                <c:pt idx="15">
                  <c:v>72000</c:v>
                </c:pt>
              </c:numCache>
            </c:numRef>
          </c:val>
          <c:smooth val="0"/>
          <c:extLst>
            <c:ext xmlns:c16="http://schemas.microsoft.com/office/drawing/2014/chart" uri="{C3380CC4-5D6E-409C-BE32-E72D297353CC}">
              <c16:uniqueId val="{00000001-E49B-4386-BA73-0AC6B138D34B}"/>
            </c:ext>
          </c:extLst>
        </c:ser>
        <c:dLbls>
          <c:showLegendKey val="0"/>
          <c:showVal val="0"/>
          <c:showCatName val="0"/>
          <c:showSerName val="0"/>
          <c:showPercent val="0"/>
          <c:showBubbleSize val="0"/>
        </c:dLbls>
        <c:marker val="1"/>
        <c:smooth val="0"/>
        <c:axId val="1350489423"/>
        <c:axId val="1585199823"/>
      </c:lineChart>
      <c:catAx>
        <c:axId val="1351165823"/>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585207727"/>
        <c:crosses val="autoZero"/>
        <c:auto val="1"/>
        <c:lblAlgn val="ctr"/>
        <c:lblOffset val="100"/>
        <c:noMultiLvlLbl val="0"/>
      </c:catAx>
      <c:valAx>
        <c:axId val="15852077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城市客运量（亿人次）</a:t>
                </a:r>
              </a:p>
            </c:rich>
          </c:tx>
          <c:layout>
            <c:manualLayout>
              <c:xMode val="edge"/>
              <c:yMode val="edge"/>
              <c:x val="1.9444444444444445E-2"/>
              <c:y val="0.1230291799273048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0_);[Red]\(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351165823"/>
        <c:crosses val="autoZero"/>
        <c:crossBetween val="between"/>
      </c:valAx>
      <c:valAx>
        <c:axId val="1585199823"/>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人均</a:t>
                </a:r>
                <a:r>
                  <a:rPr lang="en-US" altLang="zh-CN">
                    <a:solidFill>
                      <a:schemeClr val="tx1"/>
                    </a:solidFill>
                    <a:latin typeface="楷体" panose="02010609060101010101" pitchFamily="49" charset="-122"/>
                    <a:ea typeface="楷体" panose="02010609060101010101" pitchFamily="49" charset="-122"/>
                  </a:rPr>
                  <a:t>GDP</a:t>
                </a:r>
                <a:r>
                  <a:rPr lang="zh-CN" altLang="en-US">
                    <a:solidFill>
                      <a:schemeClr val="tx1"/>
                    </a:solidFill>
                    <a:latin typeface="楷体" panose="02010609060101010101" pitchFamily="49" charset="-122"/>
                    <a:ea typeface="楷体" panose="02010609060101010101" pitchFamily="49" charset="-122"/>
                  </a:rPr>
                  <a:t>（元）</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0_);[Red]\(#,##0\)" sourceLinked="0"/>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350489423"/>
        <c:crosses val="max"/>
        <c:crossBetween val="between"/>
      </c:valAx>
      <c:catAx>
        <c:axId val="1350489423"/>
        <c:scaling>
          <c:orientation val="minMax"/>
        </c:scaling>
        <c:delete val="1"/>
        <c:axPos val="b"/>
        <c:numFmt formatCode="General" sourceLinked="1"/>
        <c:majorTickMark val="out"/>
        <c:minorTickMark val="none"/>
        <c:tickLblPos val="nextTo"/>
        <c:crossAx val="158519982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楷体" panose="02010609060101010101" pitchFamily="49" charset="-122"/>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1"/>
          <c:order val="1"/>
          <c:tx>
            <c:strRef>
              <c:f>画图!$I$184</c:f>
              <c:strCache>
                <c:ptCount val="1"/>
                <c:pt idx="0">
                  <c:v>公共汽电车</c:v>
                </c:pt>
              </c:strCache>
            </c:strRef>
          </c:tx>
          <c:spPr>
            <a:solidFill>
              <a:schemeClr val="accent1"/>
            </a:solidFill>
            <a:ln>
              <a:noFill/>
            </a:ln>
            <a:effectLst/>
          </c:spPr>
          <c:invertIfNegative val="0"/>
          <c:cat>
            <c:numRef>
              <c:f>画图!$G$185:$G$200</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画图!$I$185:$I$200</c:f>
              <c:numCache>
                <c:formatCode>0_);[Red]\(0\)</c:formatCode>
                <c:ptCount val="16"/>
                <c:pt idx="0">
                  <c:v>637.73394381094397</c:v>
                </c:pt>
                <c:pt idx="1">
                  <c:v>653.30045785820801</c:v>
                </c:pt>
                <c:pt idx="2">
                  <c:v>668.86697190547204</c:v>
                </c:pt>
                <c:pt idx="3">
                  <c:v>684.43348595273596</c:v>
                </c:pt>
                <c:pt idx="4">
                  <c:v>700</c:v>
                </c:pt>
                <c:pt idx="5">
                  <c:v>713.56651404726404</c:v>
                </c:pt>
                <c:pt idx="6">
                  <c:v>715.56651404726392</c:v>
                </c:pt>
                <c:pt idx="7">
                  <c:v>749.91370672153266</c:v>
                </c:pt>
                <c:pt idx="8">
                  <c:v>770.91129050973564</c:v>
                </c:pt>
                <c:pt idx="9">
                  <c:v>781.70404857687197</c:v>
                </c:pt>
                <c:pt idx="10">
                  <c:v>765.28826355675767</c:v>
                </c:pt>
                <c:pt idx="11">
                  <c:v>745.39076870428198</c:v>
                </c:pt>
                <c:pt idx="12">
                  <c:v>723.02904564315349</c:v>
                </c:pt>
                <c:pt idx="13">
                  <c:v>697</c:v>
                </c:pt>
                <c:pt idx="14">
                  <c:v>691</c:v>
                </c:pt>
                <c:pt idx="15">
                  <c:v>205.27</c:v>
                </c:pt>
              </c:numCache>
            </c:numRef>
          </c:val>
          <c:extLst>
            <c:ext xmlns:c16="http://schemas.microsoft.com/office/drawing/2014/chart" uri="{C3380CC4-5D6E-409C-BE32-E72D297353CC}">
              <c16:uniqueId val="{00000000-6062-4EAE-8B92-338289739A47}"/>
            </c:ext>
          </c:extLst>
        </c:ser>
        <c:ser>
          <c:idx val="2"/>
          <c:order val="2"/>
          <c:tx>
            <c:strRef>
              <c:f>画图!$J$184</c:f>
              <c:strCache>
                <c:ptCount val="1"/>
                <c:pt idx="0">
                  <c:v>轨道交通</c:v>
                </c:pt>
              </c:strCache>
            </c:strRef>
          </c:tx>
          <c:spPr>
            <a:solidFill>
              <a:schemeClr val="accent6"/>
            </a:solidFill>
            <a:ln>
              <a:noFill/>
            </a:ln>
            <a:effectLst/>
          </c:spPr>
          <c:invertIfNegative val="0"/>
          <c:cat>
            <c:numRef>
              <c:f>画图!$G$185:$G$200</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画图!$J$185:$J$200</c:f>
              <c:numCache>
                <c:formatCode>0_);[Red]\(0\)</c:formatCode>
                <c:ptCount val="16"/>
                <c:pt idx="0">
                  <c:v>62.611184332737203</c:v>
                </c:pt>
                <c:pt idx="1">
                  <c:v>64.458388249552897</c:v>
                </c:pt>
                <c:pt idx="2">
                  <c:v>66.305592166368598</c:v>
                </c:pt>
                <c:pt idx="3">
                  <c:v>68.152796083184299</c:v>
                </c:pt>
                <c:pt idx="4">
                  <c:v>70</c:v>
                </c:pt>
                <c:pt idx="5">
                  <c:v>71.847203916815701</c:v>
                </c:pt>
                <c:pt idx="6">
                  <c:v>71.847203916815701</c:v>
                </c:pt>
                <c:pt idx="7">
                  <c:v>87.940977594182414</c:v>
                </c:pt>
                <c:pt idx="8">
                  <c:v>110.01416297032219</c:v>
                </c:pt>
                <c:pt idx="9">
                  <c:v>127.61642904557374</c:v>
                </c:pt>
                <c:pt idx="10">
                  <c:v>141.01615409535898</c:v>
                </c:pt>
                <c:pt idx="11">
                  <c:v>162.73264182604427</c:v>
                </c:pt>
                <c:pt idx="12">
                  <c:v>184.37608318890815</c:v>
                </c:pt>
                <c:pt idx="13">
                  <c:v>212.77</c:v>
                </c:pt>
                <c:pt idx="14">
                  <c:v>238</c:v>
                </c:pt>
                <c:pt idx="15">
                  <c:v>170.93</c:v>
                </c:pt>
              </c:numCache>
            </c:numRef>
          </c:val>
          <c:extLst>
            <c:ext xmlns:c16="http://schemas.microsoft.com/office/drawing/2014/chart" uri="{C3380CC4-5D6E-409C-BE32-E72D297353CC}">
              <c16:uniqueId val="{00000001-6062-4EAE-8B92-338289739A47}"/>
            </c:ext>
          </c:extLst>
        </c:ser>
        <c:ser>
          <c:idx val="3"/>
          <c:order val="3"/>
          <c:tx>
            <c:strRef>
              <c:f>画图!$K$184</c:f>
              <c:strCache>
                <c:ptCount val="1"/>
                <c:pt idx="0">
                  <c:v>巡游出租车</c:v>
                </c:pt>
              </c:strCache>
            </c:strRef>
          </c:tx>
          <c:spPr>
            <a:solidFill>
              <a:schemeClr val="accent2">
                <a:lumMod val="60000"/>
              </a:schemeClr>
            </a:solidFill>
            <a:ln>
              <a:noFill/>
            </a:ln>
            <a:effectLst/>
          </c:spPr>
          <c:invertIfNegative val="0"/>
          <c:cat>
            <c:numRef>
              <c:f>画图!$G$185:$G$200</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画图!$K$185:$K$200</c:f>
              <c:numCache>
                <c:formatCode>0_);[Red]\(0\)</c:formatCode>
                <c:ptCount val="16"/>
                <c:pt idx="0">
                  <c:v>326.48576092424003</c:v>
                </c:pt>
                <c:pt idx="1">
                  <c:v>336.61432069317999</c:v>
                </c:pt>
                <c:pt idx="2">
                  <c:v>346.74288046212001</c:v>
                </c:pt>
                <c:pt idx="3">
                  <c:v>356.87144023105998</c:v>
                </c:pt>
                <c:pt idx="4">
                  <c:v>367</c:v>
                </c:pt>
                <c:pt idx="5">
                  <c:v>377.12855976893991</c:v>
                </c:pt>
                <c:pt idx="6">
                  <c:v>377.12855976893991</c:v>
                </c:pt>
                <c:pt idx="7">
                  <c:v>390.32805936085276</c:v>
                </c:pt>
                <c:pt idx="8">
                  <c:v>402.42822920103919</c:v>
                </c:pt>
                <c:pt idx="9">
                  <c:v>406.4525114930496</c:v>
                </c:pt>
                <c:pt idx="10">
                  <c:v>397.10410372870945</c:v>
                </c:pt>
                <c:pt idx="11">
                  <c:v>377.64600264600267</c:v>
                </c:pt>
                <c:pt idx="12">
                  <c:v>365.56133056133058</c:v>
                </c:pt>
                <c:pt idx="13">
                  <c:v>351.67</c:v>
                </c:pt>
                <c:pt idx="14">
                  <c:v>347</c:v>
                </c:pt>
                <c:pt idx="15">
                  <c:v>320</c:v>
                </c:pt>
              </c:numCache>
            </c:numRef>
          </c:val>
          <c:extLst>
            <c:ext xmlns:c16="http://schemas.microsoft.com/office/drawing/2014/chart" uri="{C3380CC4-5D6E-409C-BE32-E72D297353CC}">
              <c16:uniqueId val="{00000002-6062-4EAE-8B92-338289739A47}"/>
            </c:ext>
          </c:extLst>
        </c:ser>
        <c:ser>
          <c:idx val="4"/>
          <c:order val="4"/>
          <c:tx>
            <c:strRef>
              <c:f>画图!$L$184</c:f>
              <c:strCache>
                <c:ptCount val="1"/>
                <c:pt idx="0">
                  <c:v>轮渡</c:v>
                </c:pt>
              </c:strCache>
            </c:strRef>
          </c:tx>
          <c:spPr>
            <a:solidFill>
              <a:schemeClr val="accent4">
                <a:lumMod val="60000"/>
              </a:schemeClr>
            </a:solidFill>
            <a:ln>
              <a:noFill/>
            </a:ln>
            <a:effectLst/>
          </c:spPr>
          <c:invertIfNegative val="0"/>
          <c:cat>
            <c:numRef>
              <c:f>画图!$G$185:$G$200</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画图!$L$185:$L$200</c:f>
              <c:numCache>
                <c:formatCode>0_);[Red]\(0\)</c:formatCode>
                <c:ptCount val="16"/>
                <c:pt idx="0">
                  <c:v>1.73159550475056</c:v>
                </c:pt>
                <c:pt idx="1">
                  <c:v>1.7111966285629201</c:v>
                </c:pt>
                <c:pt idx="2">
                  <c:v>1.69079775237528</c:v>
                </c:pt>
                <c:pt idx="3">
                  <c:v>1.67039887618764</c:v>
                </c:pt>
                <c:pt idx="4">
                  <c:v>1.65</c:v>
                </c:pt>
                <c:pt idx="5">
                  <c:v>1.62960112381236</c:v>
                </c:pt>
                <c:pt idx="6">
                  <c:v>1.6296011238123649</c:v>
                </c:pt>
                <c:pt idx="7">
                  <c:v>1.2450152585926468</c:v>
                </c:pt>
                <c:pt idx="8">
                  <c:v>1.0034822984256733</c:v>
                </c:pt>
                <c:pt idx="9">
                  <c:v>1.0105066745146529</c:v>
                </c:pt>
                <c:pt idx="10">
                  <c:v>1.0052520398071767</c:v>
                </c:pt>
                <c:pt idx="11">
                  <c:v>0.93287389294105993</c:v>
                </c:pt>
                <c:pt idx="12">
                  <c:v>0.82559339525283804</c:v>
                </c:pt>
                <c:pt idx="13">
                  <c:v>0.8</c:v>
                </c:pt>
                <c:pt idx="14">
                  <c:v>1.3</c:v>
                </c:pt>
                <c:pt idx="15">
                  <c:v>1</c:v>
                </c:pt>
              </c:numCache>
            </c:numRef>
          </c:val>
          <c:extLst>
            <c:ext xmlns:c16="http://schemas.microsoft.com/office/drawing/2014/chart" uri="{C3380CC4-5D6E-409C-BE32-E72D297353CC}">
              <c16:uniqueId val="{00000003-6062-4EAE-8B92-338289739A47}"/>
            </c:ext>
          </c:extLst>
        </c:ser>
        <c:ser>
          <c:idx val="5"/>
          <c:order val="5"/>
          <c:tx>
            <c:strRef>
              <c:f>画图!$M$184</c:f>
              <c:strCache>
                <c:ptCount val="1"/>
                <c:pt idx="0">
                  <c:v>摩托车</c:v>
                </c:pt>
              </c:strCache>
            </c:strRef>
          </c:tx>
          <c:spPr>
            <a:solidFill>
              <a:schemeClr val="accent6">
                <a:lumMod val="60000"/>
              </a:schemeClr>
            </a:solidFill>
            <a:ln>
              <a:noFill/>
            </a:ln>
            <a:effectLst/>
          </c:spPr>
          <c:invertIfNegative val="0"/>
          <c:cat>
            <c:numRef>
              <c:f>画图!$G$185:$G$200</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画图!$M$185:$M$200</c:f>
              <c:numCache>
                <c:formatCode>0_);[Red]\(0\)</c:formatCode>
                <c:ptCount val="16"/>
                <c:pt idx="0">
                  <c:v>156.48256511999998</c:v>
                </c:pt>
                <c:pt idx="1">
                  <c:v>169.28110943999999</c:v>
                </c:pt>
                <c:pt idx="2">
                  <c:v>182.26377000000005</c:v>
                </c:pt>
                <c:pt idx="3">
                  <c:v>190.56673439999997</c:v>
                </c:pt>
                <c:pt idx="4">
                  <c:v>202.56178895999997</c:v>
                </c:pt>
                <c:pt idx="5">
                  <c:v>213.45271632000001</c:v>
                </c:pt>
                <c:pt idx="6">
                  <c:v>215.61362136</c:v>
                </c:pt>
                <c:pt idx="7">
                  <c:v>187.92000000000002</c:v>
                </c:pt>
                <c:pt idx="8">
                  <c:v>187.92000000000002</c:v>
                </c:pt>
                <c:pt idx="9">
                  <c:v>187.92000000000002</c:v>
                </c:pt>
                <c:pt idx="10">
                  <c:v>187.92000000000002</c:v>
                </c:pt>
                <c:pt idx="11">
                  <c:v>187.92000000000002</c:v>
                </c:pt>
                <c:pt idx="12">
                  <c:v>187.92000000000002</c:v>
                </c:pt>
                <c:pt idx="13">
                  <c:v>187.92000000000002</c:v>
                </c:pt>
                <c:pt idx="14">
                  <c:v>176</c:v>
                </c:pt>
                <c:pt idx="15">
                  <c:v>105</c:v>
                </c:pt>
              </c:numCache>
            </c:numRef>
          </c:val>
          <c:extLst>
            <c:ext xmlns:c16="http://schemas.microsoft.com/office/drawing/2014/chart" uri="{C3380CC4-5D6E-409C-BE32-E72D297353CC}">
              <c16:uniqueId val="{00000004-6062-4EAE-8B92-338289739A47}"/>
            </c:ext>
          </c:extLst>
        </c:ser>
        <c:ser>
          <c:idx val="6"/>
          <c:order val="6"/>
          <c:tx>
            <c:strRef>
              <c:f>画图!$N$184</c:f>
              <c:strCache>
                <c:ptCount val="1"/>
                <c:pt idx="0">
                  <c:v>私人乘用车</c:v>
                </c:pt>
              </c:strCache>
            </c:strRef>
          </c:tx>
          <c:spPr>
            <a:solidFill>
              <a:schemeClr val="accent2">
                <a:lumMod val="80000"/>
                <a:lumOff val="20000"/>
              </a:schemeClr>
            </a:solidFill>
            <a:ln>
              <a:noFill/>
            </a:ln>
            <a:effectLst/>
          </c:spPr>
          <c:invertIfNegative val="0"/>
          <c:cat>
            <c:numRef>
              <c:f>画图!$G$185:$G$200</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画图!$N$185:$N$200</c:f>
              <c:numCache>
                <c:formatCode>0_);[Red]\(0\)</c:formatCode>
                <c:ptCount val="16"/>
                <c:pt idx="0">
                  <c:v>65.492323200000001</c:v>
                </c:pt>
                <c:pt idx="1">
                  <c:v>78.510816000000005</c:v>
                </c:pt>
                <c:pt idx="2">
                  <c:v>89.080555679999989</c:v>
                </c:pt>
                <c:pt idx="3">
                  <c:v>124.593147</c:v>
                </c:pt>
                <c:pt idx="4">
                  <c:v>164.72550582</c:v>
                </c:pt>
                <c:pt idx="5">
                  <c:v>215.815833</c:v>
                </c:pt>
                <c:pt idx="6">
                  <c:v>269.79509484000005</c:v>
                </c:pt>
                <c:pt idx="7">
                  <c:v>330.36842898000003</c:v>
                </c:pt>
                <c:pt idx="8">
                  <c:v>397.86024042000003</c:v>
                </c:pt>
                <c:pt idx="9">
                  <c:v>473.43189906000003</c:v>
                </c:pt>
                <c:pt idx="10">
                  <c:v>552.28869900000007</c:v>
                </c:pt>
                <c:pt idx="11">
                  <c:v>572.73294239999996</c:v>
                </c:pt>
                <c:pt idx="12">
                  <c:v>655.02742608000005</c:v>
                </c:pt>
                <c:pt idx="13">
                  <c:v>727.89753599999995</c:v>
                </c:pt>
                <c:pt idx="14">
                  <c:v>847.29059099999984</c:v>
                </c:pt>
                <c:pt idx="15">
                  <c:v>727.81102799999985</c:v>
                </c:pt>
              </c:numCache>
            </c:numRef>
          </c:val>
          <c:extLst>
            <c:ext xmlns:c16="http://schemas.microsoft.com/office/drawing/2014/chart" uri="{C3380CC4-5D6E-409C-BE32-E72D297353CC}">
              <c16:uniqueId val="{00000005-6062-4EAE-8B92-338289739A47}"/>
            </c:ext>
          </c:extLst>
        </c:ser>
        <c:ser>
          <c:idx val="7"/>
          <c:order val="7"/>
          <c:tx>
            <c:strRef>
              <c:f>画图!$O$184</c:f>
              <c:strCache>
                <c:ptCount val="1"/>
                <c:pt idx="0">
                  <c:v>网约车</c:v>
                </c:pt>
              </c:strCache>
            </c:strRef>
          </c:tx>
          <c:spPr>
            <a:solidFill>
              <a:schemeClr val="accent4">
                <a:lumMod val="80000"/>
                <a:lumOff val="20000"/>
              </a:schemeClr>
            </a:solidFill>
            <a:ln>
              <a:noFill/>
            </a:ln>
            <a:effectLst/>
          </c:spPr>
          <c:invertIfNegative val="0"/>
          <c:cat>
            <c:numRef>
              <c:f>画图!$G$185:$G$200</c:f>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f>画图!$O$185:$O$200</c:f>
              <c:numCache>
                <c:formatCode>0_);[Red]\(0\)</c:formatCode>
                <c:ptCount val="16"/>
                <c:pt idx="0">
                  <c:v>0</c:v>
                </c:pt>
                <c:pt idx="1">
                  <c:v>0</c:v>
                </c:pt>
                <c:pt idx="2">
                  <c:v>0</c:v>
                </c:pt>
                <c:pt idx="3">
                  <c:v>0</c:v>
                </c:pt>
                <c:pt idx="4">
                  <c:v>0</c:v>
                </c:pt>
                <c:pt idx="5">
                  <c:v>0</c:v>
                </c:pt>
                <c:pt idx="6">
                  <c:v>0</c:v>
                </c:pt>
                <c:pt idx="7">
                  <c:v>0</c:v>
                </c:pt>
                <c:pt idx="8">
                  <c:v>0</c:v>
                </c:pt>
                <c:pt idx="9">
                  <c:v>0</c:v>
                </c:pt>
                <c:pt idx="10">
                  <c:v>20.774400237303375</c:v>
                </c:pt>
                <c:pt idx="11">
                  <c:v>50.601864798202257</c:v>
                </c:pt>
                <c:pt idx="12">
                  <c:v>117.49588201132586</c:v>
                </c:pt>
                <c:pt idx="13">
                  <c:v>229.49377920000003</c:v>
                </c:pt>
                <c:pt idx="14">
                  <c:v>268.05599999999998</c:v>
                </c:pt>
                <c:pt idx="15">
                  <c:v>165.33404999999999</c:v>
                </c:pt>
              </c:numCache>
            </c:numRef>
          </c:val>
          <c:extLst>
            <c:ext xmlns:c16="http://schemas.microsoft.com/office/drawing/2014/chart" uri="{C3380CC4-5D6E-409C-BE32-E72D297353CC}">
              <c16:uniqueId val="{00000006-6062-4EAE-8B92-338289739A47}"/>
            </c:ext>
          </c:extLst>
        </c:ser>
        <c:dLbls>
          <c:showLegendKey val="0"/>
          <c:showVal val="0"/>
          <c:showCatName val="0"/>
          <c:showSerName val="0"/>
          <c:showPercent val="0"/>
          <c:showBubbleSize val="0"/>
        </c:dLbls>
        <c:gapWidth val="150"/>
        <c:overlap val="100"/>
        <c:axId val="1351165823"/>
        <c:axId val="1585207727"/>
      </c:barChart>
      <c:lineChart>
        <c:grouping val="standard"/>
        <c:varyColors val="0"/>
        <c:dLbls>
          <c:showLegendKey val="0"/>
          <c:showVal val="0"/>
          <c:showCatName val="0"/>
          <c:showSerName val="0"/>
          <c:showPercent val="0"/>
          <c:showBubbleSize val="0"/>
        </c:dLbls>
        <c:marker val="1"/>
        <c:smooth val="0"/>
        <c:axId val="1350489423"/>
        <c:axId val="1585199823"/>
        <c:extLst>
          <c:ext xmlns:c15="http://schemas.microsoft.com/office/drawing/2012/chart" uri="{02D57815-91ED-43cb-92C2-25804820EDAC}">
            <c15:filteredLineSeries>
              <c15:ser>
                <c:idx val="0"/>
                <c:order val="0"/>
                <c:tx>
                  <c:strRef>
                    <c:extLst>
                      <c:ext uri="{02D57815-91ED-43cb-92C2-25804820EDAC}">
                        <c15:formulaRef>
                          <c15:sqref>画图!$H$184</c15:sqref>
                        </c15:formulaRef>
                      </c:ext>
                    </c:extLst>
                    <c:strCache>
                      <c:ptCount val="1"/>
                      <c:pt idx="0">
                        <c:v>城镇化率</c:v>
                      </c:pt>
                    </c:strCache>
                  </c:strRef>
                </c:tx>
                <c:spPr>
                  <a:ln w="28575" cap="rnd">
                    <a:solidFill>
                      <a:schemeClr val="accent2"/>
                    </a:solidFill>
                    <a:round/>
                  </a:ln>
                  <a:effectLst/>
                </c:spPr>
                <c:marker>
                  <c:symbol val="none"/>
                </c:marker>
                <c:cat>
                  <c:numRef>
                    <c:extLst>
                      <c:ext uri="{02D57815-91ED-43cb-92C2-25804820EDAC}">
                        <c15:formulaRef>
                          <c15:sqref>画图!$G$185:$G$200</c15:sqref>
                        </c15:formulaRef>
                      </c:ext>
                    </c:extLst>
                    <c:numCache>
                      <c:formatCode>General</c:formatCod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numCache>
                  </c:numRef>
                </c:cat>
                <c:val>
                  <c:numRef>
                    <c:extLst>
                      <c:ext uri="{02D57815-91ED-43cb-92C2-25804820EDAC}">
                        <c15:formulaRef>
                          <c15:sqref>画图!$H$185:$H$200</c15:sqref>
                        </c15:formulaRef>
                      </c:ext>
                    </c:extLst>
                    <c:numCache>
                      <c:formatCode>0.0%</c:formatCode>
                      <c:ptCount val="16"/>
                      <c:pt idx="0">
                        <c:v>0.42989996634953653</c:v>
                      </c:pt>
                      <c:pt idx="1">
                        <c:v>0.4434301016371493</c:v>
                      </c:pt>
                      <c:pt idx="2">
                        <c:v>0.45889244601866358</c:v>
                      </c:pt>
                      <c:pt idx="3">
                        <c:v>0.46989503170132979</c:v>
                      </c:pt>
                      <c:pt idx="4">
                        <c:v>0.48341701011614835</c:v>
                      </c:pt>
                      <c:pt idx="5">
                        <c:v>0.49680000000000002</c:v>
                      </c:pt>
                      <c:pt idx="6">
                        <c:v>0.50790024198980277</c:v>
                      </c:pt>
                      <c:pt idx="7">
                        <c:v>0.51900048397960552</c:v>
                      </c:pt>
                      <c:pt idx="8">
                        <c:v>0.53010072596940827</c:v>
                      </c:pt>
                      <c:pt idx="9">
                        <c:v>0.54120096795921102</c:v>
                      </c:pt>
                      <c:pt idx="10">
                        <c:v>0.55230120994901377</c:v>
                      </c:pt>
                      <c:pt idx="11">
                        <c:v>0.56340145193881652</c:v>
                      </c:pt>
                      <c:pt idx="12">
                        <c:v>0.57450169392861927</c:v>
                      </c:pt>
                      <c:pt idx="13">
                        <c:v>0.58560193591842202</c:v>
                      </c:pt>
                      <c:pt idx="14">
                        <c:v>0.59670217790822477</c:v>
                      </c:pt>
                      <c:pt idx="15">
                        <c:v>0.61890266188783005</c:v>
                      </c:pt>
                    </c:numCache>
                  </c:numRef>
                </c:val>
                <c:smooth val="0"/>
                <c:extLst>
                  <c:ext xmlns:c16="http://schemas.microsoft.com/office/drawing/2014/chart" uri="{C3380CC4-5D6E-409C-BE32-E72D297353CC}">
                    <c16:uniqueId val="{00000007-6062-4EAE-8B92-338289739A47}"/>
                  </c:ext>
                </c:extLst>
              </c15:ser>
            </c15:filteredLineSeries>
          </c:ext>
        </c:extLst>
      </c:lineChart>
      <c:catAx>
        <c:axId val="1351165823"/>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585207727"/>
        <c:crosses val="autoZero"/>
        <c:auto val="1"/>
        <c:lblAlgn val="ctr"/>
        <c:lblOffset val="100"/>
        <c:noMultiLvlLbl val="0"/>
      </c:catAx>
      <c:valAx>
        <c:axId val="158520772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351165823"/>
        <c:crosses val="autoZero"/>
        <c:crossBetween val="between"/>
      </c:valAx>
      <c:valAx>
        <c:axId val="1585199823"/>
        <c:scaling>
          <c:orientation val="minMax"/>
        </c:scaling>
        <c:delete val="1"/>
        <c:axPos val="r"/>
        <c:numFmt formatCode="0.0%" sourceLinked="1"/>
        <c:majorTickMark val="in"/>
        <c:minorTickMark val="none"/>
        <c:tickLblPos val="nextTo"/>
        <c:crossAx val="1350489423"/>
        <c:crosses val="max"/>
        <c:crossBetween val="between"/>
      </c:valAx>
      <c:catAx>
        <c:axId val="1350489423"/>
        <c:scaling>
          <c:orientation val="minMax"/>
        </c:scaling>
        <c:delete val="1"/>
        <c:axPos val="b"/>
        <c:numFmt formatCode="General" sourceLinked="1"/>
        <c:majorTickMark val="out"/>
        <c:minorTickMark val="none"/>
        <c:tickLblPos val="nextTo"/>
        <c:crossAx val="158519982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楷体" panose="02010609060101010101" pitchFamily="49" charset="-122"/>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4418847915257064E-2"/>
          <c:y val="6.3551019552884794E-2"/>
          <c:w val="0.93538180299595841"/>
          <c:h val="0.88316526611520307"/>
        </c:manualLayout>
      </c:layout>
      <c:barChart>
        <c:barDir val="col"/>
        <c:grouping val="clustered"/>
        <c:varyColors val="0"/>
        <c:ser>
          <c:idx val="0"/>
          <c:order val="0"/>
          <c:spPr>
            <a:solidFill>
              <a:schemeClr val="accent1"/>
            </a:solidFill>
            <a:ln>
              <a:noFill/>
            </a:ln>
            <a:effectLst/>
          </c:spPr>
          <c:invertIfNegative val="0"/>
          <c:cat>
            <c:numRef>
              <c:f>City!$C$48:$C$88</c:f>
              <c:numCache>
                <c:formatCode>General</c:formatCode>
                <c:ptCount val="41"/>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pt idx="16">
                  <c:v>2036</c:v>
                </c:pt>
                <c:pt idx="17">
                  <c:v>2037</c:v>
                </c:pt>
                <c:pt idx="18">
                  <c:v>2038</c:v>
                </c:pt>
                <c:pt idx="19">
                  <c:v>2039</c:v>
                </c:pt>
                <c:pt idx="20">
                  <c:v>2040</c:v>
                </c:pt>
                <c:pt idx="21">
                  <c:v>2041</c:v>
                </c:pt>
                <c:pt idx="22">
                  <c:v>2042</c:v>
                </c:pt>
                <c:pt idx="23">
                  <c:v>2043</c:v>
                </c:pt>
                <c:pt idx="24">
                  <c:v>2044</c:v>
                </c:pt>
                <c:pt idx="25">
                  <c:v>2045</c:v>
                </c:pt>
                <c:pt idx="26">
                  <c:v>2046</c:v>
                </c:pt>
                <c:pt idx="27">
                  <c:v>2047</c:v>
                </c:pt>
                <c:pt idx="28">
                  <c:v>2048</c:v>
                </c:pt>
                <c:pt idx="29">
                  <c:v>2049</c:v>
                </c:pt>
                <c:pt idx="30">
                  <c:v>2050</c:v>
                </c:pt>
                <c:pt idx="31">
                  <c:v>2051</c:v>
                </c:pt>
                <c:pt idx="32">
                  <c:v>2052</c:v>
                </c:pt>
                <c:pt idx="33">
                  <c:v>2053</c:v>
                </c:pt>
                <c:pt idx="34">
                  <c:v>2054</c:v>
                </c:pt>
                <c:pt idx="35">
                  <c:v>2055</c:v>
                </c:pt>
                <c:pt idx="36">
                  <c:v>2056</c:v>
                </c:pt>
                <c:pt idx="37">
                  <c:v>2057</c:v>
                </c:pt>
                <c:pt idx="38">
                  <c:v>2058</c:v>
                </c:pt>
                <c:pt idx="39">
                  <c:v>2059</c:v>
                </c:pt>
                <c:pt idx="40">
                  <c:v>2060</c:v>
                </c:pt>
              </c:numCache>
            </c:numRef>
          </c:cat>
          <c:val>
            <c:numRef>
              <c:f>City!$D$111:$D$151</c:f>
              <c:numCache>
                <c:formatCode>0</c:formatCode>
                <c:ptCount val="41"/>
                <c:pt idx="0" formatCode="0_);[Red]\(0\)">
                  <c:v>22326.57</c:v>
                </c:pt>
                <c:pt idx="1">
                  <c:v>24216.364919257696</c:v>
                </c:pt>
                <c:pt idx="2">
                  <c:v>25989.885200966033</c:v>
                </c:pt>
                <c:pt idx="3">
                  <c:v>27584.814454821204</c:v>
                </c:pt>
                <c:pt idx="4">
                  <c:v>29086.257349857671</c:v>
                </c:pt>
                <c:pt idx="5">
                  <c:v>30559.443816179843</c:v>
                </c:pt>
                <c:pt idx="6">
                  <c:v>31716.814941284701</c:v>
                </c:pt>
                <c:pt idx="7">
                  <c:v>32796.563874246436</c:v>
                </c:pt>
                <c:pt idx="8">
                  <c:v>33809.558547101522</c:v>
                </c:pt>
                <c:pt idx="9">
                  <c:v>34756.153156512293</c:v>
                </c:pt>
                <c:pt idx="10">
                  <c:v>35635.892648195986</c:v>
                </c:pt>
                <c:pt idx="11">
                  <c:v>36446.079972044085</c:v>
                </c:pt>
                <c:pt idx="12">
                  <c:v>37184.019283847781</c:v>
                </c:pt>
                <c:pt idx="13">
                  <c:v>37847.299519814813</c:v>
                </c:pt>
                <c:pt idx="14">
                  <c:v>38433.18410694159</c:v>
                </c:pt>
                <c:pt idx="15">
                  <c:v>38938.552695944527</c:v>
                </c:pt>
                <c:pt idx="16">
                  <c:v>39354.584420614054</c:v>
                </c:pt>
                <c:pt idx="17">
                  <c:v>39677.282190551537</c:v>
                </c:pt>
                <c:pt idx="18">
                  <c:v>39902.460779102097</c:v>
                </c:pt>
                <c:pt idx="19">
                  <c:v>40025.411701689525</c:v>
                </c:pt>
                <c:pt idx="20">
                  <c:v>40040.823814728363</c:v>
                </c:pt>
                <c:pt idx="21">
                  <c:v>40000.900408754045</c:v>
                </c:pt>
                <c:pt idx="22">
                  <c:v>39909.695758735332</c:v>
                </c:pt>
                <c:pt idx="23">
                  <c:v>39767.908996731581</c:v>
                </c:pt>
                <c:pt idx="24">
                  <c:v>39576.003530521913</c:v>
                </c:pt>
                <c:pt idx="25">
                  <c:v>39334.424718931077</c:v>
                </c:pt>
                <c:pt idx="26">
                  <c:v>39043.614907184397</c:v>
                </c:pt>
                <c:pt idx="27">
                  <c:v>38704.014283840275</c:v>
                </c:pt>
                <c:pt idx="28">
                  <c:v>38316.060757259707</c:v>
                </c:pt>
                <c:pt idx="29">
                  <c:v>37880.189777840606</c:v>
                </c:pt>
                <c:pt idx="30">
                  <c:v>37468.174162695825</c:v>
                </c:pt>
                <c:pt idx="31">
                  <c:v>37022.223816595128</c:v>
                </c:pt>
                <c:pt idx="32">
                  <c:v>36538.547197437787</c:v>
                </c:pt>
                <c:pt idx="33">
                  <c:v>36017.223695814413</c:v>
                </c:pt>
                <c:pt idx="34">
                  <c:v>35458.606687701016</c:v>
                </c:pt>
                <c:pt idx="35">
                  <c:v>34863.06472665746</c:v>
                </c:pt>
                <c:pt idx="36">
                  <c:v>34230.962923158913</c:v>
                </c:pt>
                <c:pt idx="37">
                  <c:v>33562.661656978955</c:v>
                </c:pt>
                <c:pt idx="38">
                  <c:v>32858.516544143989</c:v>
                </c:pt>
                <c:pt idx="39">
                  <c:v>32118.878494951907</c:v>
                </c:pt>
                <c:pt idx="40">
                  <c:v>31413.650316722582</c:v>
                </c:pt>
              </c:numCache>
            </c:numRef>
          </c:val>
          <c:extLst>
            <c:ext xmlns:c16="http://schemas.microsoft.com/office/drawing/2014/chart" uri="{C3380CC4-5D6E-409C-BE32-E72D297353CC}">
              <c16:uniqueId val="{00000000-B8A9-41C1-A613-6D383DE94965}"/>
            </c:ext>
          </c:extLst>
        </c:ser>
        <c:dLbls>
          <c:showLegendKey val="0"/>
          <c:showVal val="0"/>
          <c:showCatName val="0"/>
          <c:showSerName val="0"/>
          <c:showPercent val="0"/>
          <c:showBubbleSize val="0"/>
        </c:dLbls>
        <c:gapWidth val="219"/>
        <c:overlap val="-27"/>
        <c:axId val="100145600"/>
        <c:axId val="2025394528"/>
      </c:barChart>
      <c:catAx>
        <c:axId val="100145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2025394528"/>
        <c:crosses val="autoZero"/>
        <c:auto val="1"/>
        <c:lblAlgn val="ctr"/>
        <c:lblOffset val="100"/>
        <c:noMultiLvlLbl val="0"/>
      </c:catAx>
      <c:valAx>
        <c:axId val="2025394528"/>
        <c:scaling>
          <c:orientation val="minMax"/>
        </c:scaling>
        <c:delete val="0"/>
        <c:axPos val="l"/>
        <c:majorGridlines>
          <c:spPr>
            <a:ln w="9525" cap="flat" cmpd="sng" algn="ctr">
              <a:solidFill>
                <a:schemeClr val="tx1">
                  <a:lumMod val="15000"/>
                  <a:lumOff val="85000"/>
                </a:schemeClr>
              </a:solidFill>
              <a:round/>
            </a:ln>
            <a:effectLst/>
          </c:spPr>
        </c:majorGridlines>
        <c:numFmt formatCode="0_);[Red]\(0\)" sourceLinked="1"/>
        <c:majorTickMark val="none"/>
        <c:minorTickMark val="none"/>
        <c:tickLblPos val="nextTo"/>
        <c:spPr>
          <a:noFill/>
          <a:ln>
            <a:solidFill>
              <a:sysClr val="windowText" lastClr="000000"/>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001456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4418847915257064E-2"/>
          <c:y val="6.3551019552884794E-2"/>
          <c:w val="0.93538180299595841"/>
          <c:h val="0.88316526611520307"/>
        </c:manualLayout>
      </c:layout>
      <c:barChart>
        <c:barDir val="col"/>
        <c:grouping val="clustered"/>
        <c:varyColors val="0"/>
        <c:ser>
          <c:idx val="0"/>
          <c:order val="0"/>
          <c:spPr>
            <a:solidFill>
              <a:schemeClr val="accent1"/>
            </a:solidFill>
            <a:ln>
              <a:noFill/>
            </a:ln>
            <a:effectLst/>
          </c:spPr>
          <c:invertIfNegative val="0"/>
          <c:cat>
            <c:numRef>
              <c:f>City!$C$111:$C$151</c:f>
              <c:numCache>
                <c:formatCode>General</c:formatCode>
                <c:ptCount val="41"/>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pt idx="16">
                  <c:v>2036</c:v>
                </c:pt>
                <c:pt idx="17">
                  <c:v>2037</c:v>
                </c:pt>
                <c:pt idx="18">
                  <c:v>2038</c:v>
                </c:pt>
                <c:pt idx="19">
                  <c:v>2039</c:v>
                </c:pt>
                <c:pt idx="20">
                  <c:v>2040</c:v>
                </c:pt>
                <c:pt idx="21">
                  <c:v>2041</c:v>
                </c:pt>
                <c:pt idx="22">
                  <c:v>2042</c:v>
                </c:pt>
                <c:pt idx="23">
                  <c:v>2043</c:v>
                </c:pt>
                <c:pt idx="24">
                  <c:v>2044</c:v>
                </c:pt>
                <c:pt idx="25">
                  <c:v>2045</c:v>
                </c:pt>
                <c:pt idx="26">
                  <c:v>2046</c:v>
                </c:pt>
                <c:pt idx="27">
                  <c:v>2047</c:v>
                </c:pt>
                <c:pt idx="28">
                  <c:v>2048</c:v>
                </c:pt>
                <c:pt idx="29">
                  <c:v>2049</c:v>
                </c:pt>
                <c:pt idx="30">
                  <c:v>2050</c:v>
                </c:pt>
                <c:pt idx="31">
                  <c:v>2051</c:v>
                </c:pt>
                <c:pt idx="32">
                  <c:v>2052</c:v>
                </c:pt>
                <c:pt idx="33">
                  <c:v>2053</c:v>
                </c:pt>
                <c:pt idx="34">
                  <c:v>2054</c:v>
                </c:pt>
                <c:pt idx="35">
                  <c:v>2055</c:v>
                </c:pt>
                <c:pt idx="36">
                  <c:v>2056</c:v>
                </c:pt>
                <c:pt idx="37">
                  <c:v>2057</c:v>
                </c:pt>
                <c:pt idx="38">
                  <c:v>2058</c:v>
                </c:pt>
                <c:pt idx="39">
                  <c:v>2059</c:v>
                </c:pt>
                <c:pt idx="40">
                  <c:v>2060</c:v>
                </c:pt>
              </c:numCache>
            </c:numRef>
          </c:cat>
          <c:val>
            <c:numRef>
              <c:f>City!$D$111:$D$151</c:f>
              <c:numCache>
                <c:formatCode>0</c:formatCode>
                <c:ptCount val="41"/>
                <c:pt idx="0" formatCode="0_);[Red]\(0\)">
                  <c:v>22326.57</c:v>
                </c:pt>
                <c:pt idx="1">
                  <c:v>24216.364919257696</c:v>
                </c:pt>
                <c:pt idx="2">
                  <c:v>25989.885200966033</c:v>
                </c:pt>
                <c:pt idx="3">
                  <c:v>27584.814454821204</c:v>
                </c:pt>
                <c:pt idx="4">
                  <c:v>29086.257349857671</c:v>
                </c:pt>
                <c:pt idx="5">
                  <c:v>30559.443816179843</c:v>
                </c:pt>
                <c:pt idx="6">
                  <c:v>31716.814941284701</c:v>
                </c:pt>
                <c:pt idx="7">
                  <c:v>32796.563874246436</c:v>
                </c:pt>
                <c:pt idx="8">
                  <c:v>33809.558547101522</c:v>
                </c:pt>
                <c:pt idx="9">
                  <c:v>34756.153156512293</c:v>
                </c:pt>
                <c:pt idx="10">
                  <c:v>35635.892648195986</c:v>
                </c:pt>
                <c:pt idx="11">
                  <c:v>36446.079972044085</c:v>
                </c:pt>
                <c:pt idx="12">
                  <c:v>37184.019283847781</c:v>
                </c:pt>
                <c:pt idx="13">
                  <c:v>37847.299519814813</c:v>
                </c:pt>
                <c:pt idx="14">
                  <c:v>38433.18410694159</c:v>
                </c:pt>
                <c:pt idx="15">
                  <c:v>38938.552695944527</c:v>
                </c:pt>
                <c:pt idx="16">
                  <c:v>39354.584420614054</c:v>
                </c:pt>
                <c:pt idx="17">
                  <c:v>39677.282190551537</c:v>
                </c:pt>
                <c:pt idx="18">
                  <c:v>39902.460779102097</c:v>
                </c:pt>
                <c:pt idx="19">
                  <c:v>40025.411701689525</c:v>
                </c:pt>
                <c:pt idx="20">
                  <c:v>40040.823814728363</c:v>
                </c:pt>
                <c:pt idx="21">
                  <c:v>40000.900408754045</c:v>
                </c:pt>
                <c:pt idx="22">
                  <c:v>39909.695758735332</c:v>
                </c:pt>
                <c:pt idx="23">
                  <c:v>39767.908996731581</c:v>
                </c:pt>
                <c:pt idx="24">
                  <c:v>39576.003530521913</c:v>
                </c:pt>
                <c:pt idx="25">
                  <c:v>39334.424718931077</c:v>
                </c:pt>
                <c:pt idx="26">
                  <c:v>39043.614907184397</c:v>
                </c:pt>
                <c:pt idx="27">
                  <c:v>38704.014283840275</c:v>
                </c:pt>
                <c:pt idx="28">
                  <c:v>38316.060757259707</c:v>
                </c:pt>
                <c:pt idx="29">
                  <c:v>37880.189777840606</c:v>
                </c:pt>
                <c:pt idx="30">
                  <c:v>37468.174162695825</c:v>
                </c:pt>
                <c:pt idx="31">
                  <c:v>37022.223816595128</c:v>
                </c:pt>
                <c:pt idx="32">
                  <c:v>36538.547197437787</c:v>
                </c:pt>
                <c:pt idx="33">
                  <c:v>36017.223695814413</c:v>
                </c:pt>
                <c:pt idx="34">
                  <c:v>35458.606687701016</c:v>
                </c:pt>
                <c:pt idx="35">
                  <c:v>34863.06472665746</c:v>
                </c:pt>
                <c:pt idx="36">
                  <c:v>34230.962923158913</c:v>
                </c:pt>
                <c:pt idx="37">
                  <c:v>33562.661656978955</c:v>
                </c:pt>
                <c:pt idx="38">
                  <c:v>32858.516544143989</c:v>
                </c:pt>
                <c:pt idx="39">
                  <c:v>32118.878494951907</c:v>
                </c:pt>
                <c:pt idx="40">
                  <c:v>31413.650316722582</c:v>
                </c:pt>
              </c:numCache>
            </c:numRef>
          </c:val>
          <c:extLst>
            <c:ext xmlns:c16="http://schemas.microsoft.com/office/drawing/2014/chart" uri="{C3380CC4-5D6E-409C-BE32-E72D297353CC}">
              <c16:uniqueId val="{00000000-6C18-4538-A2E1-A89988CE2A95}"/>
            </c:ext>
          </c:extLst>
        </c:ser>
        <c:ser>
          <c:idx val="1"/>
          <c:order val="1"/>
          <c:spPr>
            <a:solidFill>
              <a:schemeClr val="accent2"/>
            </a:solidFill>
            <a:ln>
              <a:noFill/>
            </a:ln>
            <a:effectLst/>
          </c:spPr>
          <c:invertIfNegative val="0"/>
          <c:cat>
            <c:numRef>
              <c:f>City!$C$111:$C$151</c:f>
              <c:numCache>
                <c:formatCode>General</c:formatCode>
                <c:ptCount val="41"/>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pt idx="16">
                  <c:v>2036</c:v>
                </c:pt>
                <c:pt idx="17">
                  <c:v>2037</c:v>
                </c:pt>
                <c:pt idx="18">
                  <c:v>2038</c:v>
                </c:pt>
                <c:pt idx="19">
                  <c:v>2039</c:v>
                </c:pt>
                <c:pt idx="20">
                  <c:v>2040</c:v>
                </c:pt>
                <c:pt idx="21">
                  <c:v>2041</c:v>
                </c:pt>
                <c:pt idx="22">
                  <c:v>2042</c:v>
                </c:pt>
                <c:pt idx="23">
                  <c:v>2043</c:v>
                </c:pt>
                <c:pt idx="24">
                  <c:v>2044</c:v>
                </c:pt>
                <c:pt idx="25">
                  <c:v>2045</c:v>
                </c:pt>
                <c:pt idx="26">
                  <c:v>2046</c:v>
                </c:pt>
                <c:pt idx="27">
                  <c:v>2047</c:v>
                </c:pt>
                <c:pt idx="28">
                  <c:v>2048</c:v>
                </c:pt>
                <c:pt idx="29">
                  <c:v>2049</c:v>
                </c:pt>
                <c:pt idx="30">
                  <c:v>2050</c:v>
                </c:pt>
                <c:pt idx="31">
                  <c:v>2051</c:v>
                </c:pt>
                <c:pt idx="32">
                  <c:v>2052</c:v>
                </c:pt>
                <c:pt idx="33">
                  <c:v>2053</c:v>
                </c:pt>
                <c:pt idx="34">
                  <c:v>2054</c:v>
                </c:pt>
                <c:pt idx="35">
                  <c:v>2055</c:v>
                </c:pt>
                <c:pt idx="36">
                  <c:v>2056</c:v>
                </c:pt>
                <c:pt idx="37">
                  <c:v>2057</c:v>
                </c:pt>
                <c:pt idx="38">
                  <c:v>2058</c:v>
                </c:pt>
                <c:pt idx="39">
                  <c:v>2059</c:v>
                </c:pt>
                <c:pt idx="40">
                  <c:v>2060</c:v>
                </c:pt>
              </c:numCache>
            </c:numRef>
          </c:cat>
          <c:val>
            <c:numRef>
              <c:f>City!$I$111:$I$151</c:f>
              <c:numCache>
                <c:formatCode>0</c:formatCode>
                <c:ptCount val="41"/>
                <c:pt idx="0">
                  <c:v>492</c:v>
                </c:pt>
                <c:pt idx="1">
                  <c:v>652.35537382982454</c:v>
                </c:pt>
                <c:pt idx="2">
                  <c:v>861.23737520443115</c:v>
                </c:pt>
                <c:pt idx="3">
                  <c:v>1117.6457471930871</c:v>
                </c:pt>
                <c:pt idx="4">
                  <c:v>1420.394568029227</c:v>
                </c:pt>
                <c:pt idx="5">
                  <c:v>1768.0874806341162</c:v>
                </c:pt>
                <c:pt idx="6">
                  <c:v>2211.0082406852066</c:v>
                </c:pt>
                <c:pt idx="7">
                  <c:v>2767.4633993063685</c:v>
                </c:pt>
                <c:pt idx="8">
                  <c:v>3433.4962104433362</c:v>
                </c:pt>
                <c:pt idx="9">
                  <c:v>4204.8083036371772</c:v>
                </c:pt>
                <c:pt idx="10">
                  <c:v>5076.7411208306376</c:v>
                </c:pt>
                <c:pt idx="11">
                  <c:v>6127.8598610989302</c:v>
                </c:pt>
                <c:pt idx="12">
                  <c:v>7349.8013726292193</c:v>
                </c:pt>
                <c:pt idx="13">
                  <c:v>8733.3218252950737</c:v>
                </c:pt>
                <c:pt idx="14">
                  <c:v>10268.178525159452</c:v>
                </c:pt>
                <c:pt idx="15">
                  <c:v>11942.993601655093</c:v>
                </c:pt>
                <c:pt idx="16">
                  <c:v>13542.565136888052</c:v>
                </c:pt>
                <c:pt idx="17">
                  <c:v>15060.83452390033</c:v>
                </c:pt>
                <c:pt idx="18">
                  <c:v>16491.135463186489</c:v>
                </c:pt>
                <c:pt idx="19">
                  <c:v>17826.123543992351</c:v>
                </c:pt>
                <c:pt idx="20">
                  <c:v>19105.826056089169</c:v>
                </c:pt>
                <c:pt idx="21">
                  <c:v>20330.42082335295</c:v>
                </c:pt>
                <c:pt idx="22">
                  <c:v>21501.94478425548</c:v>
                </c:pt>
                <c:pt idx="23">
                  <c:v>22622.372052340743</c:v>
                </c:pt>
                <c:pt idx="24">
                  <c:v>23693.615311980957</c:v>
                </c:pt>
                <c:pt idx="25">
                  <c:v>24717.527207029754</c:v>
                </c:pt>
                <c:pt idx="26">
                  <c:v>25695.9017211801</c:v>
                </c:pt>
                <c:pt idx="27">
                  <c:v>26630.475548898776</c:v>
                </c:pt>
                <c:pt idx="28">
                  <c:v>27522.929455872229</c:v>
                </c:pt>
                <c:pt idx="29">
                  <c:v>28374.889627960252</c:v>
                </c:pt>
                <c:pt idx="30">
                  <c:v>29187.929007714298</c:v>
                </c:pt>
                <c:pt idx="31">
                  <c:v>29897.845434840005</c:v>
                </c:pt>
                <c:pt idx="32">
                  <c:v>30509.211941233974</c:v>
                </c:pt>
                <c:pt idx="33">
                  <c:v>31026.440998515092</c:v>
                </c:pt>
                <c:pt idx="34">
                  <c:v>31453.788835906795</c:v>
                </c:pt>
                <c:pt idx="35">
                  <c:v>31795.359697641306</c:v>
                </c:pt>
                <c:pt idx="36">
                  <c:v>32055.110038082501</c:v>
                </c:pt>
                <c:pt idx="37">
                  <c:v>32140.687322813574</c:v>
                </c:pt>
                <c:pt idx="38">
                  <c:v>32124.17710517568</c:v>
                </c:pt>
                <c:pt idx="39">
                  <c:v>31850.215706055918</c:v>
                </c:pt>
                <c:pt idx="40">
                  <c:v>31208.253018639996</c:v>
                </c:pt>
              </c:numCache>
            </c:numRef>
          </c:val>
          <c:extLst>
            <c:ext xmlns:c16="http://schemas.microsoft.com/office/drawing/2014/chart" uri="{C3380CC4-5D6E-409C-BE32-E72D297353CC}">
              <c16:uniqueId val="{00000001-6C18-4538-A2E1-A89988CE2A95}"/>
            </c:ext>
          </c:extLst>
        </c:ser>
        <c:dLbls>
          <c:showLegendKey val="0"/>
          <c:showVal val="0"/>
          <c:showCatName val="0"/>
          <c:showSerName val="0"/>
          <c:showPercent val="0"/>
          <c:showBubbleSize val="0"/>
        </c:dLbls>
        <c:gapWidth val="219"/>
        <c:axId val="100145600"/>
        <c:axId val="2025394528"/>
      </c:barChart>
      <c:lineChart>
        <c:grouping val="standard"/>
        <c:varyColors val="0"/>
        <c:ser>
          <c:idx val="2"/>
          <c:order val="2"/>
          <c:spPr>
            <a:ln w="28575" cap="rnd">
              <a:solidFill>
                <a:schemeClr val="accent3"/>
              </a:solidFill>
              <a:round/>
            </a:ln>
            <a:effectLst/>
          </c:spPr>
          <c:marker>
            <c:symbol val="none"/>
          </c:marker>
          <c:cat>
            <c:numRef>
              <c:f>City!$C$111:$C$151</c:f>
              <c:numCache>
                <c:formatCode>General</c:formatCode>
                <c:ptCount val="41"/>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pt idx="16">
                  <c:v>2036</c:v>
                </c:pt>
                <c:pt idx="17">
                  <c:v>2037</c:v>
                </c:pt>
                <c:pt idx="18">
                  <c:v>2038</c:v>
                </c:pt>
                <c:pt idx="19">
                  <c:v>2039</c:v>
                </c:pt>
                <c:pt idx="20">
                  <c:v>2040</c:v>
                </c:pt>
                <c:pt idx="21">
                  <c:v>2041</c:v>
                </c:pt>
                <c:pt idx="22">
                  <c:v>2042</c:v>
                </c:pt>
                <c:pt idx="23">
                  <c:v>2043</c:v>
                </c:pt>
                <c:pt idx="24">
                  <c:v>2044</c:v>
                </c:pt>
                <c:pt idx="25">
                  <c:v>2045</c:v>
                </c:pt>
                <c:pt idx="26">
                  <c:v>2046</c:v>
                </c:pt>
                <c:pt idx="27">
                  <c:v>2047</c:v>
                </c:pt>
                <c:pt idx="28">
                  <c:v>2048</c:v>
                </c:pt>
                <c:pt idx="29">
                  <c:v>2049</c:v>
                </c:pt>
                <c:pt idx="30">
                  <c:v>2050</c:v>
                </c:pt>
                <c:pt idx="31">
                  <c:v>2051</c:v>
                </c:pt>
                <c:pt idx="32">
                  <c:v>2052</c:v>
                </c:pt>
                <c:pt idx="33">
                  <c:v>2053</c:v>
                </c:pt>
                <c:pt idx="34">
                  <c:v>2054</c:v>
                </c:pt>
                <c:pt idx="35">
                  <c:v>2055</c:v>
                </c:pt>
                <c:pt idx="36">
                  <c:v>2056</c:v>
                </c:pt>
                <c:pt idx="37">
                  <c:v>2057</c:v>
                </c:pt>
                <c:pt idx="38">
                  <c:v>2058</c:v>
                </c:pt>
                <c:pt idx="39">
                  <c:v>2059</c:v>
                </c:pt>
                <c:pt idx="40">
                  <c:v>2060</c:v>
                </c:pt>
              </c:numCache>
            </c:numRef>
          </c:cat>
          <c:val>
            <c:numRef>
              <c:f>City!$M$111:$M$151</c:f>
              <c:numCache>
                <c:formatCode>0.00%</c:formatCode>
                <c:ptCount val="41"/>
                <c:pt idx="0">
                  <c:v>2.2036524195162985E-2</c:v>
                </c:pt>
                <c:pt idx="1">
                  <c:v>2.6938616757920131E-2</c:v>
                </c:pt>
                <c:pt idx="2">
                  <c:v>3.3137405900216112E-2</c:v>
                </c:pt>
                <c:pt idx="3">
                  <c:v>4.0516703457388954E-2</c:v>
                </c:pt>
                <c:pt idx="4">
                  <c:v>4.8833871987871189E-2</c:v>
                </c:pt>
                <c:pt idx="5">
                  <c:v>5.7857318715270396E-2</c:v>
                </c:pt>
                <c:pt idx="6">
                  <c:v>6.9710916584099128E-2</c:v>
                </c:pt>
                <c:pt idx="7">
                  <c:v>8.4382724053586738E-2</c:v>
                </c:pt>
                <c:pt idx="8">
                  <c:v>0.10155400892502006</c:v>
                </c:pt>
                <c:pt idx="9">
                  <c:v>0.12098025591906791</c:v>
                </c:pt>
                <c:pt idx="10">
                  <c:v>0.14246145511069835</c:v>
                </c:pt>
                <c:pt idx="11">
                  <c:v>0.1681349507491422</c:v>
                </c:pt>
                <c:pt idx="12">
                  <c:v>0.19766021839984013</c:v>
                </c:pt>
                <c:pt idx="13">
                  <c:v>0.23075151823507978</c:v>
                </c:pt>
                <c:pt idx="14">
                  <c:v>0.26716960261704858</c:v>
                </c:pt>
                <c:pt idx="15">
                  <c:v>0.30671385490141656</c:v>
                </c:pt>
                <c:pt idx="16">
                  <c:v>0.34411658352551205</c:v>
                </c:pt>
                <c:pt idx="17">
                  <c:v>0.37958332054020599</c:v>
                </c:pt>
                <c:pt idx="18">
                  <c:v>0.41328617687216179</c:v>
                </c:pt>
                <c:pt idx="19">
                  <c:v>0.44537014826607985</c:v>
                </c:pt>
                <c:pt idx="20">
                  <c:v>0.47715866547834118</c:v>
                </c:pt>
                <c:pt idx="21">
                  <c:v>0.50824907978580691</c:v>
                </c:pt>
                <c:pt idx="22">
                  <c:v>0.53876493858135188</c:v>
                </c:pt>
                <c:pt idx="23">
                  <c:v>0.56885998341527122</c:v>
                </c:pt>
                <c:pt idx="24">
                  <c:v>0.59868640585975041</c:v>
                </c:pt>
                <c:pt idx="25">
                  <c:v>0.62839427253994062</c:v>
                </c:pt>
                <c:pt idx="26">
                  <c:v>0.65813326410131678</c:v>
                </c:pt>
                <c:pt idx="27">
                  <c:v>0.6880546124647734</c:v>
                </c:pt>
                <c:pt idx="28">
                  <c:v>0.71831312801792879</c:v>
                </c:pt>
                <c:pt idx="29">
                  <c:v>0.7490693630199069</c:v>
                </c:pt>
                <c:pt idx="30">
                  <c:v>0.77900590727942309</c:v>
                </c:pt>
                <c:pt idx="31">
                  <c:v>0.80756481790373602</c:v>
                </c:pt>
                <c:pt idx="32">
                  <c:v>0.83498700088911548</c:v>
                </c:pt>
                <c:pt idx="33">
                  <c:v>0.86143344252601839</c:v>
                </c:pt>
                <c:pt idx="34">
                  <c:v>0.88705653645484861</c:v>
                </c:pt>
                <c:pt idx="35">
                  <c:v>0.91200701794095329</c:v>
                </c:pt>
                <c:pt idx="36">
                  <c:v>0.93643611808523386</c:v>
                </c:pt>
                <c:pt idx="37">
                  <c:v>0.95763225370209282</c:v>
                </c:pt>
                <c:pt idx="38">
                  <c:v>0.97765147315820677</c:v>
                </c:pt>
                <c:pt idx="39">
                  <c:v>0.99163536208344838</c:v>
                </c:pt>
                <c:pt idx="40">
                  <c:v>0.99346152720197423</c:v>
                </c:pt>
              </c:numCache>
            </c:numRef>
          </c:val>
          <c:smooth val="0"/>
          <c:extLst>
            <c:ext xmlns:c16="http://schemas.microsoft.com/office/drawing/2014/chart" uri="{C3380CC4-5D6E-409C-BE32-E72D297353CC}">
              <c16:uniqueId val="{00000002-6C18-4538-A2E1-A89988CE2A95}"/>
            </c:ext>
          </c:extLst>
        </c:ser>
        <c:dLbls>
          <c:showLegendKey val="0"/>
          <c:showVal val="0"/>
          <c:showCatName val="0"/>
          <c:showSerName val="0"/>
          <c:showPercent val="0"/>
          <c:showBubbleSize val="0"/>
        </c:dLbls>
        <c:marker val="1"/>
        <c:smooth val="0"/>
        <c:axId val="609638623"/>
        <c:axId val="734289695"/>
      </c:lineChart>
      <c:catAx>
        <c:axId val="100145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2025394528"/>
        <c:crosses val="autoZero"/>
        <c:auto val="1"/>
        <c:lblAlgn val="ctr"/>
        <c:lblOffset val="100"/>
        <c:noMultiLvlLbl val="0"/>
      </c:catAx>
      <c:valAx>
        <c:axId val="2025394528"/>
        <c:scaling>
          <c:orientation val="minMax"/>
        </c:scaling>
        <c:delete val="0"/>
        <c:axPos val="l"/>
        <c:majorGridlines>
          <c:spPr>
            <a:ln w="9525" cap="flat" cmpd="sng" algn="ctr">
              <a:solidFill>
                <a:schemeClr val="tx1">
                  <a:lumMod val="15000"/>
                  <a:lumOff val="85000"/>
                </a:schemeClr>
              </a:solidFill>
              <a:round/>
            </a:ln>
            <a:effectLst/>
          </c:spPr>
        </c:majorGridlines>
        <c:numFmt formatCode="0_);[Red]\(0\)" sourceLinked="1"/>
        <c:majorTickMark val="none"/>
        <c:minorTickMark val="none"/>
        <c:tickLblPos val="nextTo"/>
        <c:spPr>
          <a:noFill/>
          <a:ln>
            <a:solidFill>
              <a:sysClr val="windowText" lastClr="000000"/>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00145600"/>
        <c:crosses val="autoZero"/>
        <c:crossBetween val="between"/>
      </c:valAx>
      <c:valAx>
        <c:axId val="734289695"/>
        <c:scaling>
          <c:orientation val="minMax"/>
        </c:scaling>
        <c:delete val="0"/>
        <c:axPos val="r"/>
        <c:numFmt formatCode="0%" sourceLinked="0"/>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609638623"/>
        <c:crosses val="max"/>
        <c:crossBetween val="between"/>
      </c:valAx>
      <c:catAx>
        <c:axId val="609638623"/>
        <c:scaling>
          <c:orientation val="minMax"/>
        </c:scaling>
        <c:delete val="1"/>
        <c:axPos val="b"/>
        <c:numFmt formatCode="General" sourceLinked="1"/>
        <c:majorTickMark val="out"/>
        <c:minorTickMark val="none"/>
        <c:tickLblPos val="nextTo"/>
        <c:crossAx val="734289695"/>
        <c:crosses val="autoZero"/>
        <c:auto val="1"/>
        <c:lblAlgn val="ctr"/>
        <c:lblOffset val="100"/>
        <c:noMultiLvlLbl val="0"/>
      </c:cat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'Fr-v'!$G$20</c:f>
              <c:strCache>
                <c:ptCount val="1"/>
                <c:pt idx="0">
                  <c:v>微型货车</c:v>
                </c:pt>
              </c:strCache>
            </c:strRef>
          </c:tx>
          <c:spPr>
            <a:solidFill>
              <a:schemeClr val="accent1"/>
            </a:solidFill>
            <a:ln>
              <a:noFill/>
            </a:ln>
            <a:effectLst/>
          </c:spPr>
          <c:invertIfNegative val="0"/>
          <c:cat>
            <c:numRef>
              <c:f>'Fr-v'!$F$21:$F$76</c:f>
              <c:numCache>
                <c:formatCode>General</c:formatCode>
                <c:ptCount val="41"/>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pt idx="16">
                  <c:v>2036</c:v>
                </c:pt>
                <c:pt idx="17">
                  <c:v>2037</c:v>
                </c:pt>
                <c:pt idx="18">
                  <c:v>2038</c:v>
                </c:pt>
                <c:pt idx="19">
                  <c:v>2039</c:v>
                </c:pt>
                <c:pt idx="20">
                  <c:v>2040</c:v>
                </c:pt>
                <c:pt idx="21">
                  <c:v>2041</c:v>
                </c:pt>
                <c:pt idx="22">
                  <c:v>2042</c:v>
                </c:pt>
                <c:pt idx="23">
                  <c:v>2043</c:v>
                </c:pt>
                <c:pt idx="24">
                  <c:v>2044</c:v>
                </c:pt>
                <c:pt idx="25">
                  <c:v>2045</c:v>
                </c:pt>
                <c:pt idx="26">
                  <c:v>2046</c:v>
                </c:pt>
                <c:pt idx="27">
                  <c:v>2047</c:v>
                </c:pt>
                <c:pt idx="28">
                  <c:v>2048</c:v>
                </c:pt>
                <c:pt idx="29">
                  <c:v>2049</c:v>
                </c:pt>
                <c:pt idx="30">
                  <c:v>2050</c:v>
                </c:pt>
                <c:pt idx="31">
                  <c:v>2051</c:v>
                </c:pt>
                <c:pt idx="32">
                  <c:v>2052</c:v>
                </c:pt>
                <c:pt idx="33">
                  <c:v>2053</c:v>
                </c:pt>
                <c:pt idx="34">
                  <c:v>2054</c:v>
                </c:pt>
                <c:pt idx="35">
                  <c:v>2055</c:v>
                </c:pt>
                <c:pt idx="36">
                  <c:v>2056</c:v>
                </c:pt>
                <c:pt idx="37">
                  <c:v>2057</c:v>
                </c:pt>
                <c:pt idx="38">
                  <c:v>2058</c:v>
                </c:pt>
                <c:pt idx="39">
                  <c:v>2059</c:v>
                </c:pt>
                <c:pt idx="40">
                  <c:v>2060</c:v>
                </c:pt>
              </c:numCache>
            </c:numRef>
          </c:cat>
          <c:val>
            <c:numRef>
              <c:f>'Fr-v'!$G$21:$G$76</c:f>
              <c:numCache>
                <c:formatCode>0.0_ </c:formatCode>
                <c:ptCount val="41"/>
                <c:pt idx="0" formatCode="0.0">
                  <c:v>4</c:v>
                </c:pt>
                <c:pt idx="1">
                  <c:v>3.6</c:v>
                </c:pt>
                <c:pt idx="2">
                  <c:v>3.2</c:v>
                </c:pt>
                <c:pt idx="3">
                  <c:v>2.8000000000000003</c:v>
                </c:pt>
                <c:pt idx="4">
                  <c:v>2.4000000000000004</c:v>
                </c:pt>
                <c:pt idx="5">
                  <c:v>2.0000000000000004</c:v>
                </c:pt>
                <c:pt idx="6">
                  <c:v>1.6000000000000005</c:v>
                </c:pt>
                <c:pt idx="7">
                  <c:v>1.2000000000000006</c:v>
                </c:pt>
                <c:pt idx="8">
                  <c:v>0.8000000000000006</c:v>
                </c:pt>
                <c:pt idx="9">
                  <c:v>0.40000000000000058</c:v>
                </c:pt>
                <c:pt idx="10">
                  <c:v>5.5511151231257827E-16</c:v>
                </c:pt>
                <c:pt idx="11">
                  <c:v>5.5511151231257827E-16</c:v>
                </c:pt>
                <c:pt idx="12">
                  <c:v>5.5511151231257827E-16</c:v>
                </c:pt>
                <c:pt idx="13">
                  <c:v>5.5511151231257827E-16</c:v>
                </c:pt>
                <c:pt idx="14">
                  <c:v>5.5511151231257827E-16</c:v>
                </c:pt>
                <c:pt idx="15">
                  <c:v>5.5511151231257827E-16</c:v>
                </c:pt>
                <c:pt idx="16">
                  <c:v>5.5511151231257827E-16</c:v>
                </c:pt>
                <c:pt idx="17">
                  <c:v>5.5511151231257827E-16</c:v>
                </c:pt>
                <c:pt idx="18">
                  <c:v>5.5511151231257827E-16</c:v>
                </c:pt>
                <c:pt idx="19">
                  <c:v>5.5511151231257827E-16</c:v>
                </c:pt>
                <c:pt idx="20">
                  <c:v>5.5511151231257827E-16</c:v>
                </c:pt>
                <c:pt idx="21">
                  <c:v>5.5511151231257827E-16</c:v>
                </c:pt>
                <c:pt idx="22">
                  <c:v>5.5511151231257827E-16</c:v>
                </c:pt>
                <c:pt idx="23">
                  <c:v>5.5511151231257827E-16</c:v>
                </c:pt>
                <c:pt idx="24">
                  <c:v>5.5511151231257827E-16</c:v>
                </c:pt>
                <c:pt idx="25">
                  <c:v>5.5511151231257827E-16</c:v>
                </c:pt>
                <c:pt idx="26">
                  <c:v>5.5511151231257827E-16</c:v>
                </c:pt>
                <c:pt idx="27">
                  <c:v>5.5511151231257827E-16</c:v>
                </c:pt>
                <c:pt idx="28">
                  <c:v>5.5511151231257827E-16</c:v>
                </c:pt>
                <c:pt idx="29">
                  <c:v>5.5511151231257827E-16</c:v>
                </c:pt>
                <c:pt idx="30">
                  <c:v>5.5511151231257827E-16</c:v>
                </c:pt>
                <c:pt idx="31">
                  <c:v>5.5511151231257827E-16</c:v>
                </c:pt>
                <c:pt idx="32">
                  <c:v>5.5511151231257827E-16</c:v>
                </c:pt>
                <c:pt idx="33">
                  <c:v>5.5511151231257827E-16</c:v>
                </c:pt>
                <c:pt idx="34">
                  <c:v>5.5511151231257827E-16</c:v>
                </c:pt>
                <c:pt idx="35">
                  <c:v>5.5511151231257827E-16</c:v>
                </c:pt>
                <c:pt idx="36">
                  <c:v>5.5511151231257827E-16</c:v>
                </c:pt>
                <c:pt idx="37">
                  <c:v>5.5511151231257827E-16</c:v>
                </c:pt>
                <c:pt idx="38">
                  <c:v>5.5511151231257827E-16</c:v>
                </c:pt>
                <c:pt idx="39">
                  <c:v>5.5511151231257827E-16</c:v>
                </c:pt>
                <c:pt idx="40">
                  <c:v>5.5511151231257827E-16</c:v>
                </c:pt>
              </c:numCache>
            </c:numRef>
          </c:val>
          <c:extLst>
            <c:ext xmlns:c16="http://schemas.microsoft.com/office/drawing/2014/chart" uri="{C3380CC4-5D6E-409C-BE32-E72D297353CC}">
              <c16:uniqueId val="{00000000-5240-4899-BAAF-D9F7AF446403}"/>
            </c:ext>
          </c:extLst>
        </c:ser>
        <c:ser>
          <c:idx val="1"/>
          <c:order val="1"/>
          <c:tx>
            <c:strRef>
              <c:f>'Fr-v'!$H$20</c:f>
              <c:strCache>
                <c:ptCount val="1"/>
                <c:pt idx="0">
                  <c:v>轻型货车</c:v>
                </c:pt>
              </c:strCache>
            </c:strRef>
          </c:tx>
          <c:spPr>
            <a:solidFill>
              <a:schemeClr val="accent2"/>
            </a:solidFill>
            <a:ln>
              <a:noFill/>
            </a:ln>
            <a:effectLst/>
          </c:spPr>
          <c:invertIfNegative val="0"/>
          <c:cat>
            <c:numRef>
              <c:f>'Fr-v'!$F$21:$F$76</c:f>
              <c:numCache>
                <c:formatCode>General</c:formatCode>
                <c:ptCount val="41"/>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pt idx="16">
                  <c:v>2036</c:v>
                </c:pt>
                <c:pt idx="17">
                  <c:v>2037</c:v>
                </c:pt>
                <c:pt idx="18">
                  <c:v>2038</c:v>
                </c:pt>
                <c:pt idx="19">
                  <c:v>2039</c:v>
                </c:pt>
                <c:pt idx="20">
                  <c:v>2040</c:v>
                </c:pt>
                <c:pt idx="21">
                  <c:v>2041</c:v>
                </c:pt>
                <c:pt idx="22">
                  <c:v>2042</c:v>
                </c:pt>
                <c:pt idx="23">
                  <c:v>2043</c:v>
                </c:pt>
                <c:pt idx="24">
                  <c:v>2044</c:v>
                </c:pt>
                <c:pt idx="25">
                  <c:v>2045</c:v>
                </c:pt>
                <c:pt idx="26">
                  <c:v>2046</c:v>
                </c:pt>
                <c:pt idx="27">
                  <c:v>2047</c:v>
                </c:pt>
                <c:pt idx="28">
                  <c:v>2048</c:v>
                </c:pt>
                <c:pt idx="29">
                  <c:v>2049</c:v>
                </c:pt>
                <c:pt idx="30">
                  <c:v>2050</c:v>
                </c:pt>
                <c:pt idx="31">
                  <c:v>2051</c:v>
                </c:pt>
                <c:pt idx="32">
                  <c:v>2052</c:v>
                </c:pt>
                <c:pt idx="33">
                  <c:v>2053</c:v>
                </c:pt>
                <c:pt idx="34">
                  <c:v>2054</c:v>
                </c:pt>
                <c:pt idx="35">
                  <c:v>2055</c:v>
                </c:pt>
                <c:pt idx="36">
                  <c:v>2056</c:v>
                </c:pt>
                <c:pt idx="37">
                  <c:v>2057</c:v>
                </c:pt>
                <c:pt idx="38">
                  <c:v>2058</c:v>
                </c:pt>
                <c:pt idx="39">
                  <c:v>2059</c:v>
                </c:pt>
                <c:pt idx="40">
                  <c:v>2060</c:v>
                </c:pt>
              </c:numCache>
            </c:numRef>
          </c:cat>
          <c:val>
            <c:numRef>
              <c:f>'Fr-v'!$H$21:$H$76</c:f>
              <c:numCache>
                <c:formatCode>0.0_ </c:formatCode>
                <c:ptCount val="41"/>
                <c:pt idx="0" formatCode="0.0">
                  <c:v>2097.8199999999997</c:v>
                </c:pt>
                <c:pt idx="1">
                  <c:v>2170.270146989968</c:v>
                </c:pt>
                <c:pt idx="2">
                  <c:v>2237.2139763666592</c:v>
                </c:pt>
                <c:pt idx="3">
                  <c:v>2317.5579721814979</c:v>
                </c:pt>
                <c:pt idx="4">
                  <c:v>2384.7143717290978</c:v>
                </c:pt>
                <c:pt idx="5">
                  <c:v>2457.7455011015927</c:v>
                </c:pt>
                <c:pt idx="6">
                  <c:v>2502.9494954439119</c:v>
                </c:pt>
                <c:pt idx="7">
                  <c:v>2546.1736298450583</c:v>
                </c:pt>
                <c:pt idx="8">
                  <c:v>2587.5868694293717</c:v>
                </c:pt>
                <c:pt idx="9">
                  <c:v>2623.1650627407721</c:v>
                </c:pt>
                <c:pt idx="10">
                  <c:v>2658.5548552588148</c:v>
                </c:pt>
                <c:pt idx="11">
                  <c:v>2672.6081114865715</c:v>
                </c:pt>
                <c:pt idx="12">
                  <c:v>2688.4770903879871</c:v>
                </c:pt>
                <c:pt idx="13">
                  <c:v>2700.4912440380076</c:v>
                </c:pt>
                <c:pt idx="14">
                  <c:v>2721.0292250825746</c:v>
                </c:pt>
                <c:pt idx="15">
                  <c:v>2738.7741480973718</c:v>
                </c:pt>
                <c:pt idx="16">
                  <c:v>2752.1948335269099</c:v>
                </c:pt>
                <c:pt idx="17">
                  <c:v>2760.0248273481293</c:v>
                </c:pt>
                <c:pt idx="18">
                  <c:v>2760.4608648064941</c:v>
                </c:pt>
                <c:pt idx="19">
                  <c:v>2761.5520854906276</c:v>
                </c:pt>
                <c:pt idx="20">
                  <c:v>2769.0609078597058</c:v>
                </c:pt>
                <c:pt idx="21">
                  <c:v>2723.4411393338314</c:v>
                </c:pt>
                <c:pt idx="22">
                  <c:v>2583.8399280090721</c:v>
                </c:pt>
                <c:pt idx="23">
                  <c:v>2501.7550351146792</c:v>
                </c:pt>
                <c:pt idx="24">
                  <c:v>2416.2209700176381</c:v>
                </c:pt>
                <c:pt idx="25">
                  <c:v>2326.5021682831907</c:v>
                </c:pt>
                <c:pt idx="26">
                  <c:v>2243.9730185869439</c:v>
                </c:pt>
                <c:pt idx="27">
                  <c:v>2167.9345561658183</c:v>
                </c:pt>
                <c:pt idx="28">
                  <c:v>2097.7582724829422</c:v>
                </c:pt>
                <c:pt idx="29">
                  <c:v>2032.8790865974208</c:v>
                </c:pt>
                <c:pt idx="30">
                  <c:v>1972.7890199693124</c:v>
                </c:pt>
                <c:pt idx="31">
                  <c:v>1915.9127498728451</c:v>
                </c:pt>
                <c:pt idx="32">
                  <c:v>1861.9447724861604</c:v>
                </c:pt>
                <c:pt idx="33">
                  <c:v>1810.6105202260476</c:v>
                </c:pt>
                <c:pt idx="34">
                  <c:v>1761.6632786760292</c:v>
                </c:pt>
                <c:pt idx="35">
                  <c:v>1714.8814121558141</c:v>
                </c:pt>
                <c:pt idx="36">
                  <c:v>1670.0658670804371</c:v>
                </c:pt>
                <c:pt idx="37">
                  <c:v>1627.0379253431261</c:v>
                </c:pt>
                <c:pt idx="38">
                  <c:v>1585.6371827331113</c:v>
                </c:pt>
                <c:pt idx="39">
                  <c:v>1545.7197298990639</c:v>
                </c:pt>
                <c:pt idx="40">
                  <c:v>1507.1565156184311</c:v>
                </c:pt>
              </c:numCache>
            </c:numRef>
          </c:val>
          <c:extLst>
            <c:ext xmlns:c16="http://schemas.microsoft.com/office/drawing/2014/chart" uri="{C3380CC4-5D6E-409C-BE32-E72D297353CC}">
              <c16:uniqueId val="{00000001-5240-4899-BAAF-D9F7AF446403}"/>
            </c:ext>
          </c:extLst>
        </c:ser>
        <c:ser>
          <c:idx val="2"/>
          <c:order val="2"/>
          <c:tx>
            <c:strRef>
              <c:f>'Fr-v'!$I$20</c:f>
              <c:strCache>
                <c:ptCount val="1"/>
                <c:pt idx="0">
                  <c:v>中型货车</c:v>
                </c:pt>
              </c:strCache>
            </c:strRef>
          </c:tx>
          <c:spPr>
            <a:solidFill>
              <a:schemeClr val="accent3"/>
            </a:solidFill>
            <a:ln>
              <a:noFill/>
            </a:ln>
            <a:effectLst/>
          </c:spPr>
          <c:invertIfNegative val="0"/>
          <c:cat>
            <c:numRef>
              <c:f>'Fr-v'!$F$21:$F$76</c:f>
              <c:numCache>
                <c:formatCode>General</c:formatCode>
                <c:ptCount val="41"/>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pt idx="16">
                  <c:v>2036</c:v>
                </c:pt>
                <c:pt idx="17">
                  <c:v>2037</c:v>
                </c:pt>
                <c:pt idx="18">
                  <c:v>2038</c:v>
                </c:pt>
                <c:pt idx="19">
                  <c:v>2039</c:v>
                </c:pt>
                <c:pt idx="20">
                  <c:v>2040</c:v>
                </c:pt>
                <c:pt idx="21">
                  <c:v>2041</c:v>
                </c:pt>
                <c:pt idx="22">
                  <c:v>2042</c:v>
                </c:pt>
                <c:pt idx="23">
                  <c:v>2043</c:v>
                </c:pt>
                <c:pt idx="24">
                  <c:v>2044</c:v>
                </c:pt>
                <c:pt idx="25">
                  <c:v>2045</c:v>
                </c:pt>
                <c:pt idx="26">
                  <c:v>2046</c:v>
                </c:pt>
                <c:pt idx="27">
                  <c:v>2047</c:v>
                </c:pt>
                <c:pt idx="28">
                  <c:v>2048</c:v>
                </c:pt>
                <c:pt idx="29">
                  <c:v>2049</c:v>
                </c:pt>
                <c:pt idx="30">
                  <c:v>2050</c:v>
                </c:pt>
                <c:pt idx="31">
                  <c:v>2051</c:v>
                </c:pt>
                <c:pt idx="32">
                  <c:v>2052</c:v>
                </c:pt>
                <c:pt idx="33">
                  <c:v>2053</c:v>
                </c:pt>
                <c:pt idx="34">
                  <c:v>2054</c:v>
                </c:pt>
                <c:pt idx="35">
                  <c:v>2055</c:v>
                </c:pt>
                <c:pt idx="36">
                  <c:v>2056</c:v>
                </c:pt>
                <c:pt idx="37">
                  <c:v>2057</c:v>
                </c:pt>
                <c:pt idx="38">
                  <c:v>2058</c:v>
                </c:pt>
                <c:pt idx="39">
                  <c:v>2059</c:v>
                </c:pt>
                <c:pt idx="40">
                  <c:v>2060</c:v>
                </c:pt>
              </c:numCache>
            </c:numRef>
          </c:cat>
          <c:val>
            <c:numRef>
              <c:f>'Fr-v'!$I$21:$I$76</c:f>
              <c:numCache>
                <c:formatCode>0</c:formatCode>
                <c:ptCount val="41"/>
                <c:pt idx="0" formatCode="0.0">
                  <c:v>112</c:v>
                </c:pt>
                <c:pt idx="1">
                  <c:v>110.63437149865408</c:v>
                </c:pt>
                <c:pt idx="2">
                  <c:v>108.5935681080215</c:v>
                </c:pt>
                <c:pt idx="3">
                  <c:v>105.93496866873704</c:v>
                </c:pt>
                <c:pt idx="4">
                  <c:v>102.70605039368304</c:v>
                </c:pt>
                <c:pt idx="5">
                  <c:v>98.950494662720104</c:v>
                </c:pt>
                <c:pt idx="6">
                  <c:v>93.784492130114629</c:v>
                </c:pt>
                <c:pt idx="7">
                  <c:v>88.338358579865314</c:v>
                </c:pt>
                <c:pt idx="8">
                  <c:v>82.635526138039623</c:v>
                </c:pt>
                <c:pt idx="9">
                  <c:v>80.880581968171398</c:v>
                </c:pt>
                <c:pt idx="10">
                  <c:v>77.596259285922841</c:v>
                </c:pt>
                <c:pt idx="11">
                  <c:v>75.090141722275533</c:v>
                </c:pt>
                <c:pt idx="12">
                  <c:v>71.147228079636193</c:v>
                </c:pt>
                <c:pt idx="13">
                  <c:v>71.465167828119775</c:v>
                </c:pt>
                <c:pt idx="14">
                  <c:v>72.008680148495245</c:v>
                </c:pt>
                <c:pt idx="15">
                  <c:v>72.478277635304082</c:v>
                </c:pt>
                <c:pt idx="16">
                  <c:v>72.548112746918477</c:v>
                </c:pt>
                <c:pt idx="17">
                  <c:v>72.470606756663457</c:v>
                </c:pt>
                <c:pt idx="18">
                  <c:v>72.482055892505727</c:v>
                </c:pt>
                <c:pt idx="19">
                  <c:v>72.510708325013212</c:v>
                </c:pt>
                <c:pt idx="20">
                  <c:v>72.707869201148512</c:v>
                </c:pt>
                <c:pt idx="21">
                  <c:v>71.461162145799918</c:v>
                </c:pt>
                <c:pt idx="22">
                  <c:v>68.616637953156527</c:v>
                </c:pt>
                <c:pt idx="23">
                  <c:v>66.486255808047005</c:v>
                </c:pt>
                <c:pt idx="24">
                  <c:v>64.266355913485285</c:v>
                </c:pt>
                <c:pt idx="25">
                  <c:v>61.937847870700892</c:v>
                </c:pt>
                <c:pt idx="26">
                  <c:v>59.795935750645427</c:v>
                </c:pt>
                <c:pt idx="27">
                  <c:v>57.822479040505605</c:v>
                </c:pt>
                <c:pt idx="28">
                  <c:v>56.001165806163158</c:v>
                </c:pt>
                <c:pt idx="29">
                  <c:v>54.317330275335557</c:v>
                </c:pt>
                <c:pt idx="30">
                  <c:v>52.757788677252911</c:v>
                </c:pt>
                <c:pt idx="31">
                  <c:v>51.281656029436327</c:v>
                </c:pt>
                <c:pt idx="32">
                  <c:v>49.881003468676013</c:v>
                </c:pt>
                <c:pt idx="33">
                  <c:v>48.548705032370648</c:v>
                </c:pt>
                <c:pt idx="34">
                  <c:v>47.27835764232556</c:v>
                </c:pt>
                <c:pt idx="35">
                  <c:v>46.064209098844046</c:v>
                </c:pt>
                <c:pt idx="36">
                  <c:v>44.901093284405839</c:v>
                </c:pt>
                <c:pt idx="37">
                  <c:v>43.784371856311708</c:v>
                </c:pt>
                <c:pt idx="38">
                  <c:v>42.709881779750063</c:v>
                </c:pt>
                <c:pt idx="39">
                  <c:v>41.67388811761159</c:v>
                </c:pt>
                <c:pt idx="40">
                  <c:v>40.673041551761891</c:v>
                </c:pt>
              </c:numCache>
            </c:numRef>
          </c:val>
          <c:extLst>
            <c:ext xmlns:c16="http://schemas.microsoft.com/office/drawing/2014/chart" uri="{C3380CC4-5D6E-409C-BE32-E72D297353CC}">
              <c16:uniqueId val="{00000002-5240-4899-BAAF-D9F7AF446403}"/>
            </c:ext>
          </c:extLst>
        </c:ser>
        <c:ser>
          <c:idx val="3"/>
          <c:order val="3"/>
          <c:tx>
            <c:strRef>
              <c:f>'Fr-v'!$J$20</c:f>
              <c:strCache>
                <c:ptCount val="1"/>
                <c:pt idx="0">
                  <c:v>重型货车</c:v>
                </c:pt>
              </c:strCache>
            </c:strRef>
          </c:tx>
          <c:spPr>
            <a:solidFill>
              <a:schemeClr val="accent4"/>
            </a:solidFill>
            <a:ln>
              <a:noFill/>
            </a:ln>
            <a:effectLst/>
          </c:spPr>
          <c:invertIfNegative val="0"/>
          <c:cat>
            <c:numRef>
              <c:f>'Fr-v'!$F$21:$F$76</c:f>
              <c:numCache>
                <c:formatCode>General</c:formatCode>
                <c:ptCount val="41"/>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pt idx="16">
                  <c:v>2036</c:v>
                </c:pt>
                <c:pt idx="17">
                  <c:v>2037</c:v>
                </c:pt>
                <c:pt idx="18">
                  <c:v>2038</c:v>
                </c:pt>
                <c:pt idx="19">
                  <c:v>2039</c:v>
                </c:pt>
                <c:pt idx="20">
                  <c:v>2040</c:v>
                </c:pt>
                <c:pt idx="21">
                  <c:v>2041</c:v>
                </c:pt>
                <c:pt idx="22">
                  <c:v>2042</c:v>
                </c:pt>
                <c:pt idx="23">
                  <c:v>2043</c:v>
                </c:pt>
                <c:pt idx="24">
                  <c:v>2044</c:v>
                </c:pt>
                <c:pt idx="25">
                  <c:v>2045</c:v>
                </c:pt>
                <c:pt idx="26">
                  <c:v>2046</c:v>
                </c:pt>
                <c:pt idx="27">
                  <c:v>2047</c:v>
                </c:pt>
                <c:pt idx="28">
                  <c:v>2048</c:v>
                </c:pt>
                <c:pt idx="29">
                  <c:v>2049</c:v>
                </c:pt>
                <c:pt idx="30">
                  <c:v>2050</c:v>
                </c:pt>
                <c:pt idx="31">
                  <c:v>2051</c:v>
                </c:pt>
                <c:pt idx="32">
                  <c:v>2052</c:v>
                </c:pt>
                <c:pt idx="33">
                  <c:v>2053</c:v>
                </c:pt>
                <c:pt idx="34">
                  <c:v>2054</c:v>
                </c:pt>
                <c:pt idx="35">
                  <c:v>2055</c:v>
                </c:pt>
                <c:pt idx="36">
                  <c:v>2056</c:v>
                </c:pt>
                <c:pt idx="37">
                  <c:v>2057</c:v>
                </c:pt>
                <c:pt idx="38">
                  <c:v>2058</c:v>
                </c:pt>
                <c:pt idx="39">
                  <c:v>2059</c:v>
                </c:pt>
                <c:pt idx="40">
                  <c:v>2060</c:v>
                </c:pt>
              </c:numCache>
            </c:numRef>
          </c:cat>
          <c:val>
            <c:numRef>
              <c:f>'Fr-v'!$J$21:$J$76</c:f>
              <c:numCache>
                <c:formatCode>0.0</c:formatCode>
                <c:ptCount val="41"/>
                <c:pt idx="0">
                  <c:v>832.3</c:v>
                </c:pt>
                <c:pt idx="1">
                  <c:v>882.67614935141069</c:v>
                </c:pt>
                <c:pt idx="2">
                  <c:v>932.45887162605084</c:v>
                </c:pt>
                <c:pt idx="3">
                  <c:v>963.13797849696482</c:v>
                </c:pt>
                <c:pt idx="4">
                  <c:v>1001.68251483952</c:v>
                </c:pt>
                <c:pt idx="5">
                  <c:v>1029.3919260096006</c:v>
                </c:pt>
                <c:pt idx="6">
                  <c:v>1045.3387320388044</c:v>
                </c:pt>
                <c:pt idx="7">
                  <c:v>1060.3763185086266</c:v>
                </c:pt>
                <c:pt idx="8">
                  <c:v>1074.5820889779438</c:v>
                </c:pt>
                <c:pt idx="9">
                  <c:v>1088.0286347435431</c:v>
                </c:pt>
                <c:pt idx="10">
                  <c:v>1100.7840987429142</c:v>
                </c:pt>
                <c:pt idx="11">
                  <c:v>1105.4296413665886</c:v>
                </c:pt>
                <c:pt idx="12">
                  <c:v>1110.2276303839515</c:v>
                </c:pt>
                <c:pt idx="13">
                  <c:v>1115.1889690487367</c:v>
                </c:pt>
                <c:pt idx="14">
                  <c:v>1123.6702888671211</c:v>
                </c:pt>
                <c:pt idx="15">
                  <c:v>1130.9981935386913</c:v>
                </c:pt>
                <c:pt idx="16">
                  <c:v>1121.3061560877975</c:v>
                </c:pt>
                <c:pt idx="17">
                  <c:v>1109.3379494504679</c:v>
                </c:pt>
                <c:pt idx="18">
                  <c:v>1109.5132061710426</c:v>
                </c:pt>
                <c:pt idx="19">
                  <c:v>1109.9518009634298</c:v>
                </c:pt>
                <c:pt idx="20">
                  <c:v>1112.9698251229099</c:v>
                </c:pt>
                <c:pt idx="21">
                  <c:v>1092.0252016914285</c:v>
                </c:pt>
                <c:pt idx="22">
                  <c:v>1079.751100785475</c:v>
                </c:pt>
                <c:pt idx="23">
                  <c:v>1048.0902732897844</c:v>
                </c:pt>
                <c:pt idx="24">
                  <c:v>1015.0990713212718</c:v>
                </c:pt>
                <c:pt idx="25">
                  <c:v>980.49378154536873</c:v>
                </c:pt>
                <c:pt idx="26">
                  <c:v>948.66160049762584</c:v>
                </c:pt>
                <c:pt idx="27">
                  <c:v>919.33293164195516</c:v>
                </c:pt>
                <c:pt idx="28">
                  <c:v>892.26535399608144</c:v>
                </c:pt>
                <c:pt idx="29">
                  <c:v>867.24091113026566</c:v>
                </c:pt>
                <c:pt idx="30">
                  <c:v>844.0636714868541</c:v>
                </c:pt>
                <c:pt idx="31">
                  <c:v>822.12601995773116</c:v>
                </c:pt>
                <c:pt idx="32">
                  <c:v>801.31012117195257</c:v>
                </c:pt>
                <c:pt idx="33">
                  <c:v>781.51007212372213</c:v>
                </c:pt>
                <c:pt idx="34">
                  <c:v>762.63071300585329</c:v>
                </c:pt>
                <c:pt idx="35">
                  <c:v>744.58655708877654</c:v>
                </c:pt>
                <c:pt idx="36">
                  <c:v>727.30082774534708</c:v>
                </c:pt>
                <c:pt idx="37">
                  <c:v>710.70459191188729</c:v>
                </c:pt>
                <c:pt idx="38">
                  <c:v>694.73598034708232</c:v>
                </c:pt>
                <c:pt idx="39">
                  <c:v>679.33948601441466</c:v>
                </c:pt>
                <c:pt idx="40">
                  <c:v>664.46533278150127</c:v>
                </c:pt>
              </c:numCache>
            </c:numRef>
          </c:val>
          <c:extLst>
            <c:ext xmlns:c16="http://schemas.microsoft.com/office/drawing/2014/chart" uri="{C3380CC4-5D6E-409C-BE32-E72D297353CC}">
              <c16:uniqueId val="{00000003-5240-4899-BAAF-D9F7AF446403}"/>
            </c:ext>
          </c:extLst>
        </c:ser>
        <c:dLbls>
          <c:showLegendKey val="0"/>
          <c:showVal val="0"/>
          <c:showCatName val="0"/>
          <c:showSerName val="0"/>
          <c:showPercent val="0"/>
          <c:showBubbleSize val="0"/>
        </c:dLbls>
        <c:gapWidth val="150"/>
        <c:overlap val="100"/>
        <c:axId val="654558543"/>
        <c:axId val="616789839"/>
      </c:barChart>
      <c:catAx>
        <c:axId val="654558543"/>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616789839"/>
        <c:crosses val="autoZero"/>
        <c:auto val="1"/>
        <c:lblAlgn val="ctr"/>
        <c:lblOffset val="100"/>
        <c:noMultiLvlLbl val="0"/>
      </c:catAx>
      <c:valAx>
        <c:axId val="616789839"/>
        <c:scaling>
          <c:orientation val="minMax"/>
        </c:scaling>
        <c:delete val="0"/>
        <c:axPos val="l"/>
        <c:majorGridlines>
          <c:spPr>
            <a:ln w="9525" cap="flat" cmpd="sng" algn="ctr">
              <a:solidFill>
                <a:schemeClr val="tx1">
                  <a:lumMod val="15000"/>
                  <a:lumOff val="85000"/>
                </a:schemeClr>
              </a:solidFill>
              <a:round/>
            </a:ln>
            <a:effectLst/>
          </c:spPr>
        </c:majorGridlines>
        <c:numFmt formatCode="0_);[Red]\(0\)" sourceLinked="0"/>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6545585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楷体" panose="02010609060101010101" pitchFamily="49" charset="-122"/>
              <a:ea typeface="楷体" panose="02010609060101010101" pitchFamily="49" charset="-122"/>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'Fr-v'!$AA$169</c:f>
              <c:strCache>
                <c:ptCount val="1"/>
                <c:pt idx="0">
                  <c:v>汽油 gas</c:v>
                </c:pt>
              </c:strCache>
            </c:strRef>
          </c:tx>
          <c:spPr>
            <a:solidFill>
              <a:schemeClr val="accent1"/>
            </a:solidFill>
            <a:ln>
              <a:noFill/>
            </a:ln>
            <a:effectLst/>
          </c:spPr>
          <c:invertIfNegative val="0"/>
          <c:cat>
            <c:numRef>
              <c:f>'Fr-v'!$E$170:$E$225</c:f>
              <c:numCache>
                <c:formatCode>General</c:formatCode>
                <c:ptCount val="41"/>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pt idx="16">
                  <c:v>2036</c:v>
                </c:pt>
                <c:pt idx="17">
                  <c:v>2037</c:v>
                </c:pt>
                <c:pt idx="18">
                  <c:v>2038</c:v>
                </c:pt>
                <c:pt idx="19">
                  <c:v>2039</c:v>
                </c:pt>
                <c:pt idx="20">
                  <c:v>2040</c:v>
                </c:pt>
                <c:pt idx="21">
                  <c:v>2041</c:v>
                </c:pt>
                <c:pt idx="22">
                  <c:v>2042</c:v>
                </c:pt>
                <c:pt idx="23">
                  <c:v>2043</c:v>
                </c:pt>
                <c:pt idx="24">
                  <c:v>2044</c:v>
                </c:pt>
                <c:pt idx="25">
                  <c:v>2045</c:v>
                </c:pt>
                <c:pt idx="26">
                  <c:v>2046</c:v>
                </c:pt>
                <c:pt idx="27">
                  <c:v>2047</c:v>
                </c:pt>
                <c:pt idx="28">
                  <c:v>2048</c:v>
                </c:pt>
                <c:pt idx="29">
                  <c:v>2049</c:v>
                </c:pt>
                <c:pt idx="30">
                  <c:v>2050</c:v>
                </c:pt>
                <c:pt idx="31">
                  <c:v>2051</c:v>
                </c:pt>
                <c:pt idx="32">
                  <c:v>2052</c:v>
                </c:pt>
                <c:pt idx="33">
                  <c:v>2053</c:v>
                </c:pt>
                <c:pt idx="34">
                  <c:v>2054</c:v>
                </c:pt>
                <c:pt idx="35">
                  <c:v>2055</c:v>
                </c:pt>
                <c:pt idx="36">
                  <c:v>2056</c:v>
                </c:pt>
                <c:pt idx="37">
                  <c:v>2057</c:v>
                </c:pt>
                <c:pt idx="38">
                  <c:v>2058</c:v>
                </c:pt>
                <c:pt idx="39">
                  <c:v>2059</c:v>
                </c:pt>
                <c:pt idx="40">
                  <c:v>2060</c:v>
                </c:pt>
              </c:numCache>
            </c:numRef>
          </c:cat>
          <c:val>
            <c:numRef>
              <c:f>'Fr-v'!$AA$170:$AA$225</c:f>
              <c:numCache>
                <c:formatCode>0.00%</c:formatCode>
                <c:ptCount val="4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numCache>
            </c:numRef>
          </c:val>
          <c:extLst>
            <c:ext xmlns:c16="http://schemas.microsoft.com/office/drawing/2014/chart" uri="{C3380CC4-5D6E-409C-BE32-E72D297353CC}">
              <c16:uniqueId val="{00000000-7808-4F46-8501-0B34FAAD371B}"/>
            </c:ext>
          </c:extLst>
        </c:ser>
        <c:ser>
          <c:idx val="1"/>
          <c:order val="1"/>
          <c:tx>
            <c:strRef>
              <c:f>'Fr-v'!$AB$169</c:f>
              <c:strCache>
                <c:ptCount val="1"/>
                <c:pt idx="0">
                  <c:v>柴油diesel</c:v>
                </c:pt>
              </c:strCache>
            </c:strRef>
          </c:tx>
          <c:spPr>
            <a:solidFill>
              <a:schemeClr val="accent2"/>
            </a:solidFill>
            <a:ln>
              <a:noFill/>
            </a:ln>
            <a:effectLst/>
          </c:spPr>
          <c:invertIfNegative val="0"/>
          <c:cat>
            <c:numRef>
              <c:f>'Fr-v'!$E$170:$E$225</c:f>
              <c:numCache>
                <c:formatCode>General</c:formatCode>
                <c:ptCount val="41"/>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pt idx="16">
                  <c:v>2036</c:v>
                </c:pt>
                <c:pt idx="17">
                  <c:v>2037</c:v>
                </c:pt>
                <c:pt idx="18">
                  <c:v>2038</c:v>
                </c:pt>
                <c:pt idx="19">
                  <c:v>2039</c:v>
                </c:pt>
                <c:pt idx="20">
                  <c:v>2040</c:v>
                </c:pt>
                <c:pt idx="21">
                  <c:v>2041</c:v>
                </c:pt>
                <c:pt idx="22">
                  <c:v>2042</c:v>
                </c:pt>
                <c:pt idx="23">
                  <c:v>2043</c:v>
                </c:pt>
                <c:pt idx="24">
                  <c:v>2044</c:v>
                </c:pt>
                <c:pt idx="25">
                  <c:v>2045</c:v>
                </c:pt>
                <c:pt idx="26">
                  <c:v>2046</c:v>
                </c:pt>
                <c:pt idx="27">
                  <c:v>2047</c:v>
                </c:pt>
                <c:pt idx="28">
                  <c:v>2048</c:v>
                </c:pt>
                <c:pt idx="29">
                  <c:v>2049</c:v>
                </c:pt>
                <c:pt idx="30">
                  <c:v>2050</c:v>
                </c:pt>
                <c:pt idx="31">
                  <c:v>2051</c:v>
                </c:pt>
                <c:pt idx="32">
                  <c:v>2052</c:v>
                </c:pt>
                <c:pt idx="33">
                  <c:v>2053</c:v>
                </c:pt>
                <c:pt idx="34">
                  <c:v>2054</c:v>
                </c:pt>
                <c:pt idx="35">
                  <c:v>2055</c:v>
                </c:pt>
                <c:pt idx="36">
                  <c:v>2056</c:v>
                </c:pt>
                <c:pt idx="37">
                  <c:v>2057</c:v>
                </c:pt>
                <c:pt idx="38">
                  <c:v>2058</c:v>
                </c:pt>
                <c:pt idx="39">
                  <c:v>2059</c:v>
                </c:pt>
                <c:pt idx="40">
                  <c:v>2060</c:v>
                </c:pt>
              </c:numCache>
            </c:numRef>
          </c:cat>
          <c:val>
            <c:numRef>
              <c:f>'Fr-v'!$AB$170:$AB$225</c:f>
              <c:numCache>
                <c:formatCode>0.00%</c:formatCode>
                <c:ptCount val="41"/>
                <c:pt idx="0">
                  <c:v>0.93396999999999997</c:v>
                </c:pt>
                <c:pt idx="1">
                  <c:v>0.93563399999999997</c:v>
                </c:pt>
                <c:pt idx="2">
                  <c:v>0.93729799999999996</c:v>
                </c:pt>
                <c:pt idx="3">
                  <c:v>0.93896199999999996</c:v>
                </c:pt>
                <c:pt idx="4">
                  <c:v>0.94062599999999996</c:v>
                </c:pt>
                <c:pt idx="5">
                  <c:v>0.94228999999999996</c:v>
                </c:pt>
                <c:pt idx="6">
                  <c:v>0.93856099999999998</c:v>
                </c:pt>
                <c:pt idx="7">
                  <c:v>0.934832</c:v>
                </c:pt>
                <c:pt idx="8">
                  <c:v>0.93110300000000001</c:v>
                </c:pt>
                <c:pt idx="9">
                  <c:v>0.92737399999999992</c:v>
                </c:pt>
                <c:pt idx="10">
                  <c:v>0.92364499999999994</c:v>
                </c:pt>
                <c:pt idx="11">
                  <c:v>0.91891599999999996</c:v>
                </c:pt>
                <c:pt idx="12">
                  <c:v>0.91418699999999997</c:v>
                </c:pt>
                <c:pt idx="13">
                  <c:v>0.90945799999999988</c:v>
                </c:pt>
                <c:pt idx="14">
                  <c:v>0.90472899999999989</c:v>
                </c:pt>
                <c:pt idx="15">
                  <c:v>0.89999999999999991</c:v>
                </c:pt>
                <c:pt idx="16">
                  <c:v>0.87000000000000011</c:v>
                </c:pt>
                <c:pt idx="17">
                  <c:v>0.84000000000000008</c:v>
                </c:pt>
                <c:pt idx="18">
                  <c:v>0.81</c:v>
                </c:pt>
                <c:pt idx="19">
                  <c:v>0.78</c:v>
                </c:pt>
                <c:pt idx="20">
                  <c:v>0.75</c:v>
                </c:pt>
                <c:pt idx="21">
                  <c:v>0.73499999999999988</c:v>
                </c:pt>
                <c:pt idx="22">
                  <c:v>0.72</c:v>
                </c:pt>
                <c:pt idx="23">
                  <c:v>0.70500000000000007</c:v>
                </c:pt>
                <c:pt idx="24">
                  <c:v>0.69</c:v>
                </c:pt>
                <c:pt idx="25">
                  <c:v>0.67499999999999982</c:v>
                </c:pt>
                <c:pt idx="26">
                  <c:v>0.65999999999999992</c:v>
                </c:pt>
                <c:pt idx="27">
                  <c:v>0.64500000000000002</c:v>
                </c:pt>
                <c:pt idx="28">
                  <c:v>0.62999999999999989</c:v>
                </c:pt>
                <c:pt idx="29">
                  <c:v>0.61499999999999977</c:v>
                </c:pt>
                <c:pt idx="30">
                  <c:v>0.60000000000000009</c:v>
                </c:pt>
                <c:pt idx="31">
                  <c:v>0.54800000000000004</c:v>
                </c:pt>
                <c:pt idx="32">
                  <c:v>0.496</c:v>
                </c:pt>
                <c:pt idx="33">
                  <c:v>0.44399999999999995</c:v>
                </c:pt>
                <c:pt idx="34">
                  <c:v>0.3919999999999999</c:v>
                </c:pt>
                <c:pt idx="35">
                  <c:v>0.33999999999999986</c:v>
                </c:pt>
                <c:pt idx="36">
                  <c:v>0.28799999999999981</c:v>
                </c:pt>
                <c:pt idx="37">
                  <c:v>0.23599999999999977</c:v>
                </c:pt>
                <c:pt idx="38">
                  <c:v>0.18399999999999972</c:v>
                </c:pt>
                <c:pt idx="39">
                  <c:v>0.13199999999999967</c:v>
                </c:pt>
                <c:pt idx="40">
                  <c:v>8.0000000000000016E-2</c:v>
                </c:pt>
              </c:numCache>
            </c:numRef>
          </c:val>
          <c:extLst>
            <c:ext xmlns:c16="http://schemas.microsoft.com/office/drawing/2014/chart" uri="{C3380CC4-5D6E-409C-BE32-E72D297353CC}">
              <c16:uniqueId val="{00000001-7808-4F46-8501-0B34FAAD371B}"/>
            </c:ext>
          </c:extLst>
        </c:ser>
        <c:ser>
          <c:idx val="2"/>
          <c:order val="2"/>
          <c:tx>
            <c:strRef>
              <c:f>'Fr-v'!$AC$169</c:f>
              <c:strCache>
                <c:ptCount val="1"/>
                <c:pt idx="0">
                  <c:v>天然气 nature gas</c:v>
                </c:pt>
              </c:strCache>
            </c:strRef>
          </c:tx>
          <c:spPr>
            <a:solidFill>
              <a:schemeClr val="accent3"/>
            </a:solidFill>
            <a:ln>
              <a:noFill/>
            </a:ln>
            <a:effectLst/>
          </c:spPr>
          <c:invertIfNegative val="0"/>
          <c:cat>
            <c:numRef>
              <c:f>'Fr-v'!$E$170:$E$225</c:f>
              <c:numCache>
                <c:formatCode>General</c:formatCode>
                <c:ptCount val="41"/>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pt idx="16">
                  <c:v>2036</c:v>
                </c:pt>
                <c:pt idx="17">
                  <c:v>2037</c:v>
                </c:pt>
                <c:pt idx="18">
                  <c:v>2038</c:v>
                </c:pt>
                <c:pt idx="19">
                  <c:v>2039</c:v>
                </c:pt>
                <c:pt idx="20">
                  <c:v>2040</c:v>
                </c:pt>
                <c:pt idx="21">
                  <c:v>2041</c:v>
                </c:pt>
                <c:pt idx="22">
                  <c:v>2042</c:v>
                </c:pt>
                <c:pt idx="23">
                  <c:v>2043</c:v>
                </c:pt>
                <c:pt idx="24">
                  <c:v>2044</c:v>
                </c:pt>
                <c:pt idx="25">
                  <c:v>2045</c:v>
                </c:pt>
                <c:pt idx="26">
                  <c:v>2046</c:v>
                </c:pt>
                <c:pt idx="27">
                  <c:v>2047</c:v>
                </c:pt>
                <c:pt idx="28">
                  <c:v>2048</c:v>
                </c:pt>
                <c:pt idx="29">
                  <c:v>2049</c:v>
                </c:pt>
                <c:pt idx="30">
                  <c:v>2050</c:v>
                </c:pt>
                <c:pt idx="31">
                  <c:v>2051</c:v>
                </c:pt>
                <c:pt idx="32">
                  <c:v>2052</c:v>
                </c:pt>
                <c:pt idx="33">
                  <c:v>2053</c:v>
                </c:pt>
                <c:pt idx="34">
                  <c:v>2054</c:v>
                </c:pt>
                <c:pt idx="35">
                  <c:v>2055</c:v>
                </c:pt>
                <c:pt idx="36">
                  <c:v>2056</c:v>
                </c:pt>
                <c:pt idx="37">
                  <c:v>2057</c:v>
                </c:pt>
                <c:pt idx="38">
                  <c:v>2058</c:v>
                </c:pt>
                <c:pt idx="39">
                  <c:v>2059</c:v>
                </c:pt>
                <c:pt idx="40">
                  <c:v>2060</c:v>
                </c:pt>
              </c:numCache>
            </c:numRef>
          </c:cat>
          <c:val>
            <c:numRef>
              <c:f>'Fr-v'!$AC$170:$AC$225</c:f>
              <c:numCache>
                <c:formatCode>0.00%</c:formatCode>
                <c:ptCount val="41"/>
                <c:pt idx="0">
                  <c:v>5.0200000000000002E-2</c:v>
                </c:pt>
                <c:pt idx="1">
                  <c:v>5.0702000000000004E-2</c:v>
                </c:pt>
                <c:pt idx="2">
                  <c:v>5.1204000000000006E-2</c:v>
                </c:pt>
                <c:pt idx="3">
                  <c:v>5.1706000000000009E-2</c:v>
                </c:pt>
                <c:pt idx="4">
                  <c:v>5.2208000000000011E-2</c:v>
                </c:pt>
                <c:pt idx="5">
                  <c:v>5.2710000000000007E-2</c:v>
                </c:pt>
                <c:pt idx="6">
                  <c:v>4.7439000000000009E-2</c:v>
                </c:pt>
                <c:pt idx="7">
                  <c:v>4.2168000000000011E-2</c:v>
                </c:pt>
                <c:pt idx="8">
                  <c:v>3.6897000000000013E-2</c:v>
                </c:pt>
                <c:pt idx="9">
                  <c:v>3.1626000000000015E-2</c:v>
                </c:pt>
                <c:pt idx="10">
                  <c:v>2.6355000000000003E-2</c:v>
                </c:pt>
                <c:pt idx="11">
                  <c:v>2.1084000000000002E-2</c:v>
                </c:pt>
                <c:pt idx="12">
                  <c:v>1.5813000000000001E-2</c:v>
                </c:pt>
                <c:pt idx="13">
                  <c:v>1.0541999999999999E-2</c:v>
                </c:pt>
                <c:pt idx="14">
                  <c:v>5.2709999999999988E-3</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numCache>
            </c:numRef>
          </c:val>
          <c:extLst>
            <c:ext xmlns:c16="http://schemas.microsoft.com/office/drawing/2014/chart" uri="{C3380CC4-5D6E-409C-BE32-E72D297353CC}">
              <c16:uniqueId val="{00000002-7808-4F46-8501-0B34FAAD371B}"/>
            </c:ext>
          </c:extLst>
        </c:ser>
        <c:ser>
          <c:idx val="3"/>
          <c:order val="3"/>
          <c:tx>
            <c:strRef>
              <c:f>'Fr-v'!$AD$169</c:f>
              <c:strCache>
                <c:ptCount val="1"/>
                <c:pt idx="0">
                  <c:v>电力 electric</c:v>
                </c:pt>
              </c:strCache>
            </c:strRef>
          </c:tx>
          <c:spPr>
            <a:solidFill>
              <a:schemeClr val="accent4"/>
            </a:solidFill>
            <a:ln>
              <a:noFill/>
            </a:ln>
            <a:effectLst/>
          </c:spPr>
          <c:invertIfNegative val="0"/>
          <c:cat>
            <c:numRef>
              <c:f>'Fr-v'!$E$170:$E$225</c:f>
              <c:numCache>
                <c:formatCode>General</c:formatCode>
                <c:ptCount val="41"/>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pt idx="16">
                  <c:v>2036</c:v>
                </c:pt>
                <c:pt idx="17">
                  <c:v>2037</c:v>
                </c:pt>
                <c:pt idx="18">
                  <c:v>2038</c:v>
                </c:pt>
                <c:pt idx="19">
                  <c:v>2039</c:v>
                </c:pt>
                <c:pt idx="20">
                  <c:v>2040</c:v>
                </c:pt>
                <c:pt idx="21">
                  <c:v>2041</c:v>
                </c:pt>
                <c:pt idx="22">
                  <c:v>2042</c:v>
                </c:pt>
                <c:pt idx="23">
                  <c:v>2043</c:v>
                </c:pt>
                <c:pt idx="24">
                  <c:v>2044</c:v>
                </c:pt>
                <c:pt idx="25">
                  <c:v>2045</c:v>
                </c:pt>
                <c:pt idx="26">
                  <c:v>2046</c:v>
                </c:pt>
                <c:pt idx="27">
                  <c:v>2047</c:v>
                </c:pt>
                <c:pt idx="28">
                  <c:v>2048</c:v>
                </c:pt>
                <c:pt idx="29">
                  <c:v>2049</c:v>
                </c:pt>
                <c:pt idx="30">
                  <c:v>2050</c:v>
                </c:pt>
                <c:pt idx="31">
                  <c:v>2051</c:v>
                </c:pt>
                <c:pt idx="32">
                  <c:v>2052</c:v>
                </c:pt>
                <c:pt idx="33">
                  <c:v>2053</c:v>
                </c:pt>
                <c:pt idx="34">
                  <c:v>2054</c:v>
                </c:pt>
                <c:pt idx="35">
                  <c:v>2055</c:v>
                </c:pt>
                <c:pt idx="36">
                  <c:v>2056</c:v>
                </c:pt>
                <c:pt idx="37">
                  <c:v>2057</c:v>
                </c:pt>
                <c:pt idx="38">
                  <c:v>2058</c:v>
                </c:pt>
                <c:pt idx="39">
                  <c:v>2059</c:v>
                </c:pt>
                <c:pt idx="40">
                  <c:v>2060</c:v>
                </c:pt>
              </c:numCache>
            </c:numRef>
          </c:cat>
          <c:val>
            <c:numRef>
              <c:f>'Fr-v'!$AD$170:$AD$225</c:f>
              <c:numCache>
                <c:formatCode>0.00%</c:formatCode>
                <c:ptCount val="41"/>
                <c:pt idx="0">
                  <c:v>8.3000000000000001E-4</c:v>
                </c:pt>
                <c:pt idx="1">
                  <c:v>1.6640000000000001E-3</c:v>
                </c:pt>
                <c:pt idx="2">
                  <c:v>2.4980000000000002E-3</c:v>
                </c:pt>
                <c:pt idx="3">
                  <c:v>3.3320000000000003E-3</c:v>
                </c:pt>
                <c:pt idx="4">
                  <c:v>4.1660000000000004E-3</c:v>
                </c:pt>
                <c:pt idx="5">
                  <c:v>5.0000000000000001E-3</c:v>
                </c:pt>
                <c:pt idx="6">
                  <c:v>9.9999999999999985E-3</c:v>
                </c:pt>
                <c:pt idx="7">
                  <c:v>1.4999999999999998E-2</c:v>
                </c:pt>
                <c:pt idx="8">
                  <c:v>1.9999999999999997E-2</c:v>
                </c:pt>
                <c:pt idx="9">
                  <c:v>2.4999999999999994E-2</c:v>
                </c:pt>
                <c:pt idx="10">
                  <c:v>0.03</c:v>
                </c:pt>
                <c:pt idx="11">
                  <c:v>3.4000000000000002E-2</c:v>
                </c:pt>
                <c:pt idx="12">
                  <c:v>3.8000000000000006E-2</c:v>
                </c:pt>
                <c:pt idx="13">
                  <c:v>4.200000000000001E-2</c:v>
                </c:pt>
                <c:pt idx="14">
                  <c:v>4.6000000000000013E-2</c:v>
                </c:pt>
                <c:pt idx="15">
                  <c:v>0.05</c:v>
                </c:pt>
                <c:pt idx="16">
                  <c:v>6.5000000000000002E-2</c:v>
                </c:pt>
                <c:pt idx="17">
                  <c:v>0.08</c:v>
                </c:pt>
                <c:pt idx="18">
                  <c:v>9.5000000000000001E-2</c:v>
                </c:pt>
                <c:pt idx="19">
                  <c:v>0.11</c:v>
                </c:pt>
                <c:pt idx="20">
                  <c:v>0.125</c:v>
                </c:pt>
                <c:pt idx="21">
                  <c:v>0.13250000000000001</c:v>
                </c:pt>
                <c:pt idx="22">
                  <c:v>0.14000000000000001</c:v>
                </c:pt>
                <c:pt idx="23">
                  <c:v>0.14750000000000002</c:v>
                </c:pt>
                <c:pt idx="24">
                  <c:v>0.15500000000000003</c:v>
                </c:pt>
                <c:pt idx="25">
                  <c:v>0.16250000000000003</c:v>
                </c:pt>
                <c:pt idx="26">
                  <c:v>0.17000000000000004</c:v>
                </c:pt>
                <c:pt idx="27">
                  <c:v>0.17750000000000005</c:v>
                </c:pt>
                <c:pt idx="28">
                  <c:v>0.18500000000000005</c:v>
                </c:pt>
                <c:pt idx="29">
                  <c:v>0.19250000000000006</c:v>
                </c:pt>
                <c:pt idx="30">
                  <c:v>0.2</c:v>
                </c:pt>
                <c:pt idx="31">
                  <c:v>0.22600000000000001</c:v>
                </c:pt>
                <c:pt idx="32">
                  <c:v>0.252</c:v>
                </c:pt>
                <c:pt idx="33">
                  <c:v>0.27800000000000002</c:v>
                </c:pt>
                <c:pt idx="34">
                  <c:v>0.30400000000000005</c:v>
                </c:pt>
                <c:pt idx="35">
                  <c:v>0.33000000000000007</c:v>
                </c:pt>
                <c:pt idx="36">
                  <c:v>0.35600000000000009</c:v>
                </c:pt>
                <c:pt idx="37">
                  <c:v>0.38200000000000012</c:v>
                </c:pt>
                <c:pt idx="38">
                  <c:v>0.40800000000000014</c:v>
                </c:pt>
                <c:pt idx="39">
                  <c:v>0.43400000000000016</c:v>
                </c:pt>
                <c:pt idx="40">
                  <c:v>0.46</c:v>
                </c:pt>
              </c:numCache>
            </c:numRef>
          </c:val>
          <c:extLst>
            <c:ext xmlns:c16="http://schemas.microsoft.com/office/drawing/2014/chart" uri="{C3380CC4-5D6E-409C-BE32-E72D297353CC}">
              <c16:uniqueId val="{00000003-7808-4F46-8501-0B34FAAD371B}"/>
            </c:ext>
          </c:extLst>
        </c:ser>
        <c:ser>
          <c:idx val="4"/>
          <c:order val="4"/>
          <c:tx>
            <c:strRef>
              <c:f>'Fr-v'!$AE$169</c:f>
              <c:strCache>
                <c:ptCount val="1"/>
                <c:pt idx="0">
                  <c:v>氢能 hydrogen</c:v>
                </c:pt>
              </c:strCache>
            </c:strRef>
          </c:tx>
          <c:spPr>
            <a:solidFill>
              <a:schemeClr val="accent5"/>
            </a:solidFill>
            <a:ln>
              <a:noFill/>
            </a:ln>
            <a:effectLst/>
          </c:spPr>
          <c:invertIfNegative val="0"/>
          <c:cat>
            <c:numRef>
              <c:f>'Fr-v'!$E$170:$E$225</c:f>
              <c:numCache>
                <c:formatCode>General</c:formatCode>
                <c:ptCount val="41"/>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pt idx="16">
                  <c:v>2036</c:v>
                </c:pt>
                <c:pt idx="17">
                  <c:v>2037</c:v>
                </c:pt>
                <c:pt idx="18">
                  <c:v>2038</c:v>
                </c:pt>
                <c:pt idx="19">
                  <c:v>2039</c:v>
                </c:pt>
                <c:pt idx="20">
                  <c:v>2040</c:v>
                </c:pt>
                <c:pt idx="21">
                  <c:v>2041</c:v>
                </c:pt>
                <c:pt idx="22">
                  <c:v>2042</c:v>
                </c:pt>
                <c:pt idx="23">
                  <c:v>2043</c:v>
                </c:pt>
                <c:pt idx="24">
                  <c:v>2044</c:v>
                </c:pt>
                <c:pt idx="25">
                  <c:v>2045</c:v>
                </c:pt>
                <c:pt idx="26">
                  <c:v>2046</c:v>
                </c:pt>
                <c:pt idx="27">
                  <c:v>2047</c:v>
                </c:pt>
                <c:pt idx="28">
                  <c:v>2048</c:v>
                </c:pt>
                <c:pt idx="29">
                  <c:v>2049</c:v>
                </c:pt>
                <c:pt idx="30">
                  <c:v>2050</c:v>
                </c:pt>
                <c:pt idx="31">
                  <c:v>2051</c:v>
                </c:pt>
                <c:pt idx="32">
                  <c:v>2052</c:v>
                </c:pt>
                <c:pt idx="33">
                  <c:v>2053</c:v>
                </c:pt>
                <c:pt idx="34">
                  <c:v>2054</c:v>
                </c:pt>
                <c:pt idx="35">
                  <c:v>2055</c:v>
                </c:pt>
                <c:pt idx="36">
                  <c:v>2056</c:v>
                </c:pt>
                <c:pt idx="37">
                  <c:v>2057</c:v>
                </c:pt>
                <c:pt idx="38">
                  <c:v>2058</c:v>
                </c:pt>
                <c:pt idx="39">
                  <c:v>2059</c:v>
                </c:pt>
                <c:pt idx="40">
                  <c:v>2060</c:v>
                </c:pt>
              </c:numCache>
            </c:numRef>
          </c:cat>
          <c:val>
            <c:numRef>
              <c:f>'Fr-v'!$AE$170:$AE$225</c:f>
              <c:numCache>
                <c:formatCode>0.00%</c:formatCode>
                <c:ptCount val="41"/>
                <c:pt idx="0">
                  <c:v>0</c:v>
                </c:pt>
                <c:pt idx="1">
                  <c:v>0</c:v>
                </c:pt>
                <c:pt idx="2">
                  <c:v>0</c:v>
                </c:pt>
                <c:pt idx="3">
                  <c:v>0</c:v>
                </c:pt>
                <c:pt idx="4">
                  <c:v>0</c:v>
                </c:pt>
                <c:pt idx="5">
                  <c:v>0</c:v>
                </c:pt>
                <c:pt idx="6">
                  <c:v>4.000000000000001E-3</c:v>
                </c:pt>
                <c:pt idx="7">
                  <c:v>8.0000000000000019E-3</c:v>
                </c:pt>
                <c:pt idx="8">
                  <c:v>1.2000000000000004E-2</c:v>
                </c:pt>
                <c:pt idx="9">
                  <c:v>1.6000000000000004E-2</c:v>
                </c:pt>
                <c:pt idx="10">
                  <c:v>2.0000000000000004E-2</c:v>
                </c:pt>
                <c:pt idx="11">
                  <c:v>2.6000000000000002E-2</c:v>
                </c:pt>
                <c:pt idx="12">
                  <c:v>3.2000000000000001E-2</c:v>
                </c:pt>
                <c:pt idx="13">
                  <c:v>3.7999999999999999E-2</c:v>
                </c:pt>
                <c:pt idx="14">
                  <c:v>4.3999999999999997E-2</c:v>
                </c:pt>
                <c:pt idx="15">
                  <c:v>0.05</c:v>
                </c:pt>
                <c:pt idx="16">
                  <c:v>6.5000000000000002E-2</c:v>
                </c:pt>
                <c:pt idx="17">
                  <c:v>0.08</c:v>
                </c:pt>
                <c:pt idx="18">
                  <c:v>9.5000000000000001E-2</c:v>
                </c:pt>
                <c:pt idx="19">
                  <c:v>0.11</c:v>
                </c:pt>
                <c:pt idx="20">
                  <c:v>0.125</c:v>
                </c:pt>
                <c:pt idx="21">
                  <c:v>0.13250000000000001</c:v>
                </c:pt>
                <c:pt idx="22">
                  <c:v>0.14000000000000001</c:v>
                </c:pt>
                <c:pt idx="23">
                  <c:v>0.14750000000000002</c:v>
                </c:pt>
                <c:pt idx="24">
                  <c:v>0.15500000000000003</c:v>
                </c:pt>
                <c:pt idx="25">
                  <c:v>0.16250000000000003</c:v>
                </c:pt>
                <c:pt idx="26">
                  <c:v>0.17000000000000004</c:v>
                </c:pt>
                <c:pt idx="27">
                  <c:v>0.17750000000000005</c:v>
                </c:pt>
                <c:pt idx="28">
                  <c:v>0.18500000000000005</c:v>
                </c:pt>
                <c:pt idx="29">
                  <c:v>0.19250000000000006</c:v>
                </c:pt>
                <c:pt idx="30">
                  <c:v>0.2</c:v>
                </c:pt>
                <c:pt idx="31">
                  <c:v>0.22600000000000001</c:v>
                </c:pt>
                <c:pt idx="32">
                  <c:v>0.252</c:v>
                </c:pt>
                <c:pt idx="33">
                  <c:v>0.27800000000000002</c:v>
                </c:pt>
                <c:pt idx="34">
                  <c:v>0.30400000000000005</c:v>
                </c:pt>
                <c:pt idx="35">
                  <c:v>0.33000000000000007</c:v>
                </c:pt>
                <c:pt idx="36">
                  <c:v>0.35600000000000009</c:v>
                </c:pt>
                <c:pt idx="37">
                  <c:v>0.38200000000000012</c:v>
                </c:pt>
                <c:pt idx="38">
                  <c:v>0.40800000000000014</c:v>
                </c:pt>
                <c:pt idx="39">
                  <c:v>0.43400000000000016</c:v>
                </c:pt>
                <c:pt idx="40">
                  <c:v>0.46</c:v>
                </c:pt>
              </c:numCache>
            </c:numRef>
          </c:val>
          <c:extLst>
            <c:ext xmlns:c16="http://schemas.microsoft.com/office/drawing/2014/chart" uri="{C3380CC4-5D6E-409C-BE32-E72D297353CC}">
              <c16:uniqueId val="{00000004-7808-4F46-8501-0B34FAAD371B}"/>
            </c:ext>
          </c:extLst>
        </c:ser>
        <c:dLbls>
          <c:showLegendKey val="0"/>
          <c:showVal val="0"/>
          <c:showCatName val="0"/>
          <c:showSerName val="0"/>
          <c:showPercent val="0"/>
          <c:showBubbleSize val="0"/>
        </c:dLbls>
        <c:gapWidth val="150"/>
        <c:overlap val="100"/>
        <c:axId val="613953855"/>
        <c:axId val="691885023"/>
      </c:barChart>
      <c:catAx>
        <c:axId val="613953855"/>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楷体" panose="02010609060101010101" pitchFamily="49" charset="-122"/>
                <a:cs typeface="Times New Roman" panose="02020603050405020304" pitchFamily="18" charset="0"/>
              </a:defRPr>
            </a:pPr>
            <a:endParaRPr lang="zh-CN"/>
          </a:p>
        </c:txPr>
        <c:crossAx val="691885023"/>
        <c:crosses val="autoZero"/>
        <c:auto val="1"/>
        <c:lblAlgn val="ctr"/>
        <c:lblOffset val="100"/>
        <c:noMultiLvlLbl val="0"/>
      </c:catAx>
      <c:valAx>
        <c:axId val="69188502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6139538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楷体" panose="02010609060101010101" pitchFamily="49" charset="-122"/>
              <a:ea typeface="楷体" panose="02010609060101010101" pitchFamily="49" charset="-122"/>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记录!$E$200:$E$201</c:f>
              <c:strCache>
                <c:ptCount val="2"/>
                <c:pt idx="0">
                  <c:v>基准情景</c:v>
                </c:pt>
              </c:strCache>
            </c:strRef>
          </c:tx>
          <c:spPr>
            <a:ln w="28575" cap="rnd">
              <a:solidFill>
                <a:schemeClr val="accent1"/>
              </a:solidFill>
              <a:round/>
            </a:ln>
            <a:effectLst/>
          </c:spPr>
          <c:marker>
            <c:symbol val="none"/>
          </c:marker>
          <c:cat>
            <c:numRef>
              <c:f>记录!$D$202:$D$213</c:f>
              <c:numCache>
                <c:formatCode>0</c:formatCode>
                <c:ptCount val="12"/>
                <c:pt idx="0">
                  <c:v>2019</c:v>
                </c:pt>
                <c:pt idx="1">
                  <c:v>2020</c:v>
                </c:pt>
                <c:pt idx="2">
                  <c:v>2021</c:v>
                </c:pt>
                <c:pt idx="3">
                  <c:v>2022</c:v>
                </c:pt>
                <c:pt idx="4">
                  <c:v>2025</c:v>
                </c:pt>
                <c:pt idx="5">
                  <c:v>2030</c:v>
                </c:pt>
                <c:pt idx="6">
                  <c:v>2035</c:v>
                </c:pt>
                <c:pt idx="7">
                  <c:v>2040</c:v>
                </c:pt>
                <c:pt idx="8">
                  <c:v>2045</c:v>
                </c:pt>
                <c:pt idx="9">
                  <c:v>2050</c:v>
                </c:pt>
                <c:pt idx="10">
                  <c:v>2055</c:v>
                </c:pt>
                <c:pt idx="11">
                  <c:v>2060</c:v>
                </c:pt>
              </c:numCache>
            </c:numRef>
          </c:cat>
          <c:val>
            <c:numRef>
              <c:f>记录!$E$202:$E$213</c:f>
              <c:numCache>
                <c:formatCode>0</c:formatCode>
                <c:ptCount val="12"/>
                <c:pt idx="0">
                  <c:v>115320.91360664651</c:v>
                </c:pt>
                <c:pt idx="1">
                  <c:v>106558.24888641841</c:v>
                </c:pt>
                <c:pt idx="2">
                  <c:v>108892</c:v>
                </c:pt>
                <c:pt idx="3">
                  <c:v>114225.751113582</c:v>
                </c:pt>
                <c:pt idx="4">
                  <c:v>129014.89598204283</c:v>
                </c:pt>
                <c:pt idx="5">
                  <c:v>145721.70436223858</c:v>
                </c:pt>
                <c:pt idx="6">
                  <c:v>158816.73009340209</c:v>
                </c:pt>
                <c:pt idx="7">
                  <c:v>161887.76145637562</c:v>
                </c:pt>
                <c:pt idx="8">
                  <c:v>162293.530559746</c:v>
                </c:pt>
                <c:pt idx="9">
                  <c:v>159779.96833304866</c:v>
                </c:pt>
                <c:pt idx="10">
                  <c:v>138432.35475804016</c:v>
                </c:pt>
                <c:pt idx="11">
                  <c:v>111342.57480256099</c:v>
                </c:pt>
              </c:numCache>
            </c:numRef>
          </c:val>
          <c:smooth val="0"/>
          <c:extLst>
            <c:ext xmlns:c16="http://schemas.microsoft.com/office/drawing/2014/chart" uri="{C3380CC4-5D6E-409C-BE32-E72D297353CC}">
              <c16:uniqueId val="{00000000-F21D-4DFE-ACFC-C35500174C2F}"/>
            </c:ext>
          </c:extLst>
        </c:ser>
        <c:ser>
          <c:idx val="1"/>
          <c:order val="1"/>
          <c:tx>
            <c:strRef>
              <c:f>记录!$F$200:$F$201</c:f>
              <c:strCache>
                <c:ptCount val="2"/>
                <c:pt idx="0">
                  <c:v>双碳政策推演情景-CPD</c:v>
                </c:pt>
                <c:pt idx="1">
                  <c:v>CPD1-运输结构调整</c:v>
                </c:pt>
              </c:strCache>
            </c:strRef>
          </c:tx>
          <c:spPr>
            <a:ln w="28575" cap="rnd">
              <a:solidFill>
                <a:schemeClr val="accent2"/>
              </a:solidFill>
              <a:round/>
            </a:ln>
            <a:effectLst/>
          </c:spPr>
          <c:marker>
            <c:symbol val="none"/>
          </c:marker>
          <c:cat>
            <c:numRef>
              <c:f>记录!$D$202:$D$213</c:f>
              <c:numCache>
                <c:formatCode>0</c:formatCode>
                <c:ptCount val="12"/>
                <c:pt idx="0">
                  <c:v>2019</c:v>
                </c:pt>
                <c:pt idx="1">
                  <c:v>2020</c:v>
                </c:pt>
                <c:pt idx="2">
                  <c:v>2021</c:v>
                </c:pt>
                <c:pt idx="3">
                  <c:v>2022</c:v>
                </c:pt>
                <c:pt idx="4">
                  <c:v>2025</c:v>
                </c:pt>
                <c:pt idx="5">
                  <c:v>2030</c:v>
                </c:pt>
                <c:pt idx="6">
                  <c:v>2035</c:v>
                </c:pt>
                <c:pt idx="7">
                  <c:v>2040</c:v>
                </c:pt>
                <c:pt idx="8">
                  <c:v>2045</c:v>
                </c:pt>
                <c:pt idx="9">
                  <c:v>2050</c:v>
                </c:pt>
                <c:pt idx="10">
                  <c:v>2055</c:v>
                </c:pt>
                <c:pt idx="11">
                  <c:v>2060</c:v>
                </c:pt>
              </c:numCache>
            </c:numRef>
          </c:cat>
          <c:val>
            <c:numRef>
              <c:f>记录!$F$202:$F$213</c:f>
              <c:numCache>
                <c:formatCode>0</c:formatCode>
                <c:ptCount val="12"/>
                <c:pt idx="0">
                  <c:v>115320.91360664651</c:v>
                </c:pt>
                <c:pt idx="1">
                  <c:v>106558.24888641841</c:v>
                </c:pt>
                <c:pt idx="2">
                  <c:v>108892</c:v>
                </c:pt>
                <c:pt idx="3">
                  <c:v>112225.751113582</c:v>
                </c:pt>
                <c:pt idx="4">
                  <c:v>126116.61804565265</c:v>
                </c:pt>
                <c:pt idx="5">
                  <c:v>140060.57556190024</c:v>
                </c:pt>
                <c:pt idx="6">
                  <c:v>150031.55677843632</c:v>
                </c:pt>
                <c:pt idx="7">
                  <c:v>149635.49488396445</c:v>
                </c:pt>
                <c:pt idx="8">
                  <c:v>149622.93644538394</c:v>
                </c:pt>
                <c:pt idx="9">
                  <c:v>146750.76885214815</c:v>
                </c:pt>
                <c:pt idx="10">
                  <c:v>125704.80737697397</c:v>
                </c:pt>
                <c:pt idx="11">
                  <c:v>99228.364520068179</c:v>
                </c:pt>
              </c:numCache>
            </c:numRef>
          </c:val>
          <c:smooth val="0"/>
          <c:extLst>
            <c:ext xmlns:c16="http://schemas.microsoft.com/office/drawing/2014/chart" uri="{C3380CC4-5D6E-409C-BE32-E72D297353CC}">
              <c16:uniqueId val="{00000001-F21D-4DFE-ACFC-C35500174C2F}"/>
            </c:ext>
          </c:extLst>
        </c:ser>
        <c:ser>
          <c:idx val="2"/>
          <c:order val="2"/>
          <c:tx>
            <c:strRef>
              <c:f>记录!$G$200:$G$201</c:f>
              <c:strCache>
                <c:ptCount val="2"/>
                <c:pt idx="0">
                  <c:v>双碳政策推演情景-CPD</c:v>
                </c:pt>
                <c:pt idx="1">
                  <c:v>CPD2-能效提升</c:v>
                </c:pt>
              </c:strCache>
            </c:strRef>
          </c:tx>
          <c:spPr>
            <a:ln w="28575" cap="rnd">
              <a:solidFill>
                <a:schemeClr val="accent3"/>
              </a:solidFill>
              <a:round/>
            </a:ln>
            <a:effectLst/>
          </c:spPr>
          <c:marker>
            <c:symbol val="none"/>
          </c:marker>
          <c:cat>
            <c:numRef>
              <c:f>记录!$D$202:$D$213</c:f>
              <c:numCache>
                <c:formatCode>0</c:formatCode>
                <c:ptCount val="12"/>
                <c:pt idx="0">
                  <c:v>2019</c:v>
                </c:pt>
                <c:pt idx="1">
                  <c:v>2020</c:v>
                </c:pt>
                <c:pt idx="2">
                  <c:v>2021</c:v>
                </c:pt>
                <c:pt idx="3">
                  <c:v>2022</c:v>
                </c:pt>
                <c:pt idx="4">
                  <c:v>2025</c:v>
                </c:pt>
                <c:pt idx="5">
                  <c:v>2030</c:v>
                </c:pt>
                <c:pt idx="6">
                  <c:v>2035</c:v>
                </c:pt>
                <c:pt idx="7">
                  <c:v>2040</c:v>
                </c:pt>
                <c:pt idx="8">
                  <c:v>2045</c:v>
                </c:pt>
                <c:pt idx="9">
                  <c:v>2050</c:v>
                </c:pt>
                <c:pt idx="10">
                  <c:v>2055</c:v>
                </c:pt>
                <c:pt idx="11">
                  <c:v>2060</c:v>
                </c:pt>
              </c:numCache>
            </c:numRef>
          </c:cat>
          <c:val>
            <c:numRef>
              <c:f>记录!$G$202:$G$213</c:f>
              <c:numCache>
                <c:formatCode>0</c:formatCode>
                <c:ptCount val="12"/>
                <c:pt idx="0">
                  <c:v>115320.91360664651</c:v>
                </c:pt>
                <c:pt idx="1">
                  <c:v>106558.24888641841</c:v>
                </c:pt>
                <c:pt idx="2">
                  <c:v>108892</c:v>
                </c:pt>
                <c:pt idx="3">
                  <c:v>111225.751113582</c:v>
                </c:pt>
                <c:pt idx="4">
                  <c:v>126421.24207672141</c:v>
                </c:pt>
                <c:pt idx="5">
                  <c:v>139484.13562661954</c:v>
                </c:pt>
                <c:pt idx="6">
                  <c:v>148327.21553897709</c:v>
                </c:pt>
                <c:pt idx="7">
                  <c:v>146839.87271068571</c:v>
                </c:pt>
                <c:pt idx="8">
                  <c:v>144122.30165441174</c:v>
                </c:pt>
                <c:pt idx="9">
                  <c:v>138165.21347410738</c:v>
                </c:pt>
                <c:pt idx="10">
                  <c:v>118342.14385634616</c:v>
                </c:pt>
                <c:pt idx="11">
                  <c:v>93891.195942518418</c:v>
                </c:pt>
              </c:numCache>
            </c:numRef>
          </c:val>
          <c:smooth val="0"/>
          <c:extLst>
            <c:ext xmlns:c16="http://schemas.microsoft.com/office/drawing/2014/chart" uri="{C3380CC4-5D6E-409C-BE32-E72D297353CC}">
              <c16:uniqueId val="{00000002-F21D-4DFE-ACFC-C35500174C2F}"/>
            </c:ext>
          </c:extLst>
        </c:ser>
        <c:ser>
          <c:idx val="3"/>
          <c:order val="3"/>
          <c:tx>
            <c:strRef>
              <c:f>记录!$H$200:$H$201</c:f>
              <c:strCache>
                <c:ptCount val="2"/>
                <c:pt idx="0">
                  <c:v>双碳政策推演情景-CPD</c:v>
                </c:pt>
                <c:pt idx="1">
                  <c:v>CPD3-新能源应用</c:v>
                </c:pt>
              </c:strCache>
            </c:strRef>
          </c:tx>
          <c:spPr>
            <a:ln w="28575" cap="rnd">
              <a:solidFill>
                <a:schemeClr val="accent4"/>
              </a:solidFill>
              <a:round/>
            </a:ln>
            <a:effectLst/>
          </c:spPr>
          <c:marker>
            <c:symbol val="none"/>
          </c:marker>
          <c:cat>
            <c:numRef>
              <c:f>记录!$D$202:$D$213</c:f>
              <c:numCache>
                <c:formatCode>0</c:formatCode>
                <c:ptCount val="12"/>
                <c:pt idx="0">
                  <c:v>2019</c:v>
                </c:pt>
                <c:pt idx="1">
                  <c:v>2020</c:v>
                </c:pt>
                <c:pt idx="2">
                  <c:v>2021</c:v>
                </c:pt>
                <c:pt idx="3">
                  <c:v>2022</c:v>
                </c:pt>
                <c:pt idx="4">
                  <c:v>2025</c:v>
                </c:pt>
                <c:pt idx="5">
                  <c:v>2030</c:v>
                </c:pt>
                <c:pt idx="6">
                  <c:v>2035</c:v>
                </c:pt>
                <c:pt idx="7">
                  <c:v>2040</c:v>
                </c:pt>
                <c:pt idx="8">
                  <c:v>2045</c:v>
                </c:pt>
                <c:pt idx="9">
                  <c:v>2050</c:v>
                </c:pt>
                <c:pt idx="10">
                  <c:v>2055</c:v>
                </c:pt>
                <c:pt idx="11">
                  <c:v>2060</c:v>
                </c:pt>
              </c:numCache>
            </c:numRef>
          </c:cat>
          <c:val>
            <c:numRef>
              <c:f>记录!$H$202:$H$213</c:f>
              <c:numCache>
                <c:formatCode>0</c:formatCode>
                <c:ptCount val="12"/>
                <c:pt idx="0">
                  <c:v>115320.91360664651</c:v>
                </c:pt>
                <c:pt idx="1">
                  <c:v>106558.24888641841</c:v>
                </c:pt>
                <c:pt idx="2">
                  <c:v>108892</c:v>
                </c:pt>
                <c:pt idx="3">
                  <c:v>113025.751113582</c:v>
                </c:pt>
                <c:pt idx="4">
                  <c:v>125987.29155356872</c:v>
                </c:pt>
                <c:pt idx="5">
                  <c:v>136996.25278587465</c:v>
                </c:pt>
                <c:pt idx="6">
                  <c:v>136121.28167436505</c:v>
                </c:pt>
                <c:pt idx="7">
                  <c:v>124813.38649987083</c:v>
                </c:pt>
                <c:pt idx="8">
                  <c:v>107256.23972229418</c:v>
                </c:pt>
                <c:pt idx="9">
                  <c:v>85078.950063639713</c:v>
                </c:pt>
                <c:pt idx="10">
                  <c:v>55874.157216110762</c:v>
                </c:pt>
                <c:pt idx="11">
                  <c:v>24258.034006134367</c:v>
                </c:pt>
              </c:numCache>
            </c:numRef>
          </c:val>
          <c:smooth val="0"/>
          <c:extLst>
            <c:ext xmlns:c16="http://schemas.microsoft.com/office/drawing/2014/chart" uri="{C3380CC4-5D6E-409C-BE32-E72D297353CC}">
              <c16:uniqueId val="{00000003-F21D-4DFE-ACFC-C35500174C2F}"/>
            </c:ext>
          </c:extLst>
        </c:ser>
        <c:ser>
          <c:idx val="4"/>
          <c:order val="4"/>
          <c:tx>
            <c:strRef>
              <c:f>记录!$I$200:$I$201</c:f>
              <c:strCache>
                <c:ptCount val="2"/>
                <c:pt idx="0">
                  <c:v>双碳政策推演情景-CPD</c:v>
                </c:pt>
                <c:pt idx="1">
                  <c:v>CPD0-综合</c:v>
                </c:pt>
              </c:strCache>
            </c:strRef>
          </c:tx>
          <c:spPr>
            <a:ln w="28575" cap="rnd">
              <a:solidFill>
                <a:srgbClr val="0066FF"/>
              </a:solidFill>
              <a:round/>
            </a:ln>
            <a:effectLst/>
          </c:spPr>
          <c:marker>
            <c:symbol val="none"/>
          </c:marker>
          <c:cat>
            <c:numRef>
              <c:f>记录!$D$202:$D$213</c:f>
              <c:numCache>
                <c:formatCode>0</c:formatCode>
                <c:ptCount val="12"/>
                <c:pt idx="0">
                  <c:v>2019</c:v>
                </c:pt>
                <c:pt idx="1">
                  <c:v>2020</c:v>
                </c:pt>
                <c:pt idx="2">
                  <c:v>2021</c:v>
                </c:pt>
                <c:pt idx="3">
                  <c:v>2022</c:v>
                </c:pt>
                <c:pt idx="4">
                  <c:v>2025</c:v>
                </c:pt>
                <c:pt idx="5">
                  <c:v>2030</c:v>
                </c:pt>
                <c:pt idx="6">
                  <c:v>2035</c:v>
                </c:pt>
                <c:pt idx="7">
                  <c:v>2040</c:v>
                </c:pt>
                <c:pt idx="8">
                  <c:v>2045</c:v>
                </c:pt>
                <c:pt idx="9">
                  <c:v>2050</c:v>
                </c:pt>
                <c:pt idx="10">
                  <c:v>2055</c:v>
                </c:pt>
                <c:pt idx="11">
                  <c:v>2060</c:v>
                </c:pt>
              </c:numCache>
            </c:numRef>
          </c:cat>
          <c:val>
            <c:numRef>
              <c:f>记录!$I$202:$I$213</c:f>
              <c:numCache>
                <c:formatCode>0</c:formatCode>
                <c:ptCount val="12"/>
                <c:pt idx="0">
                  <c:v>115320.91360664651</c:v>
                </c:pt>
                <c:pt idx="1">
                  <c:v>106558.24888641841</c:v>
                </c:pt>
                <c:pt idx="2">
                  <c:v>108892</c:v>
                </c:pt>
                <c:pt idx="3">
                  <c:v>110525.751113582</c:v>
                </c:pt>
                <c:pt idx="4">
                  <c:v>120815.67391366372</c:v>
                </c:pt>
                <c:pt idx="5">
                  <c:v>128254.657680251</c:v>
                </c:pt>
                <c:pt idx="6">
                  <c:v>132577.212891898</c:v>
                </c:pt>
                <c:pt idx="7">
                  <c:v>104992.72662858589</c:v>
                </c:pt>
                <c:pt idx="8">
                  <c:v>88648.393619043971</c:v>
                </c:pt>
                <c:pt idx="9">
                  <c:v>68212.298773468428</c:v>
                </c:pt>
                <c:pt idx="10">
                  <c:v>43848.637158791411</c:v>
                </c:pt>
                <c:pt idx="11">
                  <c:v>18398.498103208825</c:v>
                </c:pt>
              </c:numCache>
            </c:numRef>
          </c:val>
          <c:smooth val="0"/>
          <c:extLst>
            <c:ext xmlns:c16="http://schemas.microsoft.com/office/drawing/2014/chart" uri="{C3380CC4-5D6E-409C-BE32-E72D297353CC}">
              <c16:uniqueId val="{00000004-F21D-4DFE-ACFC-C35500174C2F}"/>
            </c:ext>
          </c:extLst>
        </c:ser>
        <c:ser>
          <c:idx val="5"/>
          <c:order val="5"/>
          <c:tx>
            <c:strRef>
              <c:f>记录!$J$200:$J$201</c:f>
              <c:strCache>
                <c:ptCount val="2"/>
                <c:pt idx="0">
                  <c:v>激进情景-RS</c:v>
                </c:pt>
                <c:pt idx="1">
                  <c:v>RS1-运输结构调整</c:v>
                </c:pt>
              </c:strCache>
            </c:strRef>
          </c:tx>
          <c:spPr>
            <a:ln w="28575" cap="rnd">
              <a:solidFill>
                <a:schemeClr val="accent6"/>
              </a:solidFill>
              <a:round/>
            </a:ln>
            <a:effectLst/>
          </c:spPr>
          <c:marker>
            <c:symbol val="none"/>
          </c:marker>
          <c:cat>
            <c:numRef>
              <c:f>记录!$D$202:$D$213</c:f>
              <c:numCache>
                <c:formatCode>0</c:formatCode>
                <c:ptCount val="12"/>
                <c:pt idx="0">
                  <c:v>2019</c:v>
                </c:pt>
                <c:pt idx="1">
                  <c:v>2020</c:v>
                </c:pt>
                <c:pt idx="2">
                  <c:v>2021</c:v>
                </c:pt>
                <c:pt idx="3">
                  <c:v>2022</c:v>
                </c:pt>
                <c:pt idx="4">
                  <c:v>2025</c:v>
                </c:pt>
                <c:pt idx="5">
                  <c:v>2030</c:v>
                </c:pt>
                <c:pt idx="6">
                  <c:v>2035</c:v>
                </c:pt>
                <c:pt idx="7">
                  <c:v>2040</c:v>
                </c:pt>
                <c:pt idx="8">
                  <c:v>2045</c:v>
                </c:pt>
                <c:pt idx="9">
                  <c:v>2050</c:v>
                </c:pt>
                <c:pt idx="10">
                  <c:v>2055</c:v>
                </c:pt>
                <c:pt idx="11">
                  <c:v>2060</c:v>
                </c:pt>
              </c:numCache>
            </c:numRef>
          </c:cat>
          <c:val>
            <c:numRef>
              <c:f>记录!$J$202:$J$213</c:f>
              <c:numCache>
                <c:formatCode>0</c:formatCode>
                <c:ptCount val="12"/>
                <c:pt idx="0">
                  <c:v>115320.91360664651</c:v>
                </c:pt>
                <c:pt idx="1">
                  <c:v>106558.24888641841</c:v>
                </c:pt>
                <c:pt idx="2">
                  <c:v>108892</c:v>
                </c:pt>
                <c:pt idx="3">
                  <c:v>111225.751113582</c:v>
                </c:pt>
                <c:pt idx="4">
                  <c:v>125337.70263537276</c:v>
                </c:pt>
                <c:pt idx="5">
                  <c:v>138334.79886838089</c:v>
                </c:pt>
                <c:pt idx="6">
                  <c:v>147140.85389867486</c:v>
                </c:pt>
                <c:pt idx="7">
                  <c:v>145947.75677699276</c:v>
                </c:pt>
                <c:pt idx="8">
                  <c:v>145541.28631819267</c:v>
                </c:pt>
                <c:pt idx="9">
                  <c:v>142322.75237861695</c:v>
                </c:pt>
                <c:pt idx="10">
                  <c:v>121557.32504126415</c:v>
                </c:pt>
                <c:pt idx="11">
                  <c:v>95490.540258553781</c:v>
                </c:pt>
              </c:numCache>
            </c:numRef>
          </c:val>
          <c:smooth val="0"/>
          <c:extLst>
            <c:ext xmlns:c16="http://schemas.microsoft.com/office/drawing/2014/chart" uri="{C3380CC4-5D6E-409C-BE32-E72D297353CC}">
              <c16:uniqueId val="{00000005-F21D-4DFE-ACFC-C35500174C2F}"/>
            </c:ext>
          </c:extLst>
        </c:ser>
        <c:ser>
          <c:idx val="6"/>
          <c:order val="6"/>
          <c:tx>
            <c:strRef>
              <c:f>记录!$K$200:$K$201</c:f>
              <c:strCache>
                <c:ptCount val="2"/>
                <c:pt idx="0">
                  <c:v>激进情景-RS</c:v>
                </c:pt>
                <c:pt idx="1">
                  <c:v>RS2-能效提升</c:v>
                </c:pt>
              </c:strCache>
            </c:strRef>
          </c:tx>
          <c:spPr>
            <a:ln w="28575" cap="rnd">
              <a:solidFill>
                <a:schemeClr val="accent1">
                  <a:lumMod val="60000"/>
                </a:schemeClr>
              </a:solidFill>
              <a:round/>
            </a:ln>
            <a:effectLst/>
          </c:spPr>
          <c:marker>
            <c:symbol val="none"/>
          </c:marker>
          <c:cat>
            <c:numRef>
              <c:f>记录!$D$202:$D$213</c:f>
              <c:numCache>
                <c:formatCode>0</c:formatCode>
                <c:ptCount val="12"/>
                <c:pt idx="0">
                  <c:v>2019</c:v>
                </c:pt>
                <c:pt idx="1">
                  <c:v>2020</c:v>
                </c:pt>
                <c:pt idx="2">
                  <c:v>2021</c:v>
                </c:pt>
                <c:pt idx="3">
                  <c:v>2022</c:v>
                </c:pt>
                <c:pt idx="4">
                  <c:v>2025</c:v>
                </c:pt>
                <c:pt idx="5">
                  <c:v>2030</c:v>
                </c:pt>
                <c:pt idx="6">
                  <c:v>2035</c:v>
                </c:pt>
                <c:pt idx="7">
                  <c:v>2040</c:v>
                </c:pt>
                <c:pt idx="8">
                  <c:v>2045</c:v>
                </c:pt>
                <c:pt idx="9">
                  <c:v>2050</c:v>
                </c:pt>
                <c:pt idx="10">
                  <c:v>2055</c:v>
                </c:pt>
                <c:pt idx="11">
                  <c:v>2060</c:v>
                </c:pt>
              </c:numCache>
            </c:numRef>
          </c:cat>
          <c:val>
            <c:numRef>
              <c:f>记录!$K$202:$K$213</c:f>
              <c:numCache>
                <c:formatCode>0</c:formatCode>
                <c:ptCount val="12"/>
                <c:pt idx="0">
                  <c:v>115320.91360664651</c:v>
                </c:pt>
                <c:pt idx="1">
                  <c:v>106558.24888641841</c:v>
                </c:pt>
                <c:pt idx="2">
                  <c:v>108892</c:v>
                </c:pt>
                <c:pt idx="3">
                  <c:v>110125.751113582</c:v>
                </c:pt>
                <c:pt idx="4">
                  <c:v>124501.82048672099</c:v>
                </c:pt>
                <c:pt idx="5">
                  <c:v>135864.67459106797</c:v>
                </c:pt>
                <c:pt idx="6">
                  <c:v>141302.62857912196</c:v>
                </c:pt>
                <c:pt idx="7">
                  <c:v>135392.50819767258</c:v>
                </c:pt>
                <c:pt idx="8">
                  <c:v>130574.46501854461</c:v>
                </c:pt>
                <c:pt idx="9">
                  <c:v>122409.39046106477</c:v>
                </c:pt>
                <c:pt idx="10">
                  <c:v>101925.49318848422</c:v>
                </c:pt>
                <c:pt idx="11">
                  <c:v>77377.838881326359</c:v>
                </c:pt>
              </c:numCache>
            </c:numRef>
          </c:val>
          <c:smooth val="0"/>
          <c:extLst>
            <c:ext xmlns:c16="http://schemas.microsoft.com/office/drawing/2014/chart" uri="{C3380CC4-5D6E-409C-BE32-E72D297353CC}">
              <c16:uniqueId val="{00000006-F21D-4DFE-ACFC-C35500174C2F}"/>
            </c:ext>
          </c:extLst>
        </c:ser>
        <c:ser>
          <c:idx val="7"/>
          <c:order val="7"/>
          <c:tx>
            <c:strRef>
              <c:f>记录!$L$200:$L$201</c:f>
              <c:strCache>
                <c:ptCount val="2"/>
                <c:pt idx="0">
                  <c:v>激进情景-RS</c:v>
                </c:pt>
                <c:pt idx="1">
                  <c:v>RS3-新能源应用</c:v>
                </c:pt>
              </c:strCache>
            </c:strRef>
          </c:tx>
          <c:spPr>
            <a:ln w="28575" cap="rnd">
              <a:solidFill>
                <a:schemeClr val="accent2">
                  <a:lumMod val="60000"/>
                </a:schemeClr>
              </a:solidFill>
              <a:round/>
            </a:ln>
            <a:effectLst/>
          </c:spPr>
          <c:marker>
            <c:symbol val="none"/>
          </c:marker>
          <c:cat>
            <c:numRef>
              <c:f>记录!$D$202:$D$213</c:f>
              <c:numCache>
                <c:formatCode>0</c:formatCode>
                <c:ptCount val="12"/>
                <c:pt idx="0">
                  <c:v>2019</c:v>
                </c:pt>
                <c:pt idx="1">
                  <c:v>2020</c:v>
                </c:pt>
                <c:pt idx="2">
                  <c:v>2021</c:v>
                </c:pt>
                <c:pt idx="3">
                  <c:v>2022</c:v>
                </c:pt>
                <c:pt idx="4">
                  <c:v>2025</c:v>
                </c:pt>
                <c:pt idx="5">
                  <c:v>2030</c:v>
                </c:pt>
                <c:pt idx="6">
                  <c:v>2035</c:v>
                </c:pt>
                <c:pt idx="7">
                  <c:v>2040</c:v>
                </c:pt>
                <c:pt idx="8">
                  <c:v>2045</c:v>
                </c:pt>
                <c:pt idx="9">
                  <c:v>2050</c:v>
                </c:pt>
                <c:pt idx="10">
                  <c:v>2055</c:v>
                </c:pt>
                <c:pt idx="11">
                  <c:v>2060</c:v>
                </c:pt>
              </c:numCache>
            </c:numRef>
          </c:cat>
          <c:val>
            <c:numRef>
              <c:f>记录!$L$202:$L$213</c:f>
              <c:numCache>
                <c:formatCode>0</c:formatCode>
                <c:ptCount val="12"/>
                <c:pt idx="0">
                  <c:v>115320.91360664651</c:v>
                </c:pt>
                <c:pt idx="1">
                  <c:v>106558.24888641841</c:v>
                </c:pt>
                <c:pt idx="2">
                  <c:v>108892</c:v>
                </c:pt>
                <c:pt idx="3">
                  <c:v>112025.751113582</c:v>
                </c:pt>
                <c:pt idx="4">
                  <c:v>123498.02274453038</c:v>
                </c:pt>
                <c:pt idx="5">
                  <c:v>130680.16765952506</c:v>
                </c:pt>
                <c:pt idx="6">
                  <c:v>123637.36741366917</c:v>
                </c:pt>
                <c:pt idx="7">
                  <c:v>100317.70164004469</c:v>
                </c:pt>
                <c:pt idx="8">
                  <c:v>77576.667458943019</c:v>
                </c:pt>
                <c:pt idx="9">
                  <c:v>50520.03374410377</c:v>
                </c:pt>
                <c:pt idx="10">
                  <c:v>30774.993181194572</c:v>
                </c:pt>
                <c:pt idx="11">
                  <c:v>10722.364483394025</c:v>
                </c:pt>
              </c:numCache>
            </c:numRef>
          </c:val>
          <c:smooth val="0"/>
          <c:extLst>
            <c:ext xmlns:c16="http://schemas.microsoft.com/office/drawing/2014/chart" uri="{C3380CC4-5D6E-409C-BE32-E72D297353CC}">
              <c16:uniqueId val="{00000007-F21D-4DFE-ACFC-C35500174C2F}"/>
            </c:ext>
          </c:extLst>
        </c:ser>
        <c:ser>
          <c:idx val="8"/>
          <c:order val="8"/>
          <c:tx>
            <c:strRef>
              <c:f>记录!$M$200:$M$201</c:f>
              <c:strCache>
                <c:ptCount val="2"/>
                <c:pt idx="0">
                  <c:v>激进情景-RS</c:v>
                </c:pt>
                <c:pt idx="1">
                  <c:v>RS0-综合</c:v>
                </c:pt>
              </c:strCache>
            </c:strRef>
          </c:tx>
          <c:spPr>
            <a:ln w="28575" cap="rnd">
              <a:solidFill>
                <a:schemeClr val="accent3">
                  <a:lumMod val="60000"/>
                </a:schemeClr>
              </a:solidFill>
              <a:round/>
            </a:ln>
            <a:effectLst/>
          </c:spPr>
          <c:marker>
            <c:symbol val="none"/>
          </c:marker>
          <c:cat>
            <c:numRef>
              <c:f>记录!$D$202:$D$213</c:f>
              <c:numCache>
                <c:formatCode>0</c:formatCode>
                <c:ptCount val="12"/>
                <c:pt idx="0">
                  <c:v>2019</c:v>
                </c:pt>
                <c:pt idx="1">
                  <c:v>2020</c:v>
                </c:pt>
                <c:pt idx="2">
                  <c:v>2021</c:v>
                </c:pt>
                <c:pt idx="3">
                  <c:v>2022</c:v>
                </c:pt>
                <c:pt idx="4">
                  <c:v>2025</c:v>
                </c:pt>
                <c:pt idx="5">
                  <c:v>2030</c:v>
                </c:pt>
                <c:pt idx="6">
                  <c:v>2035</c:v>
                </c:pt>
                <c:pt idx="7">
                  <c:v>2040</c:v>
                </c:pt>
                <c:pt idx="8">
                  <c:v>2045</c:v>
                </c:pt>
                <c:pt idx="9">
                  <c:v>2050</c:v>
                </c:pt>
                <c:pt idx="10">
                  <c:v>2055</c:v>
                </c:pt>
                <c:pt idx="11">
                  <c:v>2060</c:v>
                </c:pt>
              </c:numCache>
            </c:numRef>
          </c:cat>
          <c:val>
            <c:numRef>
              <c:f>记录!$M$202:$M$213</c:f>
              <c:numCache>
                <c:formatCode>0</c:formatCode>
                <c:ptCount val="12"/>
                <c:pt idx="0">
                  <c:v>115320.91360664651</c:v>
                </c:pt>
                <c:pt idx="1">
                  <c:v>106558.24888641841</c:v>
                </c:pt>
                <c:pt idx="2">
                  <c:v>108892</c:v>
                </c:pt>
                <c:pt idx="3">
                  <c:v>109925.751113582</c:v>
                </c:pt>
                <c:pt idx="4">
                  <c:v>115946.60500182887</c:v>
                </c:pt>
                <c:pt idx="5">
                  <c:v>125818.69180082199</c:v>
                </c:pt>
                <c:pt idx="6">
                  <c:v>102133.15833703167</c:v>
                </c:pt>
                <c:pt idx="7">
                  <c:v>76269.285606295321</c:v>
                </c:pt>
                <c:pt idx="8">
                  <c:v>57446.375168390907</c:v>
                </c:pt>
                <c:pt idx="9">
                  <c:v>35513.708494289902</c:v>
                </c:pt>
                <c:pt idx="10">
                  <c:v>20302.104573381821</c:v>
                </c:pt>
                <c:pt idx="11">
                  <c:v>6641.7900108041304</c:v>
                </c:pt>
              </c:numCache>
            </c:numRef>
          </c:val>
          <c:smooth val="0"/>
          <c:extLst>
            <c:ext xmlns:c16="http://schemas.microsoft.com/office/drawing/2014/chart" uri="{C3380CC4-5D6E-409C-BE32-E72D297353CC}">
              <c16:uniqueId val="{00000008-F21D-4DFE-ACFC-C35500174C2F}"/>
            </c:ext>
          </c:extLst>
        </c:ser>
        <c:dLbls>
          <c:showLegendKey val="0"/>
          <c:showVal val="0"/>
          <c:showCatName val="0"/>
          <c:showSerName val="0"/>
          <c:showPercent val="0"/>
          <c:showBubbleSize val="0"/>
        </c:dLbls>
        <c:smooth val="0"/>
        <c:axId val="1087384096"/>
        <c:axId val="822967600"/>
      </c:lineChart>
      <c:catAx>
        <c:axId val="1087384096"/>
        <c:scaling>
          <c:orientation val="minMax"/>
        </c:scaling>
        <c:delete val="0"/>
        <c:axPos val="b"/>
        <c:numFmt formatCode="0"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822967600"/>
        <c:crosses val="autoZero"/>
        <c:auto val="1"/>
        <c:lblAlgn val="ctr"/>
        <c:lblOffset val="100"/>
        <c:noMultiLvlLbl val="0"/>
      </c:catAx>
      <c:valAx>
        <c:axId val="822967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碳排放（万吨）</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0873840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楷体" panose="02010609060101010101" pitchFamily="49"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strRef>
              <c:f>'Result-CO2'!$L$4:$L$5</c:f>
              <c:strCache>
                <c:ptCount val="2"/>
                <c:pt idx="0">
                  <c:v>铁路运输</c:v>
                </c:pt>
              </c:strCache>
            </c:strRef>
          </c:tx>
          <c:spPr>
            <a:solidFill>
              <a:schemeClr val="accent2"/>
            </a:solidFill>
            <a:ln>
              <a:noFill/>
            </a:ln>
            <a:effectLst/>
          </c:spPr>
          <c:cat>
            <c:numRef>
              <c:f>'Result-CO2'!$K$6:$K$15</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'Result-CO2'!$L$6:$L$15</c:f>
              <c:numCache>
                <c:formatCode>0</c:formatCode>
                <c:ptCount val="10"/>
                <c:pt idx="0">
                  <c:v>1052.2083014431626</c:v>
                </c:pt>
                <c:pt idx="1">
                  <c:v>977</c:v>
                </c:pt>
                <c:pt idx="2">
                  <c:v>1235.1190354406831</c:v>
                </c:pt>
                <c:pt idx="3">
                  <c:v>1291.7427064664446</c:v>
                </c:pt>
                <c:pt idx="4">
                  <c:v>1337.130024977929</c:v>
                </c:pt>
                <c:pt idx="5">
                  <c:v>1404.2282263343088</c:v>
                </c:pt>
                <c:pt idx="6">
                  <c:v>1481.2895638961522</c:v>
                </c:pt>
                <c:pt idx="7">
                  <c:v>1544.1659901818725</c:v>
                </c:pt>
                <c:pt idx="8">
                  <c:v>1402.4322538055669</c:v>
                </c:pt>
                <c:pt idx="9">
                  <c:v>1204.870756950854</c:v>
                </c:pt>
              </c:numCache>
            </c:numRef>
          </c:val>
          <c:extLst>
            <c:ext xmlns:c16="http://schemas.microsoft.com/office/drawing/2014/chart" uri="{C3380CC4-5D6E-409C-BE32-E72D297353CC}">
              <c16:uniqueId val="{00000000-D83C-43C1-B4AB-4358270218F4}"/>
            </c:ext>
          </c:extLst>
        </c:ser>
        <c:ser>
          <c:idx val="1"/>
          <c:order val="1"/>
          <c:tx>
            <c:strRef>
              <c:f>'Result-CO2'!$M$4:$M$5</c:f>
              <c:strCache>
                <c:ptCount val="2"/>
                <c:pt idx="0">
                  <c:v>公路运输</c:v>
                </c:pt>
              </c:strCache>
            </c:strRef>
          </c:tx>
          <c:spPr>
            <a:solidFill>
              <a:schemeClr val="accent4"/>
            </a:solidFill>
            <a:ln>
              <a:noFill/>
            </a:ln>
            <a:effectLst/>
          </c:spPr>
          <c:cat>
            <c:numRef>
              <c:f>'Result-CO2'!$K$6:$K$15</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'Result-CO2'!$M$6:$M$15</c:f>
              <c:numCache>
                <c:formatCode>0</c:formatCode>
                <c:ptCount val="10"/>
                <c:pt idx="0">
                  <c:v>99583.393838931981</c:v>
                </c:pt>
                <c:pt idx="1">
                  <c:v>92942</c:v>
                </c:pt>
                <c:pt idx="2">
                  <c:v>108489.01066179879</c:v>
                </c:pt>
                <c:pt idx="3">
                  <c:v>120938.73909029824</c:v>
                </c:pt>
                <c:pt idx="4">
                  <c:v>130699.67541059959</c:v>
                </c:pt>
                <c:pt idx="5">
                  <c:v>133149.18888922423</c:v>
                </c:pt>
                <c:pt idx="6">
                  <c:v>131002.64812385078</c:v>
                </c:pt>
                <c:pt idx="7">
                  <c:v>130988.31329002604</c:v>
                </c:pt>
                <c:pt idx="8">
                  <c:v>111265.41424249267</c:v>
                </c:pt>
                <c:pt idx="9">
                  <c:v>86169.946373539846</c:v>
                </c:pt>
              </c:numCache>
            </c:numRef>
          </c:val>
          <c:extLst>
            <c:ext xmlns:c16="http://schemas.microsoft.com/office/drawing/2014/chart" uri="{C3380CC4-5D6E-409C-BE32-E72D297353CC}">
              <c16:uniqueId val="{00000001-D83C-43C1-B4AB-4358270218F4}"/>
            </c:ext>
          </c:extLst>
        </c:ser>
        <c:ser>
          <c:idx val="2"/>
          <c:order val="2"/>
          <c:tx>
            <c:strRef>
              <c:f>'Result-CO2'!$N$4:$N$5</c:f>
              <c:strCache>
                <c:ptCount val="2"/>
                <c:pt idx="0">
                  <c:v>水路运输</c:v>
                </c:pt>
              </c:strCache>
            </c:strRef>
          </c:tx>
          <c:spPr>
            <a:solidFill>
              <a:schemeClr val="accent6"/>
            </a:solidFill>
            <a:ln>
              <a:noFill/>
            </a:ln>
            <a:effectLst/>
          </c:spPr>
          <c:cat>
            <c:numRef>
              <c:f>'Result-CO2'!$K$6:$K$15</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'Result-CO2'!$N$6:$N$15</c:f>
              <c:numCache>
                <c:formatCode>0</c:formatCode>
                <c:ptCount val="10"/>
                <c:pt idx="0">
                  <c:v>5703.9154243613793</c:v>
                </c:pt>
                <c:pt idx="1">
                  <c:v>5695</c:v>
                </c:pt>
                <c:pt idx="2">
                  <c:v>6063.7409228992947</c:v>
                </c:pt>
                <c:pt idx="3">
                  <c:v>6334.1102957089597</c:v>
                </c:pt>
                <c:pt idx="4">
                  <c:v>6435.5824703333119</c:v>
                </c:pt>
                <c:pt idx="5">
                  <c:v>6473.6160581147133</c:v>
                </c:pt>
                <c:pt idx="6">
                  <c:v>6271.8367260112918</c:v>
                </c:pt>
                <c:pt idx="7">
                  <c:v>6049.8733712522207</c:v>
                </c:pt>
                <c:pt idx="8">
                  <c:v>5618.2060455688506</c:v>
                </c:pt>
                <c:pt idx="9">
                  <c:v>5189.6473541895666</c:v>
                </c:pt>
              </c:numCache>
            </c:numRef>
          </c:val>
          <c:extLst>
            <c:ext xmlns:c16="http://schemas.microsoft.com/office/drawing/2014/chart" uri="{C3380CC4-5D6E-409C-BE32-E72D297353CC}">
              <c16:uniqueId val="{00000002-D83C-43C1-B4AB-4358270218F4}"/>
            </c:ext>
          </c:extLst>
        </c:ser>
        <c:ser>
          <c:idx val="3"/>
          <c:order val="3"/>
          <c:tx>
            <c:strRef>
              <c:f>'Result-CO2'!$O$4:$O$5</c:f>
              <c:strCache>
                <c:ptCount val="2"/>
                <c:pt idx="0">
                  <c:v>民航运输</c:v>
                </c:pt>
              </c:strCache>
            </c:strRef>
          </c:tx>
          <c:spPr>
            <a:solidFill>
              <a:schemeClr val="accent2">
                <a:lumMod val="60000"/>
              </a:schemeClr>
            </a:solidFill>
            <a:ln>
              <a:noFill/>
            </a:ln>
            <a:effectLst/>
          </c:spPr>
          <c:cat>
            <c:numRef>
              <c:f>'Result-CO2'!$K$6:$K$15</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'Result-CO2'!$O$6:$O$15</c:f>
              <c:numCache>
                <c:formatCode>0</c:formatCode>
                <c:ptCount val="10"/>
                <c:pt idx="0">
                  <c:v>8076.3960419099994</c:v>
                </c:pt>
                <c:pt idx="1">
                  <c:v>6039</c:v>
                </c:pt>
                <c:pt idx="2">
                  <c:v>13227.025361904056</c:v>
                </c:pt>
                <c:pt idx="3">
                  <c:v>17157.112269764933</c:v>
                </c:pt>
                <c:pt idx="4">
                  <c:v>20344.34218749126</c:v>
                </c:pt>
                <c:pt idx="5">
                  <c:v>20860.728282702348</c:v>
                </c:pt>
                <c:pt idx="6">
                  <c:v>21537.756145987794</c:v>
                </c:pt>
                <c:pt idx="7">
                  <c:v>21097.615681588537</c:v>
                </c:pt>
                <c:pt idx="8">
                  <c:v>20146.302216173073</c:v>
                </c:pt>
                <c:pt idx="9">
                  <c:v>18778.110317880732</c:v>
                </c:pt>
              </c:numCache>
            </c:numRef>
          </c:val>
          <c:extLst>
            <c:ext xmlns:c16="http://schemas.microsoft.com/office/drawing/2014/chart" uri="{C3380CC4-5D6E-409C-BE32-E72D297353CC}">
              <c16:uniqueId val="{00000003-D83C-43C1-B4AB-4358270218F4}"/>
            </c:ext>
          </c:extLst>
        </c:ser>
        <c:dLbls>
          <c:showLegendKey val="0"/>
          <c:showVal val="0"/>
          <c:showCatName val="0"/>
          <c:showSerName val="0"/>
          <c:showPercent val="0"/>
          <c:showBubbleSize val="0"/>
        </c:dLbls>
        <c:axId val="1718294367"/>
        <c:axId val="1254599823"/>
        <c:extLst>
          <c:ext xmlns:c15="http://schemas.microsoft.com/office/drawing/2012/chart" uri="{02D57815-91ED-43cb-92C2-25804820EDAC}">
            <c15:filteredAreaSeries>
              <c15:ser>
                <c:idx val="4"/>
                <c:order val="4"/>
                <c:tx>
                  <c:strRef>
                    <c:extLst>
                      <c:ext uri="{02D57815-91ED-43cb-92C2-25804820EDAC}">
                        <c15:formulaRef>
                          <c15:sqref>'Result-CO2'!$P$4:$P$5</c15:sqref>
                        </c15:formulaRef>
                      </c:ext>
                    </c:extLst>
                    <c:strCache>
                      <c:ptCount val="2"/>
                      <c:pt idx="0">
                        <c:v>Total</c:v>
                      </c:pt>
                    </c:strCache>
                  </c:strRef>
                </c:tx>
                <c:spPr>
                  <a:solidFill>
                    <a:schemeClr val="accent4">
                      <a:lumMod val="60000"/>
                    </a:schemeClr>
                  </a:solidFill>
                  <a:ln>
                    <a:noFill/>
                  </a:ln>
                  <a:effectLst/>
                </c:spPr>
                <c:cat>
                  <c:numRef>
                    <c:extLst>
                      <c:ext uri="{02D57815-91ED-43cb-92C2-25804820EDAC}">
                        <c15:formulaRef>
                          <c15:sqref>'Result-CO2'!$K$6:$K$15</c15:sqref>
                        </c15:formulaRef>
                      </c:ext>
                    </c:extLst>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extLst>
                      <c:ext uri="{02D57815-91ED-43cb-92C2-25804820EDAC}">
                        <c15:formulaRef>
                          <c15:sqref>'Result-CO2'!$P$6:$P$15</c15:sqref>
                        </c15:formulaRef>
                      </c:ext>
                    </c:extLst>
                    <c:numCache>
                      <c:formatCode>0</c:formatCode>
                      <c:ptCount val="10"/>
                      <c:pt idx="0">
                        <c:v>114415.91360664651</c:v>
                      </c:pt>
                      <c:pt idx="1">
                        <c:v>105653</c:v>
                      </c:pt>
                      <c:pt idx="2">
                        <c:v>129014.89598204283</c:v>
                      </c:pt>
                      <c:pt idx="3">
                        <c:v>145721.70436223858</c:v>
                      </c:pt>
                      <c:pt idx="4">
                        <c:v>158816.73009340209</c:v>
                      </c:pt>
                      <c:pt idx="5">
                        <c:v>161887.76145637562</c:v>
                      </c:pt>
                      <c:pt idx="6">
                        <c:v>160293.53055974605</c:v>
                      </c:pt>
                      <c:pt idx="7">
                        <c:v>159679.96833304866</c:v>
                      </c:pt>
                      <c:pt idx="8">
                        <c:v>138432.35475804016</c:v>
                      </c:pt>
                      <c:pt idx="9">
                        <c:v>111342.57480256099</c:v>
                      </c:pt>
                    </c:numCache>
                  </c:numRef>
                </c:val>
                <c:extLst>
                  <c:ext xmlns:c16="http://schemas.microsoft.com/office/drawing/2014/chart" uri="{C3380CC4-5D6E-409C-BE32-E72D297353CC}">
                    <c16:uniqueId val="{00000004-D83C-43C1-B4AB-4358270218F4}"/>
                  </c:ext>
                </c:extLst>
              </c15:ser>
            </c15:filteredAreaSeries>
          </c:ext>
        </c:extLst>
      </c:areaChart>
      <c:catAx>
        <c:axId val="1718294367"/>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254599823"/>
        <c:crosses val="autoZero"/>
        <c:auto val="1"/>
        <c:lblAlgn val="ctr"/>
        <c:lblOffset val="100"/>
        <c:noMultiLvlLbl val="0"/>
      </c:catAx>
      <c:valAx>
        <c:axId val="1254599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碳排放（万吨）</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718294367"/>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楷体" panose="02010609060101010101" pitchFamily="49" charset="-122"/>
              <a:ea typeface="楷体" panose="02010609060101010101" pitchFamily="49" charset="-122"/>
              <a:cs typeface="+mn-cs"/>
            </a:defRPr>
          </a:pPr>
          <a:endParaRPr lang="zh-CN"/>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strRef>
              <c:f>'Result-En'!$Q$65</c:f>
              <c:strCache>
                <c:ptCount val="1"/>
                <c:pt idx="0">
                  <c:v>汽油 </c:v>
                </c:pt>
              </c:strCache>
            </c:strRef>
          </c:tx>
          <c:spPr>
            <a:solidFill>
              <a:schemeClr val="accent1"/>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'Result-En'!$Q$66:$Q$75</c:f>
              <c:numCache>
                <c:formatCode>0</c:formatCode>
                <c:ptCount val="10"/>
                <c:pt idx="0">
                  <c:v>16020.513522384776</c:v>
                </c:pt>
                <c:pt idx="1">
                  <c:v>13902.50851782182</c:v>
                </c:pt>
                <c:pt idx="2">
                  <c:v>16564.776868353078</c:v>
                </c:pt>
                <c:pt idx="3">
                  <c:v>16764.085017018268</c:v>
                </c:pt>
                <c:pt idx="4">
                  <c:v>14821.692716317886</c:v>
                </c:pt>
                <c:pt idx="5">
                  <c:v>12075.003087466564</c:v>
                </c:pt>
                <c:pt idx="6">
                  <c:v>9302.4615792503337</c:v>
                </c:pt>
                <c:pt idx="7">
                  <c:v>6589.5603783690649</c:v>
                </c:pt>
                <c:pt idx="8">
                  <c:v>4734.2041122509809</c:v>
                </c:pt>
                <c:pt idx="9">
                  <c:v>3141.440121361376</c:v>
                </c:pt>
              </c:numCache>
            </c:numRef>
          </c:val>
          <c:extLst>
            <c:ext xmlns:c16="http://schemas.microsoft.com/office/drawing/2014/chart" uri="{C3380CC4-5D6E-409C-BE32-E72D297353CC}">
              <c16:uniqueId val="{00000000-16BB-4FE4-8D80-BD25DCD14A09}"/>
            </c:ext>
          </c:extLst>
        </c:ser>
        <c:ser>
          <c:idx val="1"/>
          <c:order val="1"/>
          <c:tx>
            <c:strRef>
              <c:f>'Result-En'!$R$65</c:f>
              <c:strCache>
                <c:ptCount val="1"/>
                <c:pt idx="0">
                  <c:v>柴油</c:v>
                </c:pt>
              </c:strCache>
            </c:strRef>
          </c:tx>
          <c:spPr>
            <a:solidFill>
              <a:schemeClr val="accent2"/>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'Result-En'!$R$66:$R$75</c:f>
              <c:numCache>
                <c:formatCode>0</c:formatCode>
                <c:ptCount val="10"/>
                <c:pt idx="0">
                  <c:v>23345.626540572539</c:v>
                </c:pt>
                <c:pt idx="1">
                  <c:v>22883.04794287814</c:v>
                </c:pt>
                <c:pt idx="2">
                  <c:v>26176.060674914181</c:v>
                </c:pt>
                <c:pt idx="3">
                  <c:v>29376.714298524705</c:v>
                </c:pt>
                <c:pt idx="4">
                  <c:v>32410.532884082822</c:v>
                </c:pt>
                <c:pt idx="5">
                  <c:v>31518.95317096806</c:v>
                </c:pt>
                <c:pt idx="6">
                  <c:v>31557.056140604669</c:v>
                </c:pt>
                <c:pt idx="7">
                  <c:v>30926.038233423173</c:v>
                </c:pt>
                <c:pt idx="8">
                  <c:v>28494.742523397519</c:v>
                </c:pt>
                <c:pt idx="9">
                  <c:v>25002.537737225208</c:v>
                </c:pt>
              </c:numCache>
            </c:numRef>
          </c:val>
          <c:extLst>
            <c:ext xmlns:c16="http://schemas.microsoft.com/office/drawing/2014/chart" uri="{C3380CC4-5D6E-409C-BE32-E72D297353CC}">
              <c16:uniqueId val="{00000001-16BB-4FE4-8D80-BD25DCD14A09}"/>
            </c:ext>
          </c:extLst>
        </c:ser>
        <c:ser>
          <c:idx val="2"/>
          <c:order val="2"/>
          <c:tx>
            <c:strRef>
              <c:f>'Result-En'!$S$65</c:f>
              <c:strCache>
                <c:ptCount val="1"/>
                <c:pt idx="0">
                  <c:v>天然气</c:v>
                </c:pt>
              </c:strCache>
            </c:strRef>
          </c:tx>
          <c:spPr>
            <a:solidFill>
              <a:schemeClr val="accent3"/>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'Result-En'!$S$66:$S$75</c:f>
              <c:numCache>
                <c:formatCode>0</c:formatCode>
                <c:ptCount val="10"/>
                <c:pt idx="0">
                  <c:v>563.70441722431269</c:v>
                </c:pt>
                <c:pt idx="1">
                  <c:v>880.44420693759389</c:v>
                </c:pt>
                <c:pt idx="2">
                  <c:v>1040.1612152622549</c:v>
                </c:pt>
                <c:pt idx="3">
                  <c:v>583.48060052412688</c:v>
                </c:pt>
                <c:pt idx="4">
                  <c:v>0</c:v>
                </c:pt>
                <c:pt idx="5">
                  <c:v>0</c:v>
                </c:pt>
                <c:pt idx="6">
                  <c:v>0</c:v>
                </c:pt>
                <c:pt idx="7">
                  <c:v>0</c:v>
                </c:pt>
                <c:pt idx="8">
                  <c:v>0</c:v>
                </c:pt>
                <c:pt idx="9">
                  <c:v>0</c:v>
                </c:pt>
              </c:numCache>
            </c:numRef>
          </c:val>
          <c:extLst>
            <c:ext xmlns:c16="http://schemas.microsoft.com/office/drawing/2014/chart" uri="{C3380CC4-5D6E-409C-BE32-E72D297353CC}">
              <c16:uniqueId val="{00000002-16BB-4FE4-8D80-BD25DCD14A09}"/>
            </c:ext>
          </c:extLst>
        </c:ser>
        <c:ser>
          <c:idx val="3"/>
          <c:order val="3"/>
          <c:tx>
            <c:strRef>
              <c:f>'Result-En'!$T$65</c:f>
              <c:strCache>
                <c:ptCount val="1"/>
                <c:pt idx="0">
                  <c:v>电力</c:v>
                </c:pt>
              </c:strCache>
            </c:strRef>
          </c:tx>
          <c:spPr>
            <a:solidFill>
              <a:schemeClr val="accent4"/>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'Result-En'!$T$66:$T$75</c:f>
              <c:numCache>
                <c:formatCode>0</c:formatCode>
                <c:ptCount val="10"/>
                <c:pt idx="0">
                  <c:v>3296.8302052021513</c:v>
                </c:pt>
                <c:pt idx="1">
                  <c:v>3309.6926818549741</c:v>
                </c:pt>
                <c:pt idx="2">
                  <c:v>5669.5907920809523</c:v>
                </c:pt>
                <c:pt idx="3">
                  <c:v>8365.2450508212351</c:v>
                </c:pt>
                <c:pt idx="4">
                  <c:v>12631.404079996513</c:v>
                </c:pt>
                <c:pt idx="5">
                  <c:v>17629.794612914106</c:v>
                </c:pt>
                <c:pt idx="6">
                  <c:v>21130.975658401756</c:v>
                </c:pt>
                <c:pt idx="7">
                  <c:v>23946.919944764933</c:v>
                </c:pt>
                <c:pt idx="8">
                  <c:v>27190.753503886866</c:v>
                </c:pt>
                <c:pt idx="9">
                  <c:v>28990.852164176082</c:v>
                </c:pt>
              </c:numCache>
            </c:numRef>
          </c:val>
          <c:extLst>
            <c:ext xmlns:c16="http://schemas.microsoft.com/office/drawing/2014/chart" uri="{C3380CC4-5D6E-409C-BE32-E72D297353CC}">
              <c16:uniqueId val="{00000003-16BB-4FE4-8D80-BD25DCD14A09}"/>
            </c:ext>
          </c:extLst>
        </c:ser>
        <c:ser>
          <c:idx val="4"/>
          <c:order val="4"/>
          <c:tx>
            <c:strRef>
              <c:f>'Result-En'!$U$65</c:f>
              <c:strCache>
                <c:ptCount val="1"/>
                <c:pt idx="0">
                  <c:v>氢能 </c:v>
                </c:pt>
              </c:strCache>
            </c:strRef>
          </c:tx>
          <c:spPr>
            <a:solidFill>
              <a:schemeClr val="accent5"/>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'Result-En'!$U$66:$U$75</c:f>
              <c:numCache>
                <c:formatCode>0</c:formatCode>
                <c:ptCount val="10"/>
                <c:pt idx="0">
                  <c:v>0</c:v>
                </c:pt>
                <c:pt idx="1">
                  <c:v>0</c:v>
                </c:pt>
                <c:pt idx="2">
                  <c:v>0</c:v>
                </c:pt>
                <c:pt idx="3">
                  <c:v>97.615575997610748</c:v>
                </c:pt>
                <c:pt idx="4">
                  <c:v>240.69483423618615</c:v>
                </c:pt>
                <c:pt idx="5">
                  <c:v>494.4350115370645</c:v>
                </c:pt>
                <c:pt idx="6">
                  <c:v>953.57323866580168</c:v>
                </c:pt>
                <c:pt idx="7">
                  <c:v>1454.6966046889597</c:v>
                </c:pt>
                <c:pt idx="8">
                  <c:v>1960.2228520138672</c:v>
                </c:pt>
                <c:pt idx="9">
                  <c:v>2397.0326128783254</c:v>
                </c:pt>
              </c:numCache>
            </c:numRef>
          </c:val>
          <c:extLst>
            <c:ext xmlns:c16="http://schemas.microsoft.com/office/drawing/2014/chart" uri="{C3380CC4-5D6E-409C-BE32-E72D297353CC}">
              <c16:uniqueId val="{00000004-16BB-4FE4-8D80-BD25DCD14A09}"/>
            </c:ext>
          </c:extLst>
        </c:ser>
        <c:ser>
          <c:idx val="5"/>
          <c:order val="5"/>
          <c:tx>
            <c:strRef>
              <c:f>'Result-En'!$V$65</c:f>
              <c:strCache>
                <c:ptCount val="1"/>
                <c:pt idx="0">
                  <c:v>航空煤油</c:v>
                </c:pt>
              </c:strCache>
            </c:strRef>
          </c:tx>
          <c:spPr>
            <a:solidFill>
              <a:schemeClr val="accent6"/>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'Result-En'!$V$66:$V$75</c:f>
              <c:numCache>
                <c:formatCode>0</c:formatCode>
                <c:ptCount val="10"/>
                <c:pt idx="0">
                  <c:v>4629.8947798399595</c:v>
                </c:pt>
                <c:pt idx="1">
                  <c:v>3832.3599974468161</c:v>
                </c:pt>
                <c:pt idx="2">
                  <c:v>6949.8390852103357</c:v>
                </c:pt>
                <c:pt idx="3">
                  <c:v>8686.1607999925636</c:v>
                </c:pt>
                <c:pt idx="4">
                  <c:v>10060.326658832739</c:v>
                </c:pt>
                <c:pt idx="5">
                  <c:v>10266.485388058612</c:v>
                </c:pt>
                <c:pt idx="6">
                  <c:v>10468.078662411912</c:v>
                </c:pt>
                <c:pt idx="7">
                  <c:v>10183.252812451386</c:v>
                </c:pt>
                <c:pt idx="8">
                  <c:v>9674.5939915401395</c:v>
                </c:pt>
                <c:pt idx="9">
                  <c:v>8985.8673431082061</c:v>
                </c:pt>
              </c:numCache>
            </c:numRef>
          </c:val>
          <c:extLst>
            <c:ext xmlns:c16="http://schemas.microsoft.com/office/drawing/2014/chart" uri="{C3380CC4-5D6E-409C-BE32-E72D297353CC}">
              <c16:uniqueId val="{00000005-16BB-4FE4-8D80-BD25DCD14A09}"/>
            </c:ext>
          </c:extLst>
        </c:ser>
        <c:ser>
          <c:idx val="6"/>
          <c:order val="6"/>
          <c:tx>
            <c:strRef>
              <c:f>'Result-En'!$W$65</c:f>
              <c:strCache>
                <c:ptCount val="1"/>
                <c:pt idx="0">
                  <c:v>燃料油</c:v>
                </c:pt>
              </c:strCache>
            </c:strRef>
          </c:tx>
          <c:spPr>
            <a:solidFill>
              <a:schemeClr val="accent1">
                <a:lumMod val="60000"/>
              </a:schemeClr>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'Result-En'!$W$66:$W$75</c:f>
              <c:numCache>
                <c:formatCode>0</c:formatCode>
                <c:ptCount val="10"/>
                <c:pt idx="0">
                  <c:v>1982.4754999999998</c:v>
                </c:pt>
                <c:pt idx="1">
                  <c:v>2022.7227335251202</c:v>
                </c:pt>
                <c:pt idx="2">
                  <c:v>2181.8370144961377</c:v>
                </c:pt>
                <c:pt idx="3">
                  <c:v>2284.4095792813291</c:v>
                </c:pt>
                <c:pt idx="4">
                  <c:v>2368.3702969715432</c:v>
                </c:pt>
                <c:pt idx="5">
                  <c:v>2403.8702704678999</c:v>
                </c:pt>
                <c:pt idx="6">
                  <c:v>2366.9871743139502</c:v>
                </c:pt>
                <c:pt idx="7">
                  <c:v>2321.2098519502788</c:v>
                </c:pt>
                <c:pt idx="8">
                  <c:v>2199.9407756480387</c:v>
                </c:pt>
                <c:pt idx="9">
                  <c:v>2086.5210937930719</c:v>
                </c:pt>
              </c:numCache>
            </c:numRef>
          </c:val>
          <c:extLst>
            <c:ext xmlns:c16="http://schemas.microsoft.com/office/drawing/2014/chart" uri="{C3380CC4-5D6E-409C-BE32-E72D297353CC}">
              <c16:uniqueId val="{00000006-16BB-4FE4-8D80-BD25DCD14A09}"/>
            </c:ext>
          </c:extLst>
        </c:ser>
        <c:ser>
          <c:idx val="7"/>
          <c:order val="7"/>
          <c:tx>
            <c:strRef>
              <c:f>'Result-En'!$X$65</c:f>
              <c:strCache>
                <c:ptCount val="1"/>
                <c:pt idx="0">
                  <c:v>生物质燃料</c:v>
                </c:pt>
              </c:strCache>
            </c:strRef>
          </c:tx>
          <c:spPr>
            <a:solidFill>
              <a:schemeClr val="accent2">
                <a:lumMod val="60000"/>
              </a:schemeClr>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'Result-En'!$X$66:$X$75</c:f>
              <c:numCache>
                <c:formatCode>0</c:formatCode>
                <c:ptCount val="10"/>
                <c:pt idx="0">
                  <c:v>0</c:v>
                </c:pt>
                <c:pt idx="1">
                  <c:v>0</c:v>
                </c:pt>
                <c:pt idx="2">
                  <c:v>86.909674851748093</c:v>
                </c:pt>
                <c:pt idx="3">
                  <c:v>157.05306239643178</c:v>
                </c:pt>
                <c:pt idx="4">
                  <c:v>345.3095560087047</c:v>
                </c:pt>
                <c:pt idx="5">
                  <c:v>777.72986924275642</c:v>
                </c:pt>
                <c:pt idx="6">
                  <c:v>1148.9834828548837</c:v>
                </c:pt>
                <c:pt idx="7">
                  <c:v>1493.2262371400964</c:v>
                </c:pt>
                <c:pt idx="8">
                  <c:v>1952.6607386944306</c:v>
                </c:pt>
                <c:pt idx="9">
                  <c:v>2375.2500192858015</c:v>
                </c:pt>
              </c:numCache>
            </c:numRef>
          </c:val>
          <c:extLst>
            <c:ext xmlns:c16="http://schemas.microsoft.com/office/drawing/2014/chart" uri="{C3380CC4-5D6E-409C-BE32-E72D297353CC}">
              <c16:uniqueId val="{00000007-16BB-4FE4-8D80-BD25DCD14A09}"/>
            </c:ext>
          </c:extLst>
        </c:ser>
        <c:ser>
          <c:idx val="8"/>
          <c:order val="8"/>
          <c:tx>
            <c:strRef>
              <c:f>'Result-En'!$Y$65</c:f>
              <c:strCache>
                <c:ptCount val="1"/>
                <c:pt idx="0">
                  <c:v>航运氢能</c:v>
                </c:pt>
              </c:strCache>
            </c:strRef>
          </c:tx>
          <c:spPr>
            <a:solidFill>
              <a:schemeClr val="accent3">
                <a:lumMod val="60000"/>
              </a:schemeClr>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'Result-En'!$Y$66:$Y$75</c:f>
              <c:numCache>
                <c:formatCode>0</c:formatCode>
                <c:ptCount val="10"/>
                <c:pt idx="0">
                  <c:v>0</c:v>
                </c:pt>
                <c:pt idx="1">
                  <c:v>0</c:v>
                </c:pt>
                <c:pt idx="2">
                  <c:v>0</c:v>
                </c:pt>
                <c:pt idx="3">
                  <c:v>10.886020099943403</c:v>
                </c:pt>
                <c:pt idx="4">
                  <c:v>35.47705129582458</c:v>
                </c:pt>
                <c:pt idx="5">
                  <c:v>99.039856834819716</c:v>
                </c:pt>
                <c:pt idx="6">
                  <c:v>142.70502973241477</c:v>
                </c:pt>
                <c:pt idx="7">
                  <c:v>186.39294375918291</c:v>
                </c:pt>
                <c:pt idx="8">
                  <c:v>312.63668395762181</c:v>
                </c:pt>
                <c:pt idx="9">
                  <c:v>440.82961020327741</c:v>
                </c:pt>
              </c:numCache>
            </c:numRef>
          </c:val>
          <c:extLst>
            <c:ext xmlns:c16="http://schemas.microsoft.com/office/drawing/2014/chart" uri="{C3380CC4-5D6E-409C-BE32-E72D297353CC}">
              <c16:uniqueId val="{00000008-16BB-4FE4-8D80-BD25DCD14A09}"/>
            </c:ext>
          </c:extLst>
        </c:ser>
        <c:dLbls>
          <c:showLegendKey val="0"/>
          <c:showVal val="0"/>
          <c:showCatName val="0"/>
          <c:showSerName val="0"/>
          <c:showPercent val="0"/>
          <c:showBubbleSize val="0"/>
        </c:dLbls>
        <c:axId val="1725510015"/>
        <c:axId val="1775506799"/>
      </c:areaChart>
      <c:catAx>
        <c:axId val="1725510015"/>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775506799"/>
        <c:crosses val="autoZero"/>
        <c:auto val="1"/>
        <c:lblAlgn val="ctr"/>
        <c:lblOffset val="100"/>
        <c:noMultiLvlLbl val="0"/>
      </c:catAx>
      <c:valAx>
        <c:axId val="17755067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能源消耗量（万</a:t>
                </a:r>
                <a:r>
                  <a:rPr lang="en-US" altLang="zh-CN">
                    <a:solidFill>
                      <a:schemeClr val="tx1"/>
                    </a:solidFill>
                    <a:latin typeface="楷体" panose="02010609060101010101" pitchFamily="49" charset="-122"/>
                    <a:ea typeface="楷体" panose="02010609060101010101" pitchFamily="49" charset="-122"/>
                  </a:rPr>
                  <a:t>tce</a:t>
                </a:r>
                <a:r>
                  <a:rPr lang="zh-CN" altLang="en-US">
                    <a:solidFill>
                      <a:schemeClr val="tx1"/>
                    </a:solidFill>
                    <a:latin typeface="楷体" panose="02010609060101010101" pitchFamily="49" charset="-122"/>
                    <a:ea typeface="楷体" panose="02010609060101010101" pitchFamily="49" charset="-122"/>
                  </a:rPr>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725510015"/>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楷体" panose="02010609060101010101" pitchFamily="49" charset="-122"/>
              <a:ea typeface="楷体" panose="02010609060101010101" pitchFamily="49" charset="-122"/>
              <a:cs typeface="+mn-cs"/>
            </a:defRPr>
          </a:pPr>
          <a:endParaRPr lang="zh-CN"/>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207278298014337"/>
          <c:y val="4.8140043763676151E-2"/>
          <c:w val="0.82144034006343958"/>
          <c:h val="0.66460207791312731"/>
        </c:manualLayout>
      </c:layout>
      <c:lineChart>
        <c:grouping val="standard"/>
        <c:varyColors val="0"/>
        <c:ser>
          <c:idx val="0"/>
          <c:order val="0"/>
          <c:tx>
            <c:strRef>
              <c:f>记录!$E$200:$E$201</c:f>
              <c:strCache>
                <c:ptCount val="2"/>
                <c:pt idx="0">
                  <c:v>基准情景</c:v>
                </c:pt>
              </c:strCache>
            </c:strRef>
          </c:tx>
          <c:spPr>
            <a:ln w="28575" cap="rnd">
              <a:solidFill>
                <a:schemeClr val="accent1"/>
              </a:solidFill>
              <a:round/>
            </a:ln>
            <a:effectLst/>
          </c:spPr>
          <c:marker>
            <c:symbol val="none"/>
          </c:marker>
          <c:cat>
            <c:numRef>
              <c:f>记录!$D$202:$D$213</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记录!$E$202:$E$213</c:f>
              <c:numCache>
                <c:formatCode>0</c:formatCode>
                <c:ptCount val="10"/>
                <c:pt idx="0">
                  <c:v>115320.91360664651</c:v>
                </c:pt>
                <c:pt idx="1">
                  <c:v>106558.24888641841</c:v>
                </c:pt>
                <c:pt idx="2">
                  <c:v>129014.89598204283</c:v>
                </c:pt>
                <c:pt idx="3">
                  <c:v>145721.70436223858</c:v>
                </c:pt>
                <c:pt idx="4">
                  <c:v>158816.73009340209</c:v>
                </c:pt>
                <c:pt idx="5">
                  <c:v>161887.76145637562</c:v>
                </c:pt>
                <c:pt idx="6">
                  <c:v>160293.530559746</c:v>
                </c:pt>
                <c:pt idx="7">
                  <c:v>159779.96833304866</c:v>
                </c:pt>
                <c:pt idx="8">
                  <c:v>138432.35475804016</c:v>
                </c:pt>
                <c:pt idx="9">
                  <c:v>111342.57480256099</c:v>
                </c:pt>
              </c:numCache>
            </c:numRef>
          </c:val>
          <c:smooth val="0"/>
          <c:extLst>
            <c:ext xmlns:c16="http://schemas.microsoft.com/office/drawing/2014/chart" uri="{C3380CC4-5D6E-409C-BE32-E72D297353CC}">
              <c16:uniqueId val="{00000000-97BF-404C-AE8A-24794FA76196}"/>
            </c:ext>
          </c:extLst>
        </c:ser>
        <c:ser>
          <c:idx val="1"/>
          <c:order val="1"/>
          <c:tx>
            <c:strRef>
              <c:f>记录!$F$200:$F$201</c:f>
              <c:strCache>
                <c:ptCount val="2"/>
                <c:pt idx="0">
                  <c:v>双碳政策推演情景-CPD</c:v>
                </c:pt>
                <c:pt idx="1">
                  <c:v>CPD1-运输结构调整</c:v>
                </c:pt>
              </c:strCache>
            </c:strRef>
          </c:tx>
          <c:spPr>
            <a:ln w="28575" cap="rnd">
              <a:solidFill>
                <a:schemeClr val="accent2"/>
              </a:solidFill>
              <a:round/>
            </a:ln>
            <a:effectLst/>
          </c:spPr>
          <c:marker>
            <c:symbol val="none"/>
          </c:marker>
          <c:cat>
            <c:numRef>
              <c:f>记录!$D$202:$D$213</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记录!$F$202:$F$213</c:f>
              <c:numCache>
                <c:formatCode>0</c:formatCode>
                <c:ptCount val="10"/>
                <c:pt idx="0">
                  <c:v>115320.91360664651</c:v>
                </c:pt>
                <c:pt idx="1">
                  <c:v>106558.24888641841</c:v>
                </c:pt>
                <c:pt idx="2">
                  <c:v>126116.61804565265</c:v>
                </c:pt>
                <c:pt idx="3">
                  <c:v>140060.57556190024</c:v>
                </c:pt>
                <c:pt idx="4">
                  <c:v>150031.55677843632</c:v>
                </c:pt>
                <c:pt idx="5">
                  <c:v>149635.49488396445</c:v>
                </c:pt>
                <c:pt idx="6">
                  <c:v>149622.93644538394</c:v>
                </c:pt>
                <c:pt idx="7">
                  <c:v>146750.76885214815</c:v>
                </c:pt>
                <c:pt idx="8">
                  <c:v>125704.80737697397</c:v>
                </c:pt>
                <c:pt idx="9">
                  <c:v>99228.364520068179</c:v>
                </c:pt>
              </c:numCache>
            </c:numRef>
          </c:val>
          <c:smooth val="0"/>
          <c:extLst>
            <c:ext xmlns:c16="http://schemas.microsoft.com/office/drawing/2014/chart" uri="{C3380CC4-5D6E-409C-BE32-E72D297353CC}">
              <c16:uniqueId val="{00000001-97BF-404C-AE8A-24794FA76196}"/>
            </c:ext>
          </c:extLst>
        </c:ser>
        <c:ser>
          <c:idx val="2"/>
          <c:order val="2"/>
          <c:tx>
            <c:strRef>
              <c:f>记录!$G$200:$G$201</c:f>
              <c:strCache>
                <c:ptCount val="2"/>
                <c:pt idx="0">
                  <c:v>双碳政策推演情景-CPD</c:v>
                </c:pt>
                <c:pt idx="1">
                  <c:v>CPD2-能效提升</c:v>
                </c:pt>
              </c:strCache>
            </c:strRef>
          </c:tx>
          <c:spPr>
            <a:ln w="28575" cap="rnd">
              <a:solidFill>
                <a:schemeClr val="accent3"/>
              </a:solidFill>
              <a:round/>
            </a:ln>
            <a:effectLst/>
          </c:spPr>
          <c:marker>
            <c:symbol val="none"/>
          </c:marker>
          <c:cat>
            <c:numRef>
              <c:f>记录!$D$202:$D$213</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记录!$G$202:$G$213</c:f>
              <c:numCache>
                <c:formatCode>0</c:formatCode>
                <c:ptCount val="10"/>
                <c:pt idx="0">
                  <c:v>115320.91360664651</c:v>
                </c:pt>
                <c:pt idx="1">
                  <c:v>106558.24888641841</c:v>
                </c:pt>
                <c:pt idx="2">
                  <c:v>126421.24207672141</c:v>
                </c:pt>
                <c:pt idx="3">
                  <c:v>139484.13562661954</c:v>
                </c:pt>
                <c:pt idx="4">
                  <c:v>148327.21553897709</c:v>
                </c:pt>
                <c:pt idx="5">
                  <c:v>146839.87271068571</c:v>
                </c:pt>
                <c:pt idx="6">
                  <c:v>144122.30165441174</c:v>
                </c:pt>
                <c:pt idx="7">
                  <c:v>138165.21347410738</c:v>
                </c:pt>
                <c:pt idx="8">
                  <c:v>118342.14385634616</c:v>
                </c:pt>
                <c:pt idx="9">
                  <c:v>93891.195942518418</c:v>
                </c:pt>
              </c:numCache>
            </c:numRef>
          </c:val>
          <c:smooth val="0"/>
          <c:extLst>
            <c:ext xmlns:c16="http://schemas.microsoft.com/office/drawing/2014/chart" uri="{C3380CC4-5D6E-409C-BE32-E72D297353CC}">
              <c16:uniqueId val="{00000002-97BF-404C-AE8A-24794FA76196}"/>
            </c:ext>
          </c:extLst>
        </c:ser>
        <c:ser>
          <c:idx val="3"/>
          <c:order val="3"/>
          <c:tx>
            <c:strRef>
              <c:f>记录!$H$200:$H$201</c:f>
              <c:strCache>
                <c:ptCount val="2"/>
                <c:pt idx="0">
                  <c:v>双碳政策推演情景-CPD</c:v>
                </c:pt>
                <c:pt idx="1">
                  <c:v>CPD3-新能源应用</c:v>
                </c:pt>
              </c:strCache>
            </c:strRef>
          </c:tx>
          <c:spPr>
            <a:ln w="28575" cap="rnd">
              <a:solidFill>
                <a:schemeClr val="accent4"/>
              </a:solidFill>
              <a:round/>
            </a:ln>
            <a:effectLst/>
          </c:spPr>
          <c:marker>
            <c:symbol val="none"/>
          </c:marker>
          <c:cat>
            <c:numRef>
              <c:f>记录!$D$202:$D$213</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记录!$H$202:$H$213</c:f>
              <c:numCache>
                <c:formatCode>0</c:formatCode>
                <c:ptCount val="10"/>
                <c:pt idx="0">
                  <c:v>115320.91360664651</c:v>
                </c:pt>
                <c:pt idx="1">
                  <c:v>106558.24888641841</c:v>
                </c:pt>
                <c:pt idx="2">
                  <c:v>125987.29155356872</c:v>
                </c:pt>
                <c:pt idx="3">
                  <c:v>136996.25278587465</c:v>
                </c:pt>
                <c:pt idx="4">
                  <c:v>136121.28167436505</c:v>
                </c:pt>
                <c:pt idx="5">
                  <c:v>124813.38649987083</c:v>
                </c:pt>
                <c:pt idx="6">
                  <c:v>107256.23972229418</c:v>
                </c:pt>
                <c:pt idx="7">
                  <c:v>85078.950063639713</c:v>
                </c:pt>
                <c:pt idx="8">
                  <c:v>55874.157216110762</c:v>
                </c:pt>
                <c:pt idx="9">
                  <c:v>24258.034006134367</c:v>
                </c:pt>
              </c:numCache>
            </c:numRef>
          </c:val>
          <c:smooth val="0"/>
          <c:extLst>
            <c:ext xmlns:c16="http://schemas.microsoft.com/office/drawing/2014/chart" uri="{C3380CC4-5D6E-409C-BE32-E72D297353CC}">
              <c16:uniqueId val="{00000003-97BF-404C-AE8A-24794FA76196}"/>
            </c:ext>
          </c:extLst>
        </c:ser>
        <c:ser>
          <c:idx val="4"/>
          <c:order val="4"/>
          <c:tx>
            <c:strRef>
              <c:f>记录!$I$200:$I$201</c:f>
              <c:strCache>
                <c:ptCount val="2"/>
                <c:pt idx="0">
                  <c:v>双碳政策推演情景-CPD</c:v>
                </c:pt>
                <c:pt idx="1">
                  <c:v>CPD0-综合</c:v>
                </c:pt>
              </c:strCache>
            </c:strRef>
          </c:tx>
          <c:spPr>
            <a:ln w="28575" cap="rnd">
              <a:solidFill>
                <a:srgbClr val="0066FF"/>
              </a:solidFill>
              <a:round/>
            </a:ln>
            <a:effectLst/>
          </c:spPr>
          <c:marker>
            <c:symbol val="none"/>
          </c:marker>
          <c:cat>
            <c:numRef>
              <c:f>记录!$D$202:$D$213</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记录!$I$202:$I$213</c:f>
              <c:numCache>
                <c:formatCode>0</c:formatCode>
                <c:ptCount val="10"/>
                <c:pt idx="0">
                  <c:v>115320.91360664651</c:v>
                </c:pt>
                <c:pt idx="1">
                  <c:v>106558.24888641841</c:v>
                </c:pt>
                <c:pt idx="2">
                  <c:v>120815.67391366372</c:v>
                </c:pt>
                <c:pt idx="3">
                  <c:v>128254.657680251</c:v>
                </c:pt>
                <c:pt idx="4">
                  <c:v>132577.212891898</c:v>
                </c:pt>
                <c:pt idx="5">
                  <c:v>104992.72662858589</c:v>
                </c:pt>
                <c:pt idx="6">
                  <c:v>88648.393619043971</c:v>
                </c:pt>
                <c:pt idx="7">
                  <c:v>68212.298773468428</c:v>
                </c:pt>
                <c:pt idx="8">
                  <c:v>43848.637158791411</c:v>
                </c:pt>
                <c:pt idx="9">
                  <c:v>18398.498103208825</c:v>
                </c:pt>
              </c:numCache>
            </c:numRef>
          </c:val>
          <c:smooth val="0"/>
          <c:extLst>
            <c:ext xmlns:c16="http://schemas.microsoft.com/office/drawing/2014/chart" uri="{C3380CC4-5D6E-409C-BE32-E72D297353CC}">
              <c16:uniqueId val="{00000004-97BF-404C-AE8A-24794FA76196}"/>
            </c:ext>
          </c:extLst>
        </c:ser>
        <c:dLbls>
          <c:showLegendKey val="0"/>
          <c:showVal val="0"/>
          <c:showCatName val="0"/>
          <c:showSerName val="0"/>
          <c:showPercent val="0"/>
          <c:showBubbleSize val="0"/>
        </c:dLbls>
        <c:smooth val="0"/>
        <c:axId val="1087384096"/>
        <c:axId val="822967600"/>
        <c:extLst>
          <c:ext xmlns:c15="http://schemas.microsoft.com/office/drawing/2012/chart" uri="{02D57815-91ED-43cb-92C2-25804820EDAC}">
            <c15:filteredLineSeries>
              <c15:ser>
                <c:idx val="5"/>
                <c:order val="5"/>
                <c:tx>
                  <c:strRef>
                    <c:extLst>
                      <c:ext uri="{02D57815-91ED-43cb-92C2-25804820EDAC}">
                        <c15:formulaRef>
                          <c15:sqref>记录!$J$200:$J$201</c15:sqref>
                        </c15:formulaRef>
                      </c:ext>
                    </c:extLst>
                    <c:strCache>
                      <c:ptCount val="2"/>
                      <c:pt idx="0">
                        <c:v>激进情景-RS</c:v>
                      </c:pt>
                      <c:pt idx="1">
                        <c:v>RS1-运输结构调整</c:v>
                      </c:pt>
                    </c:strCache>
                  </c:strRef>
                </c:tx>
                <c:spPr>
                  <a:ln w="28575" cap="rnd">
                    <a:solidFill>
                      <a:schemeClr val="accent6"/>
                    </a:solidFill>
                    <a:round/>
                  </a:ln>
                  <a:effectLst/>
                </c:spPr>
                <c:marker>
                  <c:symbol val="none"/>
                </c:marker>
                <c:cat>
                  <c:numRef>
                    <c:extLst>
                      <c:ext uri="{02D57815-91ED-43cb-92C2-25804820EDAC}">
                        <c15:formulaRef>
                          <c15:sqref>记录!$D$202:$D$213</c15:sqref>
                        </c15:formulaRef>
                      </c:ext>
                    </c:extLst>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extLst>
                      <c:ext uri="{02D57815-91ED-43cb-92C2-25804820EDAC}">
                        <c15:formulaRef>
                          <c15:sqref>记录!$J$202:$J$213</c15:sqref>
                        </c15:formulaRef>
                      </c:ext>
                    </c:extLst>
                    <c:numCache>
                      <c:formatCode>0</c:formatCode>
                      <c:ptCount val="10"/>
                      <c:pt idx="0">
                        <c:v>115320.91360664651</c:v>
                      </c:pt>
                      <c:pt idx="1">
                        <c:v>106558.24888641841</c:v>
                      </c:pt>
                      <c:pt idx="2">
                        <c:v>125337.70263537276</c:v>
                      </c:pt>
                      <c:pt idx="3">
                        <c:v>138334.79886838089</c:v>
                      </c:pt>
                      <c:pt idx="4">
                        <c:v>147140.85389867486</c:v>
                      </c:pt>
                      <c:pt idx="5">
                        <c:v>145947.75677699276</c:v>
                      </c:pt>
                      <c:pt idx="6">
                        <c:v>145541.28631819267</c:v>
                      </c:pt>
                      <c:pt idx="7">
                        <c:v>142322.75237861695</c:v>
                      </c:pt>
                      <c:pt idx="8">
                        <c:v>121557.32504126415</c:v>
                      </c:pt>
                      <c:pt idx="9">
                        <c:v>95490.540258553781</c:v>
                      </c:pt>
                    </c:numCache>
                  </c:numRef>
                </c:val>
                <c:smooth val="0"/>
                <c:extLst>
                  <c:ext xmlns:c16="http://schemas.microsoft.com/office/drawing/2014/chart" uri="{C3380CC4-5D6E-409C-BE32-E72D297353CC}">
                    <c16:uniqueId val="{00000005-97BF-404C-AE8A-24794FA76196}"/>
                  </c:ext>
                </c:extLst>
              </c15:ser>
            </c15:filteredLineSeries>
            <c15:filteredLineSeries>
              <c15:ser>
                <c:idx val="6"/>
                <c:order val="6"/>
                <c:tx>
                  <c:strRef>
                    <c:extLst xmlns:c15="http://schemas.microsoft.com/office/drawing/2012/chart">
                      <c:ext xmlns:c15="http://schemas.microsoft.com/office/drawing/2012/chart" uri="{02D57815-91ED-43cb-92C2-25804820EDAC}">
                        <c15:formulaRef>
                          <c15:sqref>记录!$K$200:$K$201</c15:sqref>
                        </c15:formulaRef>
                      </c:ext>
                    </c:extLst>
                    <c:strCache>
                      <c:ptCount val="2"/>
                      <c:pt idx="0">
                        <c:v>激进情景-RS</c:v>
                      </c:pt>
                      <c:pt idx="1">
                        <c:v>RS2-能效提升</c:v>
                      </c:pt>
                    </c:strCache>
                  </c:strRef>
                </c:tx>
                <c:spPr>
                  <a:ln w="28575" cap="rnd">
                    <a:solidFill>
                      <a:schemeClr val="accent1">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记录!$D$202:$D$213</c15:sqref>
                        </c15:formulaRef>
                      </c:ext>
                    </c:extLst>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extLst xmlns:c15="http://schemas.microsoft.com/office/drawing/2012/chart">
                      <c:ext xmlns:c15="http://schemas.microsoft.com/office/drawing/2012/chart" uri="{02D57815-91ED-43cb-92C2-25804820EDAC}">
                        <c15:formulaRef>
                          <c15:sqref>记录!$K$202:$K$213</c15:sqref>
                        </c15:formulaRef>
                      </c:ext>
                    </c:extLst>
                    <c:numCache>
                      <c:formatCode>0</c:formatCode>
                      <c:ptCount val="10"/>
                      <c:pt idx="0">
                        <c:v>115320.91360664651</c:v>
                      </c:pt>
                      <c:pt idx="1">
                        <c:v>106558.24888641841</c:v>
                      </c:pt>
                      <c:pt idx="2">
                        <c:v>124501.82048672099</c:v>
                      </c:pt>
                      <c:pt idx="3">
                        <c:v>135864.67459106797</c:v>
                      </c:pt>
                      <c:pt idx="4">
                        <c:v>141302.62857912196</c:v>
                      </c:pt>
                      <c:pt idx="5">
                        <c:v>135392.50819767258</c:v>
                      </c:pt>
                      <c:pt idx="6">
                        <c:v>130574.46501854461</c:v>
                      </c:pt>
                      <c:pt idx="7">
                        <c:v>122409.39046106477</c:v>
                      </c:pt>
                      <c:pt idx="8">
                        <c:v>101925.49318848422</c:v>
                      </c:pt>
                      <c:pt idx="9">
                        <c:v>77377.838881326359</c:v>
                      </c:pt>
                    </c:numCache>
                  </c:numRef>
                </c:val>
                <c:smooth val="0"/>
                <c:extLst xmlns:c15="http://schemas.microsoft.com/office/drawing/2012/chart">
                  <c:ext xmlns:c16="http://schemas.microsoft.com/office/drawing/2014/chart" uri="{C3380CC4-5D6E-409C-BE32-E72D297353CC}">
                    <c16:uniqueId val="{00000006-97BF-404C-AE8A-24794FA76196}"/>
                  </c:ext>
                </c:extLst>
              </c15:ser>
            </c15:filteredLineSeries>
            <c15:filteredLineSeries>
              <c15:ser>
                <c:idx val="7"/>
                <c:order val="7"/>
                <c:tx>
                  <c:strRef>
                    <c:extLst xmlns:c15="http://schemas.microsoft.com/office/drawing/2012/chart">
                      <c:ext xmlns:c15="http://schemas.microsoft.com/office/drawing/2012/chart" uri="{02D57815-91ED-43cb-92C2-25804820EDAC}">
                        <c15:formulaRef>
                          <c15:sqref>记录!$L$200:$L$201</c15:sqref>
                        </c15:formulaRef>
                      </c:ext>
                    </c:extLst>
                    <c:strCache>
                      <c:ptCount val="2"/>
                      <c:pt idx="0">
                        <c:v>激进情景-RS</c:v>
                      </c:pt>
                      <c:pt idx="1">
                        <c:v>RS3-新能源应用</c:v>
                      </c:pt>
                    </c:strCache>
                  </c:strRef>
                </c:tx>
                <c:spPr>
                  <a:ln w="28575" cap="rnd">
                    <a:solidFill>
                      <a:schemeClr val="accent2">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记录!$D$202:$D$213</c15:sqref>
                        </c15:formulaRef>
                      </c:ext>
                    </c:extLst>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extLst xmlns:c15="http://schemas.microsoft.com/office/drawing/2012/chart">
                      <c:ext xmlns:c15="http://schemas.microsoft.com/office/drawing/2012/chart" uri="{02D57815-91ED-43cb-92C2-25804820EDAC}">
                        <c15:formulaRef>
                          <c15:sqref>记录!$L$202:$L$213</c15:sqref>
                        </c15:formulaRef>
                      </c:ext>
                    </c:extLst>
                    <c:numCache>
                      <c:formatCode>0</c:formatCode>
                      <c:ptCount val="10"/>
                      <c:pt idx="0">
                        <c:v>115320.91360664651</c:v>
                      </c:pt>
                      <c:pt idx="1">
                        <c:v>106558.24888641841</c:v>
                      </c:pt>
                      <c:pt idx="2">
                        <c:v>123498.02274453038</c:v>
                      </c:pt>
                      <c:pt idx="3">
                        <c:v>130680.16765952506</c:v>
                      </c:pt>
                      <c:pt idx="4">
                        <c:v>123637.36741366917</c:v>
                      </c:pt>
                      <c:pt idx="5">
                        <c:v>100317.70164004469</c:v>
                      </c:pt>
                      <c:pt idx="6">
                        <c:v>77576.667458943019</c:v>
                      </c:pt>
                      <c:pt idx="7">
                        <c:v>50520.03374410377</c:v>
                      </c:pt>
                      <c:pt idx="8">
                        <c:v>30774.993181194572</c:v>
                      </c:pt>
                      <c:pt idx="9">
                        <c:v>10722.364483394025</c:v>
                      </c:pt>
                    </c:numCache>
                  </c:numRef>
                </c:val>
                <c:smooth val="0"/>
                <c:extLst xmlns:c15="http://schemas.microsoft.com/office/drawing/2012/chart">
                  <c:ext xmlns:c16="http://schemas.microsoft.com/office/drawing/2014/chart" uri="{C3380CC4-5D6E-409C-BE32-E72D297353CC}">
                    <c16:uniqueId val="{00000007-97BF-404C-AE8A-24794FA76196}"/>
                  </c:ext>
                </c:extLst>
              </c15:ser>
            </c15:filteredLineSeries>
            <c15:filteredLineSeries>
              <c15:ser>
                <c:idx val="8"/>
                <c:order val="8"/>
                <c:tx>
                  <c:strRef>
                    <c:extLst xmlns:c15="http://schemas.microsoft.com/office/drawing/2012/chart">
                      <c:ext xmlns:c15="http://schemas.microsoft.com/office/drawing/2012/chart" uri="{02D57815-91ED-43cb-92C2-25804820EDAC}">
                        <c15:formulaRef>
                          <c15:sqref>记录!$M$200:$M$201</c15:sqref>
                        </c15:formulaRef>
                      </c:ext>
                    </c:extLst>
                    <c:strCache>
                      <c:ptCount val="2"/>
                      <c:pt idx="0">
                        <c:v>激进情景-RS</c:v>
                      </c:pt>
                      <c:pt idx="1">
                        <c:v>RS0-综合</c:v>
                      </c:pt>
                    </c:strCache>
                  </c:strRef>
                </c:tx>
                <c:spPr>
                  <a:ln w="28575" cap="rnd">
                    <a:solidFill>
                      <a:schemeClr val="accent3">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记录!$D$202:$D$213</c15:sqref>
                        </c15:formulaRef>
                      </c:ext>
                    </c:extLst>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extLst xmlns:c15="http://schemas.microsoft.com/office/drawing/2012/chart">
                      <c:ext xmlns:c15="http://schemas.microsoft.com/office/drawing/2012/chart" uri="{02D57815-91ED-43cb-92C2-25804820EDAC}">
                        <c15:formulaRef>
                          <c15:sqref>记录!$M$202:$M$213</c15:sqref>
                        </c15:formulaRef>
                      </c:ext>
                    </c:extLst>
                    <c:numCache>
                      <c:formatCode>0</c:formatCode>
                      <c:ptCount val="10"/>
                      <c:pt idx="0">
                        <c:v>115320.91360664651</c:v>
                      </c:pt>
                      <c:pt idx="1">
                        <c:v>106558.24888641841</c:v>
                      </c:pt>
                      <c:pt idx="2">
                        <c:v>115946.60500182887</c:v>
                      </c:pt>
                      <c:pt idx="3">
                        <c:v>125818.69180082199</c:v>
                      </c:pt>
                      <c:pt idx="4">
                        <c:v>102133.15833703167</c:v>
                      </c:pt>
                      <c:pt idx="5">
                        <c:v>76269.285606295321</c:v>
                      </c:pt>
                      <c:pt idx="6">
                        <c:v>57446.375168390907</c:v>
                      </c:pt>
                      <c:pt idx="7">
                        <c:v>35513.708494289902</c:v>
                      </c:pt>
                      <c:pt idx="8">
                        <c:v>20302.104573381821</c:v>
                      </c:pt>
                      <c:pt idx="9">
                        <c:v>6041.7900108041258</c:v>
                      </c:pt>
                    </c:numCache>
                  </c:numRef>
                </c:val>
                <c:smooth val="0"/>
                <c:extLst xmlns:c15="http://schemas.microsoft.com/office/drawing/2012/chart">
                  <c:ext xmlns:c16="http://schemas.microsoft.com/office/drawing/2014/chart" uri="{C3380CC4-5D6E-409C-BE32-E72D297353CC}">
                    <c16:uniqueId val="{00000008-97BF-404C-AE8A-24794FA76196}"/>
                  </c:ext>
                </c:extLst>
              </c15:ser>
            </c15:filteredLineSeries>
          </c:ext>
        </c:extLst>
      </c:lineChart>
      <c:catAx>
        <c:axId val="1087384096"/>
        <c:scaling>
          <c:orientation val="minMax"/>
        </c:scaling>
        <c:delete val="0"/>
        <c:axPos val="b"/>
        <c:numFmt formatCode="0"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822967600"/>
        <c:crosses val="autoZero"/>
        <c:auto val="1"/>
        <c:lblAlgn val="ctr"/>
        <c:lblOffset val="100"/>
        <c:noMultiLvlLbl val="0"/>
      </c:catAx>
      <c:valAx>
        <c:axId val="822967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碳排放（万吨）</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087384096"/>
        <c:crosses val="autoZero"/>
        <c:crossBetween val="between"/>
      </c:valAx>
      <c:spPr>
        <a:noFill/>
        <a:ln>
          <a:noFill/>
        </a:ln>
        <a:effectLst/>
      </c:spPr>
    </c:plotArea>
    <c:legend>
      <c:legendPos val="b"/>
      <c:layout>
        <c:manualLayout>
          <c:xMode val="edge"/>
          <c:yMode val="edge"/>
          <c:x val="0"/>
          <c:y val="0.80382156825582796"/>
          <c:w val="0.99869973513123045"/>
          <c:h val="0.169920226054894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楷体" panose="02010609060101010101" pitchFamily="49"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strRef>
              <c:f>'Result-CO2'!$L$4:$L$5</c:f>
              <c:strCache>
                <c:ptCount val="2"/>
                <c:pt idx="0">
                  <c:v>铁路运输</c:v>
                </c:pt>
              </c:strCache>
            </c:strRef>
          </c:tx>
          <c:spPr>
            <a:solidFill>
              <a:schemeClr val="accent2"/>
            </a:solidFill>
            <a:ln>
              <a:noFill/>
            </a:ln>
            <a:effectLst/>
          </c:spPr>
          <c:cat>
            <c:numRef>
              <c:f>'Result-CO2'!$K$6:$K$15</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'Result-CO2'!$L$6:$L$15</c:f>
              <c:numCache>
                <c:formatCode>0</c:formatCode>
                <c:ptCount val="10"/>
                <c:pt idx="0">
                  <c:v>1052.2083014431626</c:v>
                </c:pt>
                <c:pt idx="1">
                  <c:v>976.6067007795009</c:v>
                </c:pt>
                <c:pt idx="2">
                  <c:v>1106.7562817632027</c:v>
                </c:pt>
                <c:pt idx="3">
                  <c:v>975.105080205999</c:v>
                </c:pt>
                <c:pt idx="4">
                  <c:v>765.7672271437516</c:v>
                </c:pt>
                <c:pt idx="5">
                  <c:v>525.45173855829694</c:v>
                </c:pt>
                <c:pt idx="6">
                  <c:v>402.65731559487295</c:v>
                </c:pt>
                <c:pt idx="7">
                  <c:v>267.70532443648642</c:v>
                </c:pt>
                <c:pt idx="8">
                  <c:v>138.60481714946735</c:v>
                </c:pt>
                <c:pt idx="9">
                  <c:v>0</c:v>
                </c:pt>
              </c:numCache>
            </c:numRef>
          </c:val>
          <c:extLst>
            <c:ext xmlns:c16="http://schemas.microsoft.com/office/drawing/2014/chart" uri="{C3380CC4-5D6E-409C-BE32-E72D297353CC}">
              <c16:uniqueId val="{00000000-CF02-47C0-8974-BF0F885C9AB8}"/>
            </c:ext>
          </c:extLst>
        </c:ser>
        <c:ser>
          <c:idx val="1"/>
          <c:order val="1"/>
          <c:tx>
            <c:strRef>
              <c:f>'Result-CO2'!$M$4:$M$5</c:f>
              <c:strCache>
                <c:ptCount val="2"/>
                <c:pt idx="0">
                  <c:v>公路运输</c:v>
                </c:pt>
              </c:strCache>
            </c:strRef>
          </c:tx>
          <c:spPr>
            <a:solidFill>
              <a:schemeClr val="accent4"/>
            </a:solidFill>
            <a:ln>
              <a:noFill/>
            </a:ln>
            <a:effectLst/>
          </c:spPr>
          <c:cat>
            <c:numRef>
              <c:f>'Result-CO2'!$K$6:$K$15</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'Result-CO2'!$M$6:$M$15</c:f>
              <c:numCache>
                <c:formatCode>0</c:formatCode>
                <c:ptCount val="10"/>
                <c:pt idx="0">
                  <c:v>99583.393838931981</c:v>
                </c:pt>
                <c:pt idx="1">
                  <c:v>92942.332995582314</c:v>
                </c:pt>
                <c:pt idx="2">
                  <c:v>100276.89708809034</c:v>
                </c:pt>
                <c:pt idx="3">
                  <c:v>104076.83310632015</c:v>
                </c:pt>
                <c:pt idx="4">
                  <c:v>105035.97133857192</c:v>
                </c:pt>
                <c:pt idx="5">
                  <c:v>80126.064000782048</c:v>
                </c:pt>
                <c:pt idx="6">
                  <c:v>63542.8251976303</c:v>
                </c:pt>
                <c:pt idx="7">
                  <c:v>47685.11945080357</c:v>
                </c:pt>
                <c:pt idx="8">
                  <c:v>27294.48987179414</c:v>
                </c:pt>
                <c:pt idx="9">
                  <c:v>5623.6974341745608</c:v>
                </c:pt>
              </c:numCache>
            </c:numRef>
          </c:val>
          <c:extLst>
            <c:ext xmlns:c16="http://schemas.microsoft.com/office/drawing/2014/chart" uri="{C3380CC4-5D6E-409C-BE32-E72D297353CC}">
              <c16:uniqueId val="{00000001-CF02-47C0-8974-BF0F885C9AB8}"/>
            </c:ext>
          </c:extLst>
        </c:ser>
        <c:ser>
          <c:idx val="2"/>
          <c:order val="2"/>
          <c:tx>
            <c:strRef>
              <c:f>'Result-CO2'!$N$4:$N$5</c:f>
              <c:strCache>
                <c:ptCount val="2"/>
                <c:pt idx="0">
                  <c:v>水路运输</c:v>
                </c:pt>
              </c:strCache>
            </c:strRef>
          </c:tx>
          <c:spPr>
            <a:solidFill>
              <a:schemeClr val="accent6"/>
            </a:solidFill>
            <a:ln>
              <a:noFill/>
            </a:ln>
            <a:effectLst/>
          </c:spPr>
          <c:cat>
            <c:numRef>
              <c:f>'Result-CO2'!$K$6:$K$15</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'Result-CO2'!$N$6:$N$15</c:f>
              <c:numCache>
                <c:formatCode>0</c:formatCode>
                <c:ptCount val="10"/>
                <c:pt idx="0">
                  <c:v>5703.9154243613793</c:v>
                </c:pt>
                <c:pt idx="1">
                  <c:v>5694.998119816596</c:v>
                </c:pt>
                <c:pt idx="2">
                  <c:v>6342.0036125055121</c:v>
                </c:pt>
                <c:pt idx="3">
                  <c:v>6733.9097833755141</c:v>
                </c:pt>
                <c:pt idx="4">
                  <c:v>8066.2396156115447</c:v>
                </c:pt>
                <c:pt idx="5">
                  <c:v>6963.3887060365723</c:v>
                </c:pt>
                <c:pt idx="6">
                  <c:v>6477.2682216350931</c:v>
                </c:pt>
                <c:pt idx="7">
                  <c:v>5973.3506676916759</c:v>
                </c:pt>
                <c:pt idx="8">
                  <c:v>5283.0030340883441</c:v>
                </c:pt>
                <c:pt idx="9">
                  <c:v>4591.7047913511096</c:v>
                </c:pt>
              </c:numCache>
            </c:numRef>
          </c:val>
          <c:extLst>
            <c:ext xmlns:c16="http://schemas.microsoft.com/office/drawing/2014/chart" uri="{C3380CC4-5D6E-409C-BE32-E72D297353CC}">
              <c16:uniqueId val="{00000002-CF02-47C0-8974-BF0F885C9AB8}"/>
            </c:ext>
          </c:extLst>
        </c:ser>
        <c:ser>
          <c:idx val="3"/>
          <c:order val="3"/>
          <c:tx>
            <c:strRef>
              <c:f>'Result-CO2'!$O$4:$O$5</c:f>
              <c:strCache>
                <c:ptCount val="2"/>
                <c:pt idx="0">
                  <c:v>民航运输</c:v>
                </c:pt>
              </c:strCache>
            </c:strRef>
          </c:tx>
          <c:spPr>
            <a:solidFill>
              <a:schemeClr val="accent2">
                <a:lumMod val="60000"/>
              </a:schemeClr>
            </a:solidFill>
            <a:ln>
              <a:noFill/>
            </a:ln>
            <a:effectLst/>
          </c:spPr>
          <c:cat>
            <c:numRef>
              <c:f>'Result-CO2'!$K$6:$K$15</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'Result-CO2'!$O$6:$O$15</c:f>
              <c:numCache>
                <c:formatCode>0</c:formatCode>
                <c:ptCount val="10"/>
                <c:pt idx="0">
                  <c:v>8076.3960419099994</c:v>
                </c:pt>
                <c:pt idx="1">
                  <c:v>6039.3110702399999</c:v>
                </c:pt>
                <c:pt idx="2">
                  <c:v>13090.016931304679</c:v>
                </c:pt>
                <c:pt idx="3">
                  <c:v>16468.809710349062</c:v>
                </c:pt>
                <c:pt idx="4">
                  <c:v>18209.234710570563</c:v>
                </c:pt>
                <c:pt idx="5">
                  <c:v>18377.822183208969</c:v>
                </c:pt>
                <c:pt idx="6">
                  <c:v>16225.642884183706</c:v>
                </c:pt>
                <c:pt idx="7">
                  <c:v>14186.123330536697</c:v>
                </c:pt>
                <c:pt idx="8">
                  <c:v>11132.539435759461</c:v>
                </c:pt>
                <c:pt idx="9">
                  <c:v>8183.0958776831558</c:v>
                </c:pt>
              </c:numCache>
            </c:numRef>
          </c:val>
          <c:extLst>
            <c:ext xmlns:c16="http://schemas.microsoft.com/office/drawing/2014/chart" uri="{C3380CC4-5D6E-409C-BE32-E72D297353CC}">
              <c16:uniqueId val="{00000003-CF02-47C0-8974-BF0F885C9AB8}"/>
            </c:ext>
          </c:extLst>
        </c:ser>
        <c:dLbls>
          <c:showLegendKey val="0"/>
          <c:showVal val="0"/>
          <c:showCatName val="0"/>
          <c:showSerName val="0"/>
          <c:showPercent val="0"/>
          <c:showBubbleSize val="0"/>
        </c:dLbls>
        <c:axId val="1718294367"/>
        <c:axId val="1254599823"/>
        <c:extLst/>
      </c:areaChart>
      <c:catAx>
        <c:axId val="1718294367"/>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254599823"/>
        <c:crosses val="autoZero"/>
        <c:auto val="1"/>
        <c:lblAlgn val="ctr"/>
        <c:lblOffset val="100"/>
        <c:noMultiLvlLbl val="0"/>
      </c:catAx>
      <c:valAx>
        <c:axId val="1254599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碳排放（万吨）</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718294367"/>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楷体" panose="02010609060101010101" pitchFamily="49" charset="-122"/>
              <a:ea typeface="楷体" panose="02010609060101010101" pitchFamily="49" charset="-122"/>
              <a:cs typeface="+mn-cs"/>
            </a:defRPr>
          </a:pPr>
          <a:endParaRPr lang="zh-CN"/>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strRef>
              <c:f>'Result-En'!$Q$65</c:f>
              <c:strCache>
                <c:ptCount val="1"/>
                <c:pt idx="0">
                  <c:v>汽油 </c:v>
                </c:pt>
              </c:strCache>
            </c:strRef>
          </c:tx>
          <c:spPr>
            <a:solidFill>
              <a:schemeClr val="accent1"/>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'Result-En'!$Q$66:$Q$75</c:f>
              <c:numCache>
                <c:formatCode>0</c:formatCode>
                <c:ptCount val="10"/>
                <c:pt idx="0">
                  <c:v>16019.055470299711</c:v>
                </c:pt>
                <c:pt idx="1">
                  <c:v>13881.08832058478</c:v>
                </c:pt>
                <c:pt idx="2">
                  <c:v>16118.547550248613</c:v>
                </c:pt>
                <c:pt idx="3">
                  <c:v>15368.060958508811</c:v>
                </c:pt>
                <c:pt idx="4">
                  <c:v>12123.920052827534</c:v>
                </c:pt>
                <c:pt idx="5">
                  <c:v>8508.4789266237494</c:v>
                </c:pt>
                <c:pt idx="6">
                  <c:v>5305.2988137893235</c:v>
                </c:pt>
                <c:pt idx="7">
                  <c:v>2547.6723889128566</c:v>
                </c:pt>
                <c:pt idx="8">
                  <c:v>937.46598700931406</c:v>
                </c:pt>
                <c:pt idx="9">
                  <c:v>50.392266233770556</c:v>
                </c:pt>
              </c:numCache>
            </c:numRef>
          </c:val>
          <c:extLst>
            <c:ext xmlns:c16="http://schemas.microsoft.com/office/drawing/2014/chart" uri="{C3380CC4-5D6E-409C-BE32-E72D297353CC}">
              <c16:uniqueId val="{00000000-CDA5-44C6-8BC6-2EC586ADBA2D}"/>
            </c:ext>
          </c:extLst>
        </c:ser>
        <c:ser>
          <c:idx val="1"/>
          <c:order val="1"/>
          <c:tx>
            <c:strRef>
              <c:f>'Result-En'!$R$65</c:f>
              <c:strCache>
                <c:ptCount val="1"/>
                <c:pt idx="0">
                  <c:v>柴油</c:v>
                </c:pt>
              </c:strCache>
            </c:strRef>
          </c:tx>
          <c:spPr>
            <a:solidFill>
              <a:schemeClr val="accent2"/>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'Result-En'!$R$66:$R$75</c:f>
              <c:numCache>
                <c:formatCode>0</c:formatCode>
                <c:ptCount val="10"/>
                <c:pt idx="0">
                  <c:v>23345.626540572539</c:v>
                </c:pt>
                <c:pt idx="1">
                  <c:v>22794.71865642663</c:v>
                </c:pt>
                <c:pt idx="2">
                  <c:v>24281.776080182153</c:v>
                </c:pt>
                <c:pt idx="3">
                  <c:v>25409.79546023181</c:v>
                </c:pt>
                <c:pt idx="4">
                  <c:v>25768.998280535849</c:v>
                </c:pt>
                <c:pt idx="5">
                  <c:v>21135.112978614219</c:v>
                </c:pt>
                <c:pt idx="6">
                  <c:v>18589.100804434904</c:v>
                </c:pt>
                <c:pt idx="7">
                  <c:v>15457.256591043813</c:v>
                </c:pt>
                <c:pt idx="8">
                  <c:v>8353.2910716150382</c:v>
                </c:pt>
                <c:pt idx="9">
                  <c:v>1748.2207609448365</c:v>
                </c:pt>
              </c:numCache>
            </c:numRef>
          </c:val>
          <c:extLst>
            <c:ext xmlns:c16="http://schemas.microsoft.com/office/drawing/2014/chart" uri="{C3380CC4-5D6E-409C-BE32-E72D297353CC}">
              <c16:uniqueId val="{00000001-CDA5-44C6-8BC6-2EC586ADBA2D}"/>
            </c:ext>
          </c:extLst>
        </c:ser>
        <c:ser>
          <c:idx val="2"/>
          <c:order val="2"/>
          <c:tx>
            <c:strRef>
              <c:f>'Result-En'!$S$65</c:f>
              <c:strCache>
                <c:ptCount val="1"/>
                <c:pt idx="0">
                  <c:v>天然气</c:v>
                </c:pt>
              </c:strCache>
            </c:strRef>
          </c:tx>
          <c:spPr>
            <a:solidFill>
              <a:schemeClr val="accent3"/>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'Result-En'!$S$66:$S$75</c:f>
              <c:numCache>
                <c:formatCode>0</c:formatCode>
                <c:ptCount val="10"/>
                <c:pt idx="0">
                  <c:v>563.70441722431269</c:v>
                </c:pt>
                <c:pt idx="1">
                  <c:v>876.98205650585862</c:v>
                </c:pt>
                <c:pt idx="2">
                  <c:v>979.40407948430436</c:v>
                </c:pt>
                <c:pt idx="3">
                  <c:v>539.97498071496602</c:v>
                </c:pt>
                <c:pt idx="4">
                  <c:v>0</c:v>
                </c:pt>
                <c:pt idx="5">
                  <c:v>0</c:v>
                </c:pt>
                <c:pt idx="6">
                  <c:v>0</c:v>
                </c:pt>
                <c:pt idx="7">
                  <c:v>0</c:v>
                </c:pt>
                <c:pt idx="8">
                  <c:v>0</c:v>
                </c:pt>
                <c:pt idx="9">
                  <c:v>0</c:v>
                </c:pt>
              </c:numCache>
            </c:numRef>
          </c:val>
          <c:extLst>
            <c:ext xmlns:c16="http://schemas.microsoft.com/office/drawing/2014/chart" uri="{C3380CC4-5D6E-409C-BE32-E72D297353CC}">
              <c16:uniqueId val="{00000002-CDA5-44C6-8BC6-2EC586ADBA2D}"/>
            </c:ext>
          </c:extLst>
        </c:ser>
        <c:ser>
          <c:idx val="3"/>
          <c:order val="3"/>
          <c:tx>
            <c:strRef>
              <c:f>'Result-En'!$T$65</c:f>
              <c:strCache>
                <c:ptCount val="1"/>
                <c:pt idx="0">
                  <c:v>电力</c:v>
                </c:pt>
              </c:strCache>
            </c:strRef>
          </c:tx>
          <c:spPr>
            <a:solidFill>
              <a:schemeClr val="accent4"/>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'Result-En'!$T$66:$T$75</c:f>
              <c:numCache>
                <c:formatCode>0</c:formatCode>
                <c:ptCount val="10"/>
                <c:pt idx="0">
                  <c:v>3296.8302052021513</c:v>
                </c:pt>
                <c:pt idx="1">
                  <c:v>3309.3115215877278</c:v>
                </c:pt>
                <c:pt idx="2">
                  <c:v>7384.7533395102591</c:v>
                </c:pt>
                <c:pt idx="3">
                  <c:v>14388.893826145282</c:v>
                </c:pt>
                <c:pt idx="4">
                  <c:v>21479.240230163534</c:v>
                </c:pt>
                <c:pt idx="5">
                  <c:v>31947.449538951019</c:v>
                </c:pt>
                <c:pt idx="6">
                  <c:v>35048.177637386529</c:v>
                </c:pt>
                <c:pt idx="7">
                  <c:v>36127.887883472526</c:v>
                </c:pt>
                <c:pt idx="8">
                  <c:v>41213.713689150041</c:v>
                </c:pt>
                <c:pt idx="9">
                  <c:v>44008.301888120877</c:v>
                </c:pt>
              </c:numCache>
            </c:numRef>
          </c:val>
          <c:extLst>
            <c:ext xmlns:c16="http://schemas.microsoft.com/office/drawing/2014/chart" uri="{C3380CC4-5D6E-409C-BE32-E72D297353CC}">
              <c16:uniqueId val="{00000003-CDA5-44C6-8BC6-2EC586ADBA2D}"/>
            </c:ext>
          </c:extLst>
        </c:ser>
        <c:ser>
          <c:idx val="4"/>
          <c:order val="4"/>
          <c:tx>
            <c:strRef>
              <c:f>'Result-En'!$U$65</c:f>
              <c:strCache>
                <c:ptCount val="1"/>
                <c:pt idx="0">
                  <c:v>氢能 </c:v>
                </c:pt>
              </c:strCache>
            </c:strRef>
          </c:tx>
          <c:spPr>
            <a:solidFill>
              <a:schemeClr val="accent5"/>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'Result-En'!$U$66:$U$75</c:f>
              <c:numCache>
                <c:formatCode>0</c:formatCode>
                <c:ptCount val="10"/>
                <c:pt idx="0">
                  <c:v>0</c:v>
                </c:pt>
                <c:pt idx="1">
                  <c:v>0</c:v>
                </c:pt>
                <c:pt idx="2">
                  <c:v>0</c:v>
                </c:pt>
                <c:pt idx="3">
                  <c:v>150.30563364185886</c:v>
                </c:pt>
                <c:pt idx="4">
                  <c:v>430.37580279705287</c:v>
                </c:pt>
                <c:pt idx="5">
                  <c:v>1097.4251589243065</c:v>
                </c:pt>
                <c:pt idx="6">
                  <c:v>1466.3596026478526</c:v>
                </c:pt>
                <c:pt idx="7">
                  <c:v>1760.8370718321075</c:v>
                </c:pt>
                <c:pt idx="8">
                  <c:v>2771.9028778496818</c:v>
                </c:pt>
                <c:pt idx="9">
                  <c:v>3570.9312305532935</c:v>
                </c:pt>
              </c:numCache>
            </c:numRef>
          </c:val>
          <c:extLst>
            <c:ext xmlns:c16="http://schemas.microsoft.com/office/drawing/2014/chart" uri="{C3380CC4-5D6E-409C-BE32-E72D297353CC}">
              <c16:uniqueId val="{00000004-CDA5-44C6-8BC6-2EC586ADBA2D}"/>
            </c:ext>
          </c:extLst>
        </c:ser>
        <c:ser>
          <c:idx val="5"/>
          <c:order val="5"/>
          <c:tx>
            <c:strRef>
              <c:f>'Result-En'!$V$65</c:f>
              <c:strCache>
                <c:ptCount val="1"/>
                <c:pt idx="0">
                  <c:v>航空煤油</c:v>
                </c:pt>
              </c:strCache>
            </c:strRef>
          </c:tx>
          <c:spPr>
            <a:solidFill>
              <a:schemeClr val="accent6"/>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'Result-En'!$V$66:$V$75</c:f>
              <c:numCache>
                <c:formatCode>0</c:formatCode>
                <c:ptCount val="10"/>
                <c:pt idx="0">
                  <c:v>4629.8947798399595</c:v>
                </c:pt>
                <c:pt idx="1">
                  <c:v>3832.3599974468161</c:v>
                </c:pt>
                <c:pt idx="2">
                  <c:v>6955.4775356806076</c:v>
                </c:pt>
                <c:pt idx="3">
                  <c:v>8517.6499887593563</c:v>
                </c:pt>
                <c:pt idx="4">
                  <c:v>9562.1201611155684</c:v>
                </c:pt>
                <c:pt idx="5">
                  <c:v>8965.0016362797724</c:v>
                </c:pt>
                <c:pt idx="6">
                  <c:v>8089.0731990325694</c:v>
                </c:pt>
                <c:pt idx="7">
                  <c:v>6852.8371903118414</c:v>
                </c:pt>
                <c:pt idx="8">
                  <c:v>5462.8711320278244</c:v>
                </c:pt>
                <c:pt idx="9">
                  <c:v>4122.5153999511149</c:v>
                </c:pt>
              </c:numCache>
            </c:numRef>
          </c:val>
          <c:extLst>
            <c:ext xmlns:c16="http://schemas.microsoft.com/office/drawing/2014/chart" uri="{C3380CC4-5D6E-409C-BE32-E72D297353CC}">
              <c16:uniqueId val="{00000005-CDA5-44C6-8BC6-2EC586ADBA2D}"/>
            </c:ext>
          </c:extLst>
        </c:ser>
        <c:ser>
          <c:idx val="6"/>
          <c:order val="6"/>
          <c:tx>
            <c:strRef>
              <c:f>'Result-En'!$W$65</c:f>
              <c:strCache>
                <c:ptCount val="1"/>
                <c:pt idx="0">
                  <c:v>燃料油</c:v>
                </c:pt>
              </c:strCache>
            </c:strRef>
          </c:tx>
          <c:spPr>
            <a:solidFill>
              <a:schemeClr val="accent1">
                <a:lumMod val="60000"/>
              </a:schemeClr>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'Result-En'!$W$66:$W$75</c:f>
              <c:numCache>
                <c:formatCode>0</c:formatCode>
                <c:ptCount val="10"/>
                <c:pt idx="0">
                  <c:v>1982.4754999999998</c:v>
                </c:pt>
                <c:pt idx="1">
                  <c:v>2022.7227335251202</c:v>
                </c:pt>
                <c:pt idx="2">
                  <c:v>2324.4995067529462</c:v>
                </c:pt>
                <c:pt idx="3">
                  <c:v>2482.6031571292892</c:v>
                </c:pt>
                <c:pt idx="4">
                  <c:v>2649.2282590921818</c:v>
                </c:pt>
                <c:pt idx="5">
                  <c:v>2656.3425606195119</c:v>
                </c:pt>
                <c:pt idx="6">
                  <c:v>2488.7172716675627</c:v>
                </c:pt>
                <c:pt idx="7">
                  <c:v>2318.8638268906989</c:v>
                </c:pt>
                <c:pt idx="8">
                  <c:v>2081.1441276951623</c:v>
                </c:pt>
                <c:pt idx="9">
                  <c:v>1852.0098817290395</c:v>
                </c:pt>
              </c:numCache>
            </c:numRef>
          </c:val>
          <c:extLst>
            <c:ext xmlns:c16="http://schemas.microsoft.com/office/drawing/2014/chart" uri="{C3380CC4-5D6E-409C-BE32-E72D297353CC}">
              <c16:uniqueId val="{00000006-CDA5-44C6-8BC6-2EC586ADBA2D}"/>
            </c:ext>
          </c:extLst>
        </c:ser>
        <c:ser>
          <c:idx val="7"/>
          <c:order val="7"/>
          <c:tx>
            <c:strRef>
              <c:f>'Result-En'!$X$65</c:f>
              <c:strCache>
                <c:ptCount val="1"/>
                <c:pt idx="0">
                  <c:v>生物质燃料</c:v>
                </c:pt>
              </c:strCache>
            </c:strRef>
          </c:tx>
          <c:spPr>
            <a:solidFill>
              <a:schemeClr val="accent2">
                <a:lumMod val="60000"/>
              </a:schemeClr>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'Result-En'!$X$66:$X$75</c:f>
              <c:numCache>
                <c:formatCode>0</c:formatCode>
                <c:ptCount val="10"/>
                <c:pt idx="0">
                  <c:v>0</c:v>
                </c:pt>
                <c:pt idx="1">
                  <c:v>0</c:v>
                </c:pt>
                <c:pt idx="2">
                  <c:v>141.94852113633894</c:v>
                </c:pt>
                <c:pt idx="3">
                  <c:v>448.29736782943991</c:v>
                </c:pt>
                <c:pt idx="4">
                  <c:v>1062.4577956795074</c:v>
                </c:pt>
                <c:pt idx="5">
                  <c:v>1755.1434386052551</c:v>
                </c:pt>
                <c:pt idx="6">
                  <c:v>2729.7481182843412</c:v>
                </c:pt>
                <c:pt idx="7">
                  <c:v>3545.8738659391856</c:v>
                </c:pt>
                <c:pt idx="8">
                  <c:v>3955.9290532690679</c:v>
                </c:pt>
                <c:pt idx="9">
                  <c:v>4122.5153999511149</c:v>
                </c:pt>
              </c:numCache>
            </c:numRef>
          </c:val>
          <c:extLst>
            <c:ext xmlns:c16="http://schemas.microsoft.com/office/drawing/2014/chart" uri="{C3380CC4-5D6E-409C-BE32-E72D297353CC}">
              <c16:uniqueId val="{00000007-CDA5-44C6-8BC6-2EC586ADBA2D}"/>
            </c:ext>
          </c:extLst>
        </c:ser>
        <c:ser>
          <c:idx val="8"/>
          <c:order val="8"/>
          <c:tx>
            <c:strRef>
              <c:f>'Result-En'!$Y$65</c:f>
              <c:strCache>
                <c:ptCount val="1"/>
                <c:pt idx="0">
                  <c:v>航运氢能</c:v>
                </c:pt>
              </c:strCache>
            </c:strRef>
          </c:tx>
          <c:spPr>
            <a:solidFill>
              <a:schemeClr val="accent3">
                <a:lumMod val="60000"/>
              </a:schemeClr>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'Result-En'!$Y$66:$Y$75</c:f>
              <c:numCache>
                <c:formatCode>0</c:formatCode>
                <c:ptCount val="10"/>
                <c:pt idx="0">
                  <c:v>0</c:v>
                </c:pt>
                <c:pt idx="1">
                  <c:v>0</c:v>
                </c:pt>
                <c:pt idx="2">
                  <c:v>12.225555129117732</c:v>
                </c:pt>
                <c:pt idx="3">
                  <c:v>51.834236186422366</c:v>
                </c:pt>
                <c:pt idx="4">
                  <c:v>97.784471528307577</c:v>
                </c:pt>
                <c:pt idx="5">
                  <c:v>300.52329931214325</c:v>
                </c:pt>
                <c:pt idx="6">
                  <c:v>446.39013383354063</c:v>
                </c:pt>
                <c:pt idx="7">
                  <c:v>587.1385386085957</c:v>
                </c:pt>
                <c:pt idx="8">
                  <c:v>801.29869164623233</c:v>
                </c:pt>
                <c:pt idx="9">
                  <c:v>1015.8821240322893</c:v>
                </c:pt>
              </c:numCache>
            </c:numRef>
          </c:val>
          <c:extLst>
            <c:ext xmlns:c16="http://schemas.microsoft.com/office/drawing/2014/chart" uri="{C3380CC4-5D6E-409C-BE32-E72D297353CC}">
              <c16:uniqueId val="{00000008-CDA5-44C6-8BC6-2EC586ADBA2D}"/>
            </c:ext>
          </c:extLst>
        </c:ser>
        <c:dLbls>
          <c:showLegendKey val="0"/>
          <c:showVal val="0"/>
          <c:showCatName val="0"/>
          <c:showSerName val="0"/>
          <c:showPercent val="0"/>
          <c:showBubbleSize val="0"/>
        </c:dLbls>
        <c:axId val="1725510015"/>
        <c:axId val="1775506799"/>
      </c:areaChart>
      <c:catAx>
        <c:axId val="1725510015"/>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775506799"/>
        <c:crosses val="autoZero"/>
        <c:auto val="1"/>
        <c:lblAlgn val="ctr"/>
        <c:lblOffset val="100"/>
        <c:noMultiLvlLbl val="0"/>
      </c:catAx>
      <c:valAx>
        <c:axId val="17755067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能源消耗量（万</a:t>
                </a:r>
                <a:r>
                  <a:rPr lang="en-US" altLang="zh-CN">
                    <a:solidFill>
                      <a:schemeClr val="tx1"/>
                    </a:solidFill>
                    <a:latin typeface="楷体" panose="02010609060101010101" pitchFamily="49" charset="-122"/>
                    <a:ea typeface="楷体" panose="02010609060101010101" pitchFamily="49" charset="-122"/>
                  </a:rPr>
                  <a:t>tce</a:t>
                </a:r>
                <a:r>
                  <a:rPr lang="zh-CN" altLang="en-US">
                    <a:solidFill>
                      <a:schemeClr val="tx1"/>
                    </a:solidFill>
                    <a:latin typeface="楷体" panose="02010609060101010101" pitchFamily="49" charset="-122"/>
                    <a:ea typeface="楷体" panose="02010609060101010101" pitchFamily="49" charset="-122"/>
                  </a:rPr>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725510015"/>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楷体" panose="02010609060101010101" pitchFamily="49" charset="-122"/>
              <a:ea typeface="楷体" panose="02010609060101010101" pitchFamily="49" charset="-122"/>
              <a:cs typeface="+mn-cs"/>
            </a:defRPr>
          </a:pPr>
          <a:endParaRPr lang="zh-CN"/>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记录!$E$200:$E$201</c:f>
              <c:strCache>
                <c:ptCount val="2"/>
                <c:pt idx="0">
                  <c:v>基准情景</c:v>
                </c:pt>
              </c:strCache>
            </c:strRef>
          </c:tx>
          <c:spPr>
            <a:ln w="28575" cap="rnd">
              <a:solidFill>
                <a:schemeClr val="accent1"/>
              </a:solidFill>
              <a:round/>
            </a:ln>
            <a:effectLst/>
          </c:spPr>
          <c:marker>
            <c:symbol val="none"/>
          </c:marker>
          <c:cat>
            <c:numRef>
              <c:f>记录!$D$202:$D$213</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记录!$E$202:$E$213</c:f>
              <c:numCache>
                <c:formatCode>0</c:formatCode>
                <c:ptCount val="10"/>
                <c:pt idx="0">
                  <c:v>115320.91360664651</c:v>
                </c:pt>
                <c:pt idx="1">
                  <c:v>106558.24888641841</c:v>
                </c:pt>
                <c:pt idx="2">
                  <c:v>129014.89598204283</c:v>
                </c:pt>
                <c:pt idx="3">
                  <c:v>145721.70436223858</c:v>
                </c:pt>
                <c:pt idx="4">
                  <c:v>158816.73009340209</c:v>
                </c:pt>
                <c:pt idx="5">
                  <c:v>161887.76145637562</c:v>
                </c:pt>
                <c:pt idx="6">
                  <c:v>160293.530559746</c:v>
                </c:pt>
                <c:pt idx="7">
                  <c:v>159779.96833304866</c:v>
                </c:pt>
                <c:pt idx="8">
                  <c:v>138432.35475804016</c:v>
                </c:pt>
                <c:pt idx="9">
                  <c:v>111342.57480256099</c:v>
                </c:pt>
              </c:numCache>
            </c:numRef>
          </c:val>
          <c:smooth val="0"/>
          <c:extLst>
            <c:ext xmlns:c16="http://schemas.microsoft.com/office/drawing/2014/chart" uri="{C3380CC4-5D6E-409C-BE32-E72D297353CC}">
              <c16:uniqueId val="{00000000-E748-47F4-B092-7502750FF655}"/>
            </c:ext>
          </c:extLst>
        </c:ser>
        <c:ser>
          <c:idx val="5"/>
          <c:order val="5"/>
          <c:tx>
            <c:strRef>
              <c:f>记录!$J$200:$J$201</c:f>
              <c:strCache>
                <c:ptCount val="2"/>
                <c:pt idx="0">
                  <c:v>激进情景-RS</c:v>
                </c:pt>
                <c:pt idx="1">
                  <c:v>RS1-运输结构调整</c:v>
                </c:pt>
              </c:strCache>
              <c:extLst xmlns:c15="http://schemas.microsoft.com/office/drawing/2012/chart"/>
            </c:strRef>
          </c:tx>
          <c:spPr>
            <a:ln w="28575" cap="rnd">
              <a:solidFill>
                <a:schemeClr val="accent6"/>
              </a:solidFill>
              <a:round/>
            </a:ln>
            <a:effectLst/>
          </c:spPr>
          <c:marker>
            <c:symbol val="none"/>
          </c:marker>
          <c:cat>
            <c:numRef>
              <c:f>记录!$D$202:$D$213</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记录!$J$202:$J$213</c:f>
              <c:numCache>
                <c:formatCode>0</c:formatCode>
                <c:ptCount val="10"/>
                <c:pt idx="0">
                  <c:v>115320.91360664651</c:v>
                </c:pt>
                <c:pt idx="1">
                  <c:v>106558.24888641841</c:v>
                </c:pt>
                <c:pt idx="2">
                  <c:v>125337.70263537276</c:v>
                </c:pt>
                <c:pt idx="3">
                  <c:v>138334.79886838089</c:v>
                </c:pt>
                <c:pt idx="4">
                  <c:v>147140.85389867486</c:v>
                </c:pt>
                <c:pt idx="5">
                  <c:v>145947.75677699276</c:v>
                </c:pt>
                <c:pt idx="6">
                  <c:v>145541.28631819267</c:v>
                </c:pt>
                <c:pt idx="7">
                  <c:v>142322.75237861695</c:v>
                </c:pt>
                <c:pt idx="8">
                  <c:v>121557.32504126415</c:v>
                </c:pt>
                <c:pt idx="9">
                  <c:v>95490.540258553781</c:v>
                </c:pt>
              </c:numCache>
            </c:numRef>
          </c:val>
          <c:smooth val="0"/>
          <c:extLst xmlns:c15="http://schemas.microsoft.com/office/drawing/2012/chart">
            <c:ext xmlns:c16="http://schemas.microsoft.com/office/drawing/2014/chart" uri="{C3380CC4-5D6E-409C-BE32-E72D297353CC}">
              <c16:uniqueId val="{00000001-E748-47F4-B092-7502750FF655}"/>
            </c:ext>
          </c:extLst>
        </c:ser>
        <c:ser>
          <c:idx val="6"/>
          <c:order val="6"/>
          <c:tx>
            <c:strRef>
              <c:f>记录!$K$200:$K$201</c:f>
              <c:strCache>
                <c:ptCount val="2"/>
                <c:pt idx="0">
                  <c:v>激进情景-RS</c:v>
                </c:pt>
                <c:pt idx="1">
                  <c:v>RS2-能效提升</c:v>
                </c:pt>
              </c:strCache>
              <c:extLst xmlns:c15="http://schemas.microsoft.com/office/drawing/2012/chart"/>
            </c:strRef>
          </c:tx>
          <c:spPr>
            <a:ln w="28575" cap="rnd">
              <a:solidFill>
                <a:schemeClr val="accent1">
                  <a:lumMod val="60000"/>
                </a:schemeClr>
              </a:solidFill>
              <a:round/>
            </a:ln>
            <a:effectLst/>
          </c:spPr>
          <c:marker>
            <c:symbol val="none"/>
          </c:marker>
          <c:cat>
            <c:numRef>
              <c:f>记录!$D$202:$D$213</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记录!$K$202:$K$213</c:f>
              <c:numCache>
                <c:formatCode>0</c:formatCode>
                <c:ptCount val="10"/>
                <c:pt idx="0">
                  <c:v>115320.91360664651</c:v>
                </c:pt>
                <c:pt idx="1">
                  <c:v>106558.24888641841</c:v>
                </c:pt>
                <c:pt idx="2">
                  <c:v>124501.82048672099</c:v>
                </c:pt>
                <c:pt idx="3">
                  <c:v>135864.67459106797</c:v>
                </c:pt>
                <c:pt idx="4">
                  <c:v>141302.62857912196</c:v>
                </c:pt>
                <c:pt idx="5">
                  <c:v>135392.50819767258</c:v>
                </c:pt>
                <c:pt idx="6">
                  <c:v>130574.46501854461</c:v>
                </c:pt>
                <c:pt idx="7">
                  <c:v>122409.39046106477</c:v>
                </c:pt>
                <c:pt idx="8">
                  <c:v>101925.49318848422</c:v>
                </c:pt>
                <c:pt idx="9">
                  <c:v>77377.838881326359</c:v>
                </c:pt>
              </c:numCache>
            </c:numRef>
          </c:val>
          <c:smooth val="0"/>
          <c:extLst xmlns:c15="http://schemas.microsoft.com/office/drawing/2012/chart">
            <c:ext xmlns:c16="http://schemas.microsoft.com/office/drawing/2014/chart" uri="{C3380CC4-5D6E-409C-BE32-E72D297353CC}">
              <c16:uniqueId val="{00000002-E748-47F4-B092-7502750FF655}"/>
            </c:ext>
          </c:extLst>
        </c:ser>
        <c:ser>
          <c:idx val="7"/>
          <c:order val="7"/>
          <c:tx>
            <c:strRef>
              <c:f>记录!$L$200:$L$201</c:f>
              <c:strCache>
                <c:ptCount val="2"/>
                <c:pt idx="0">
                  <c:v>激进情景-RS</c:v>
                </c:pt>
                <c:pt idx="1">
                  <c:v>RS3-新能源应用</c:v>
                </c:pt>
              </c:strCache>
              <c:extLst xmlns:c15="http://schemas.microsoft.com/office/drawing/2012/chart"/>
            </c:strRef>
          </c:tx>
          <c:spPr>
            <a:ln w="28575" cap="rnd">
              <a:solidFill>
                <a:schemeClr val="accent2">
                  <a:lumMod val="60000"/>
                </a:schemeClr>
              </a:solidFill>
              <a:round/>
            </a:ln>
            <a:effectLst/>
          </c:spPr>
          <c:marker>
            <c:symbol val="none"/>
          </c:marker>
          <c:cat>
            <c:numRef>
              <c:f>记录!$D$202:$D$213</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记录!$L$202:$L$213</c:f>
              <c:numCache>
                <c:formatCode>0</c:formatCode>
                <c:ptCount val="10"/>
                <c:pt idx="0">
                  <c:v>115320.91360664651</c:v>
                </c:pt>
                <c:pt idx="1">
                  <c:v>106558.24888641841</c:v>
                </c:pt>
                <c:pt idx="2">
                  <c:v>123498.02274453038</c:v>
                </c:pt>
                <c:pt idx="3">
                  <c:v>130680.16765952506</c:v>
                </c:pt>
                <c:pt idx="4">
                  <c:v>123637.36741366917</c:v>
                </c:pt>
                <c:pt idx="5">
                  <c:v>100317.70164004469</c:v>
                </c:pt>
                <c:pt idx="6">
                  <c:v>77576.667458943019</c:v>
                </c:pt>
                <c:pt idx="7">
                  <c:v>50520.03374410377</c:v>
                </c:pt>
                <c:pt idx="8">
                  <c:v>30774.993181194572</c:v>
                </c:pt>
                <c:pt idx="9">
                  <c:v>10722.364483394025</c:v>
                </c:pt>
              </c:numCache>
            </c:numRef>
          </c:val>
          <c:smooth val="0"/>
          <c:extLst xmlns:c15="http://schemas.microsoft.com/office/drawing/2012/chart">
            <c:ext xmlns:c16="http://schemas.microsoft.com/office/drawing/2014/chart" uri="{C3380CC4-5D6E-409C-BE32-E72D297353CC}">
              <c16:uniqueId val="{00000003-E748-47F4-B092-7502750FF655}"/>
            </c:ext>
          </c:extLst>
        </c:ser>
        <c:ser>
          <c:idx val="8"/>
          <c:order val="8"/>
          <c:tx>
            <c:strRef>
              <c:f>记录!$M$200:$M$201</c:f>
              <c:strCache>
                <c:ptCount val="2"/>
                <c:pt idx="0">
                  <c:v>激进情景-RS</c:v>
                </c:pt>
                <c:pt idx="1">
                  <c:v>RS0-综合</c:v>
                </c:pt>
              </c:strCache>
              <c:extLst xmlns:c15="http://schemas.microsoft.com/office/drawing/2012/chart"/>
            </c:strRef>
          </c:tx>
          <c:spPr>
            <a:ln w="28575" cap="rnd">
              <a:solidFill>
                <a:schemeClr val="accent3">
                  <a:lumMod val="60000"/>
                </a:schemeClr>
              </a:solidFill>
              <a:round/>
            </a:ln>
            <a:effectLst/>
          </c:spPr>
          <c:marker>
            <c:symbol val="none"/>
          </c:marker>
          <c:cat>
            <c:numRef>
              <c:f>记录!$D$202:$D$213</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记录!$M$202:$M$213</c:f>
              <c:numCache>
                <c:formatCode>0</c:formatCode>
                <c:ptCount val="10"/>
                <c:pt idx="0">
                  <c:v>115320.91360664651</c:v>
                </c:pt>
                <c:pt idx="1">
                  <c:v>106558.24888641841</c:v>
                </c:pt>
                <c:pt idx="2">
                  <c:v>115946.60500182887</c:v>
                </c:pt>
                <c:pt idx="3">
                  <c:v>125818.69180082199</c:v>
                </c:pt>
                <c:pt idx="4">
                  <c:v>102133.15833703167</c:v>
                </c:pt>
                <c:pt idx="5">
                  <c:v>76269.285606295321</c:v>
                </c:pt>
                <c:pt idx="6">
                  <c:v>57446.375168390907</c:v>
                </c:pt>
                <c:pt idx="7">
                  <c:v>35513.708494289902</c:v>
                </c:pt>
                <c:pt idx="8">
                  <c:v>20302.104573381821</c:v>
                </c:pt>
                <c:pt idx="9">
                  <c:v>6041.7900108041258</c:v>
                </c:pt>
              </c:numCache>
            </c:numRef>
          </c:val>
          <c:smooth val="0"/>
          <c:extLst xmlns:c15="http://schemas.microsoft.com/office/drawing/2012/chart">
            <c:ext xmlns:c16="http://schemas.microsoft.com/office/drawing/2014/chart" uri="{C3380CC4-5D6E-409C-BE32-E72D297353CC}">
              <c16:uniqueId val="{00000004-E748-47F4-B092-7502750FF655}"/>
            </c:ext>
          </c:extLst>
        </c:ser>
        <c:dLbls>
          <c:showLegendKey val="0"/>
          <c:showVal val="0"/>
          <c:showCatName val="0"/>
          <c:showSerName val="0"/>
          <c:showPercent val="0"/>
          <c:showBubbleSize val="0"/>
        </c:dLbls>
        <c:smooth val="0"/>
        <c:axId val="1087384096"/>
        <c:axId val="822967600"/>
        <c:extLst>
          <c:ext xmlns:c15="http://schemas.microsoft.com/office/drawing/2012/chart" uri="{02D57815-91ED-43cb-92C2-25804820EDAC}">
            <c15:filteredLineSeries>
              <c15:ser>
                <c:idx val="1"/>
                <c:order val="1"/>
                <c:tx>
                  <c:strRef>
                    <c:extLst>
                      <c:ext uri="{02D57815-91ED-43cb-92C2-25804820EDAC}">
                        <c15:formulaRef>
                          <c15:sqref>记录!$F$200:$F$201</c15:sqref>
                        </c15:formulaRef>
                      </c:ext>
                    </c:extLst>
                    <c:strCache>
                      <c:ptCount val="2"/>
                      <c:pt idx="0">
                        <c:v>双碳政策推演情景-CPD</c:v>
                      </c:pt>
                      <c:pt idx="1">
                        <c:v>CPD1-运输结构调整</c:v>
                      </c:pt>
                    </c:strCache>
                  </c:strRef>
                </c:tx>
                <c:spPr>
                  <a:ln w="28575" cap="rnd">
                    <a:solidFill>
                      <a:schemeClr val="accent2"/>
                    </a:solidFill>
                    <a:round/>
                  </a:ln>
                  <a:effectLst/>
                </c:spPr>
                <c:marker>
                  <c:symbol val="none"/>
                </c:marker>
                <c:cat>
                  <c:numRef>
                    <c:extLst>
                      <c:ext uri="{02D57815-91ED-43cb-92C2-25804820EDAC}">
                        <c15:formulaRef>
                          <c15:sqref>记录!$D$202:$D$213</c15:sqref>
                        </c15:formulaRef>
                      </c:ext>
                    </c:extLst>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extLst>
                      <c:ext uri="{02D57815-91ED-43cb-92C2-25804820EDAC}">
                        <c15:formulaRef>
                          <c15:sqref>记录!$F$202:$F$213</c15:sqref>
                        </c15:formulaRef>
                      </c:ext>
                    </c:extLst>
                    <c:numCache>
                      <c:formatCode>0</c:formatCode>
                      <c:ptCount val="10"/>
                      <c:pt idx="0">
                        <c:v>115320.91360664651</c:v>
                      </c:pt>
                      <c:pt idx="1">
                        <c:v>106558.24888641841</c:v>
                      </c:pt>
                      <c:pt idx="2">
                        <c:v>126116.61804565265</c:v>
                      </c:pt>
                      <c:pt idx="3">
                        <c:v>140060.57556190024</c:v>
                      </c:pt>
                      <c:pt idx="4">
                        <c:v>150031.55677843632</c:v>
                      </c:pt>
                      <c:pt idx="5">
                        <c:v>149635.49488396445</c:v>
                      </c:pt>
                      <c:pt idx="6">
                        <c:v>149622.93644538394</c:v>
                      </c:pt>
                      <c:pt idx="7">
                        <c:v>146750.76885214815</c:v>
                      </c:pt>
                      <c:pt idx="8">
                        <c:v>125704.80737697397</c:v>
                      </c:pt>
                      <c:pt idx="9">
                        <c:v>99228.364520068179</c:v>
                      </c:pt>
                    </c:numCache>
                  </c:numRef>
                </c:val>
                <c:smooth val="0"/>
                <c:extLst>
                  <c:ext xmlns:c16="http://schemas.microsoft.com/office/drawing/2014/chart" uri="{C3380CC4-5D6E-409C-BE32-E72D297353CC}">
                    <c16:uniqueId val="{00000005-E748-47F4-B092-7502750FF655}"/>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记录!$G$200:$G$201</c15:sqref>
                        </c15:formulaRef>
                      </c:ext>
                    </c:extLst>
                    <c:strCache>
                      <c:ptCount val="2"/>
                      <c:pt idx="0">
                        <c:v>双碳政策推演情景-CPD</c:v>
                      </c:pt>
                      <c:pt idx="1">
                        <c:v>CPD2-能效提升</c:v>
                      </c:pt>
                    </c:strCache>
                  </c:strRef>
                </c:tx>
                <c:spPr>
                  <a:ln w="28575" cap="rnd">
                    <a:solidFill>
                      <a:schemeClr val="accent3"/>
                    </a:solidFill>
                    <a:round/>
                  </a:ln>
                  <a:effectLst/>
                </c:spPr>
                <c:marker>
                  <c:symbol val="none"/>
                </c:marker>
                <c:cat>
                  <c:numRef>
                    <c:extLst xmlns:c15="http://schemas.microsoft.com/office/drawing/2012/chart">
                      <c:ext xmlns:c15="http://schemas.microsoft.com/office/drawing/2012/chart" uri="{02D57815-91ED-43cb-92C2-25804820EDAC}">
                        <c15:formulaRef>
                          <c15:sqref>记录!$D$202:$D$213</c15:sqref>
                        </c15:formulaRef>
                      </c:ext>
                    </c:extLst>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extLst xmlns:c15="http://schemas.microsoft.com/office/drawing/2012/chart">
                      <c:ext xmlns:c15="http://schemas.microsoft.com/office/drawing/2012/chart" uri="{02D57815-91ED-43cb-92C2-25804820EDAC}">
                        <c15:formulaRef>
                          <c15:sqref>记录!$G$202:$G$213</c15:sqref>
                        </c15:formulaRef>
                      </c:ext>
                    </c:extLst>
                    <c:numCache>
                      <c:formatCode>0</c:formatCode>
                      <c:ptCount val="10"/>
                      <c:pt idx="0">
                        <c:v>115320.91360664651</c:v>
                      </c:pt>
                      <c:pt idx="1">
                        <c:v>106558.24888641841</c:v>
                      </c:pt>
                      <c:pt idx="2">
                        <c:v>126421.24207672141</c:v>
                      </c:pt>
                      <c:pt idx="3">
                        <c:v>139484.13562661954</c:v>
                      </c:pt>
                      <c:pt idx="4">
                        <c:v>148327.21553897709</c:v>
                      </c:pt>
                      <c:pt idx="5">
                        <c:v>146839.87271068571</c:v>
                      </c:pt>
                      <c:pt idx="6">
                        <c:v>144122.30165441174</c:v>
                      </c:pt>
                      <c:pt idx="7">
                        <c:v>138165.21347410738</c:v>
                      </c:pt>
                      <c:pt idx="8">
                        <c:v>118342.14385634616</c:v>
                      </c:pt>
                      <c:pt idx="9">
                        <c:v>93891.195942518418</c:v>
                      </c:pt>
                    </c:numCache>
                  </c:numRef>
                </c:val>
                <c:smooth val="0"/>
                <c:extLst xmlns:c15="http://schemas.microsoft.com/office/drawing/2012/chart">
                  <c:ext xmlns:c16="http://schemas.microsoft.com/office/drawing/2014/chart" uri="{C3380CC4-5D6E-409C-BE32-E72D297353CC}">
                    <c16:uniqueId val="{00000006-E748-47F4-B092-7502750FF655}"/>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记录!$H$200:$H$201</c15:sqref>
                        </c15:formulaRef>
                      </c:ext>
                    </c:extLst>
                    <c:strCache>
                      <c:ptCount val="2"/>
                      <c:pt idx="0">
                        <c:v>双碳政策推演情景-CPD</c:v>
                      </c:pt>
                      <c:pt idx="1">
                        <c:v>CPD3-新能源应用</c:v>
                      </c:pt>
                    </c:strCache>
                  </c:strRef>
                </c:tx>
                <c:spPr>
                  <a:ln w="28575" cap="rnd">
                    <a:solidFill>
                      <a:schemeClr val="accent4"/>
                    </a:solidFill>
                    <a:round/>
                  </a:ln>
                  <a:effectLst/>
                </c:spPr>
                <c:marker>
                  <c:symbol val="none"/>
                </c:marker>
                <c:cat>
                  <c:numRef>
                    <c:extLst xmlns:c15="http://schemas.microsoft.com/office/drawing/2012/chart">
                      <c:ext xmlns:c15="http://schemas.microsoft.com/office/drawing/2012/chart" uri="{02D57815-91ED-43cb-92C2-25804820EDAC}">
                        <c15:formulaRef>
                          <c15:sqref>记录!$D$202:$D$213</c15:sqref>
                        </c15:formulaRef>
                      </c:ext>
                    </c:extLst>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extLst xmlns:c15="http://schemas.microsoft.com/office/drawing/2012/chart">
                      <c:ext xmlns:c15="http://schemas.microsoft.com/office/drawing/2012/chart" uri="{02D57815-91ED-43cb-92C2-25804820EDAC}">
                        <c15:formulaRef>
                          <c15:sqref>记录!$H$202:$H$213</c15:sqref>
                        </c15:formulaRef>
                      </c:ext>
                    </c:extLst>
                    <c:numCache>
                      <c:formatCode>0</c:formatCode>
                      <c:ptCount val="10"/>
                      <c:pt idx="0">
                        <c:v>115320.91360664651</c:v>
                      </c:pt>
                      <c:pt idx="1">
                        <c:v>106558.24888641841</c:v>
                      </c:pt>
                      <c:pt idx="2">
                        <c:v>125987.29155356872</c:v>
                      </c:pt>
                      <c:pt idx="3">
                        <c:v>136996.25278587465</c:v>
                      </c:pt>
                      <c:pt idx="4">
                        <c:v>136121.28167436505</c:v>
                      </c:pt>
                      <c:pt idx="5">
                        <c:v>124813.38649987083</c:v>
                      </c:pt>
                      <c:pt idx="6">
                        <c:v>107256.23972229418</c:v>
                      </c:pt>
                      <c:pt idx="7">
                        <c:v>85078.950063639713</c:v>
                      </c:pt>
                      <c:pt idx="8">
                        <c:v>55874.157216110762</c:v>
                      </c:pt>
                      <c:pt idx="9">
                        <c:v>24258.034006134367</c:v>
                      </c:pt>
                    </c:numCache>
                  </c:numRef>
                </c:val>
                <c:smooth val="0"/>
                <c:extLst xmlns:c15="http://schemas.microsoft.com/office/drawing/2012/chart">
                  <c:ext xmlns:c16="http://schemas.microsoft.com/office/drawing/2014/chart" uri="{C3380CC4-5D6E-409C-BE32-E72D297353CC}">
                    <c16:uniqueId val="{00000007-E748-47F4-B092-7502750FF655}"/>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记录!$I$200:$I$201</c15:sqref>
                        </c15:formulaRef>
                      </c:ext>
                    </c:extLst>
                    <c:strCache>
                      <c:ptCount val="2"/>
                      <c:pt idx="0">
                        <c:v>双碳政策推演情景-CPD</c:v>
                      </c:pt>
                      <c:pt idx="1">
                        <c:v>CPD0-综合</c:v>
                      </c:pt>
                    </c:strCache>
                  </c:strRef>
                </c:tx>
                <c:spPr>
                  <a:ln w="28575" cap="rnd">
                    <a:solidFill>
                      <a:srgbClr val="0066FF"/>
                    </a:solidFill>
                    <a:round/>
                  </a:ln>
                  <a:effectLst/>
                </c:spPr>
                <c:marker>
                  <c:symbol val="none"/>
                </c:marker>
                <c:cat>
                  <c:numRef>
                    <c:extLst xmlns:c15="http://schemas.microsoft.com/office/drawing/2012/chart">
                      <c:ext xmlns:c15="http://schemas.microsoft.com/office/drawing/2012/chart" uri="{02D57815-91ED-43cb-92C2-25804820EDAC}">
                        <c15:formulaRef>
                          <c15:sqref>记录!$D$202:$D$213</c15:sqref>
                        </c15:formulaRef>
                      </c:ext>
                    </c:extLst>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extLst xmlns:c15="http://schemas.microsoft.com/office/drawing/2012/chart">
                      <c:ext xmlns:c15="http://schemas.microsoft.com/office/drawing/2012/chart" uri="{02D57815-91ED-43cb-92C2-25804820EDAC}">
                        <c15:formulaRef>
                          <c15:sqref>记录!$I$202:$I$213</c15:sqref>
                        </c15:formulaRef>
                      </c:ext>
                    </c:extLst>
                    <c:numCache>
                      <c:formatCode>0</c:formatCode>
                      <c:ptCount val="10"/>
                      <c:pt idx="0">
                        <c:v>115320.91360664651</c:v>
                      </c:pt>
                      <c:pt idx="1">
                        <c:v>106558.24888641841</c:v>
                      </c:pt>
                      <c:pt idx="2">
                        <c:v>120815.67391366372</c:v>
                      </c:pt>
                      <c:pt idx="3">
                        <c:v>128254.657680251</c:v>
                      </c:pt>
                      <c:pt idx="4">
                        <c:v>132577.212891898</c:v>
                      </c:pt>
                      <c:pt idx="5">
                        <c:v>104992.72662858589</c:v>
                      </c:pt>
                      <c:pt idx="6">
                        <c:v>88648.393619043971</c:v>
                      </c:pt>
                      <c:pt idx="7">
                        <c:v>68212.298773468428</c:v>
                      </c:pt>
                      <c:pt idx="8">
                        <c:v>43848.637158791411</c:v>
                      </c:pt>
                      <c:pt idx="9">
                        <c:v>18398.498103208825</c:v>
                      </c:pt>
                    </c:numCache>
                  </c:numRef>
                </c:val>
                <c:smooth val="0"/>
                <c:extLst xmlns:c15="http://schemas.microsoft.com/office/drawing/2012/chart">
                  <c:ext xmlns:c16="http://schemas.microsoft.com/office/drawing/2014/chart" uri="{C3380CC4-5D6E-409C-BE32-E72D297353CC}">
                    <c16:uniqueId val="{00000008-E748-47F4-B092-7502750FF655}"/>
                  </c:ext>
                </c:extLst>
              </c15:ser>
            </c15:filteredLineSeries>
          </c:ext>
        </c:extLst>
      </c:lineChart>
      <c:catAx>
        <c:axId val="1087384096"/>
        <c:scaling>
          <c:orientation val="minMax"/>
        </c:scaling>
        <c:delete val="0"/>
        <c:axPos val="b"/>
        <c:numFmt formatCode="0"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822967600"/>
        <c:crosses val="autoZero"/>
        <c:auto val="1"/>
        <c:lblAlgn val="ctr"/>
        <c:lblOffset val="100"/>
        <c:noMultiLvlLbl val="0"/>
      </c:catAx>
      <c:valAx>
        <c:axId val="822967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碳排放（万吨）</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0873840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楷体" panose="02010609060101010101" pitchFamily="49"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strRef>
              <c:f>'Result-CO2'!$L$4:$L$5</c:f>
              <c:strCache>
                <c:ptCount val="2"/>
                <c:pt idx="0">
                  <c:v>铁路运输</c:v>
                </c:pt>
              </c:strCache>
            </c:strRef>
          </c:tx>
          <c:spPr>
            <a:solidFill>
              <a:schemeClr val="accent2"/>
            </a:solidFill>
            <a:ln>
              <a:noFill/>
            </a:ln>
            <a:effectLst/>
          </c:spPr>
          <c:cat>
            <c:numRef>
              <c:f>'Result-CO2'!$K$6:$K$15</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'Result-CO2'!$L$6:$L$15</c:f>
              <c:numCache>
                <c:formatCode>0</c:formatCode>
                <c:ptCount val="10"/>
                <c:pt idx="0">
                  <c:v>1052.2083014431626</c:v>
                </c:pt>
                <c:pt idx="1">
                  <c:v>976.6067007795009</c:v>
                </c:pt>
                <c:pt idx="2">
                  <c:v>1057.3702495106506</c:v>
                </c:pt>
                <c:pt idx="3">
                  <c:v>905.09819080711793</c:v>
                </c:pt>
                <c:pt idx="4">
                  <c:v>570.56275929614435</c:v>
                </c:pt>
                <c:pt idx="5">
                  <c:v>351.97582520816593</c:v>
                </c:pt>
                <c:pt idx="6">
                  <c:v>181.48753487296057</c:v>
                </c:pt>
                <c:pt idx="7">
                  <c:v>0</c:v>
                </c:pt>
                <c:pt idx="8">
                  <c:v>0</c:v>
                </c:pt>
                <c:pt idx="9">
                  <c:v>0</c:v>
                </c:pt>
              </c:numCache>
            </c:numRef>
          </c:val>
          <c:extLst>
            <c:ext xmlns:c16="http://schemas.microsoft.com/office/drawing/2014/chart" uri="{C3380CC4-5D6E-409C-BE32-E72D297353CC}">
              <c16:uniqueId val="{00000000-CD2D-4048-A2DC-42F5FEAE5A8E}"/>
            </c:ext>
          </c:extLst>
        </c:ser>
        <c:ser>
          <c:idx val="1"/>
          <c:order val="1"/>
          <c:tx>
            <c:strRef>
              <c:f>'Result-CO2'!$M$4:$M$5</c:f>
              <c:strCache>
                <c:ptCount val="2"/>
                <c:pt idx="0">
                  <c:v>公路运输</c:v>
                </c:pt>
              </c:strCache>
            </c:strRef>
          </c:tx>
          <c:spPr>
            <a:solidFill>
              <a:schemeClr val="accent4"/>
            </a:solidFill>
            <a:ln>
              <a:noFill/>
            </a:ln>
            <a:effectLst/>
          </c:spPr>
          <c:cat>
            <c:numRef>
              <c:f>'Result-CO2'!$K$6:$K$15</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'Result-CO2'!$M$6:$M$15</c:f>
              <c:numCache>
                <c:formatCode>0</c:formatCode>
                <c:ptCount val="10"/>
                <c:pt idx="0">
                  <c:v>99583.393838931981</c:v>
                </c:pt>
                <c:pt idx="1">
                  <c:v>92942.332995582314</c:v>
                </c:pt>
                <c:pt idx="2">
                  <c:v>96458.62465805978</c:v>
                </c:pt>
                <c:pt idx="3">
                  <c:v>101633.17300570745</c:v>
                </c:pt>
                <c:pt idx="4">
                  <c:v>79488.130673443928</c:v>
                </c:pt>
                <c:pt idx="5">
                  <c:v>56667.9668554815</c:v>
                </c:pt>
                <c:pt idx="6">
                  <c:v>39989.033594840002</c:v>
                </c:pt>
                <c:pt idx="7">
                  <c:v>20830.681182637876</c:v>
                </c:pt>
                <c:pt idx="8">
                  <c:v>9391.6766013708984</c:v>
                </c:pt>
                <c:pt idx="9">
                  <c:v>0</c:v>
                </c:pt>
              </c:numCache>
            </c:numRef>
          </c:val>
          <c:extLst>
            <c:ext xmlns:c16="http://schemas.microsoft.com/office/drawing/2014/chart" uri="{C3380CC4-5D6E-409C-BE32-E72D297353CC}">
              <c16:uniqueId val="{00000001-CD2D-4048-A2DC-42F5FEAE5A8E}"/>
            </c:ext>
          </c:extLst>
        </c:ser>
        <c:ser>
          <c:idx val="2"/>
          <c:order val="2"/>
          <c:tx>
            <c:strRef>
              <c:f>'Result-CO2'!$N$4:$N$5</c:f>
              <c:strCache>
                <c:ptCount val="2"/>
                <c:pt idx="0">
                  <c:v>水路运输</c:v>
                </c:pt>
              </c:strCache>
            </c:strRef>
          </c:tx>
          <c:spPr>
            <a:solidFill>
              <a:schemeClr val="accent6"/>
            </a:solidFill>
            <a:ln>
              <a:noFill/>
            </a:ln>
            <a:effectLst/>
          </c:spPr>
          <c:cat>
            <c:numRef>
              <c:f>'Result-CO2'!$K$6:$K$15</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'Result-CO2'!$N$6:$N$15</c:f>
              <c:numCache>
                <c:formatCode>0</c:formatCode>
                <c:ptCount val="10"/>
                <c:pt idx="0">
                  <c:v>5703.9154243613793</c:v>
                </c:pt>
                <c:pt idx="1">
                  <c:v>5694.998119816596</c:v>
                </c:pt>
                <c:pt idx="2">
                  <c:v>6288.7337236753319</c:v>
                </c:pt>
                <c:pt idx="3">
                  <c:v>7090.9395319019641</c:v>
                </c:pt>
                <c:pt idx="4">
                  <c:v>6535.6944422102797</c:v>
                </c:pt>
                <c:pt idx="5">
                  <c:v>6115.3882706196246</c:v>
                </c:pt>
                <c:pt idx="6">
                  <c:v>5520.7736313128671</c:v>
                </c:pt>
                <c:pt idx="7">
                  <c:v>4902.1092295885892</c:v>
                </c:pt>
                <c:pt idx="8">
                  <c:v>3766.5107078203914</c:v>
                </c:pt>
                <c:pt idx="9">
                  <c:v>2602.2494455523392</c:v>
                </c:pt>
              </c:numCache>
            </c:numRef>
          </c:val>
          <c:extLst>
            <c:ext xmlns:c16="http://schemas.microsoft.com/office/drawing/2014/chart" uri="{C3380CC4-5D6E-409C-BE32-E72D297353CC}">
              <c16:uniqueId val="{00000002-CD2D-4048-A2DC-42F5FEAE5A8E}"/>
            </c:ext>
          </c:extLst>
        </c:ser>
        <c:ser>
          <c:idx val="3"/>
          <c:order val="3"/>
          <c:tx>
            <c:strRef>
              <c:f>'Result-CO2'!$O$4:$O$5</c:f>
              <c:strCache>
                <c:ptCount val="2"/>
                <c:pt idx="0">
                  <c:v>民航运输</c:v>
                </c:pt>
              </c:strCache>
            </c:strRef>
          </c:tx>
          <c:spPr>
            <a:solidFill>
              <a:schemeClr val="accent2">
                <a:lumMod val="60000"/>
              </a:schemeClr>
            </a:solidFill>
            <a:ln>
              <a:noFill/>
            </a:ln>
            <a:effectLst/>
          </c:spPr>
          <c:cat>
            <c:numRef>
              <c:f>'Result-CO2'!$K$6:$K$15</c:f>
              <c:numCache>
                <c:formatCode>0</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'Result-CO2'!$O$6:$O$15</c:f>
              <c:numCache>
                <c:formatCode>0</c:formatCode>
                <c:ptCount val="10"/>
                <c:pt idx="0">
                  <c:v>8076.3960419099994</c:v>
                </c:pt>
                <c:pt idx="1">
                  <c:v>6039.3110702399999</c:v>
                </c:pt>
                <c:pt idx="2">
                  <c:v>12141.876370583092</c:v>
                </c:pt>
                <c:pt idx="3">
                  <c:v>15189.481072405259</c:v>
                </c:pt>
                <c:pt idx="4">
                  <c:v>15423.117636316885</c:v>
                </c:pt>
                <c:pt idx="5">
                  <c:v>12539.591084098029</c:v>
                </c:pt>
                <c:pt idx="6">
                  <c:v>11369.118599158484</c:v>
                </c:pt>
                <c:pt idx="7">
                  <c:v>9605.9623795353909</c:v>
                </c:pt>
                <c:pt idx="8">
                  <c:v>6627.1887744524611</c:v>
                </c:pt>
                <c:pt idx="9">
                  <c:v>4038.4236291429343</c:v>
                </c:pt>
              </c:numCache>
            </c:numRef>
          </c:val>
          <c:extLst>
            <c:ext xmlns:c16="http://schemas.microsoft.com/office/drawing/2014/chart" uri="{C3380CC4-5D6E-409C-BE32-E72D297353CC}">
              <c16:uniqueId val="{00000003-CD2D-4048-A2DC-42F5FEAE5A8E}"/>
            </c:ext>
          </c:extLst>
        </c:ser>
        <c:dLbls>
          <c:showLegendKey val="0"/>
          <c:showVal val="0"/>
          <c:showCatName val="0"/>
          <c:showSerName val="0"/>
          <c:showPercent val="0"/>
          <c:showBubbleSize val="0"/>
        </c:dLbls>
        <c:axId val="1718294367"/>
        <c:axId val="1254599823"/>
        <c:extLst/>
      </c:areaChart>
      <c:catAx>
        <c:axId val="1718294367"/>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254599823"/>
        <c:crosses val="autoZero"/>
        <c:auto val="1"/>
        <c:lblAlgn val="ctr"/>
        <c:lblOffset val="100"/>
        <c:noMultiLvlLbl val="0"/>
      </c:catAx>
      <c:valAx>
        <c:axId val="1254599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碳排放（万吨）</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718294367"/>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楷体" panose="02010609060101010101" pitchFamily="49" charset="-122"/>
              <a:ea typeface="楷体" panose="02010609060101010101" pitchFamily="49" charset="-122"/>
              <a:cs typeface="+mn-cs"/>
            </a:defRPr>
          </a:pPr>
          <a:endParaRPr lang="zh-CN"/>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strRef>
              <c:f>'Result-En'!$Q$65</c:f>
              <c:strCache>
                <c:ptCount val="1"/>
                <c:pt idx="0">
                  <c:v>汽油 </c:v>
                </c:pt>
              </c:strCache>
            </c:strRef>
          </c:tx>
          <c:spPr>
            <a:solidFill>
              <a:schemeClr val="accent1"/>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'Result-En'!$Q$66:$Q$75</c:f>
              <c:numCache>
                <c:formatCode>0</c:formatCode>
                <c:ptCount val="10"/>
                <c:pt idx="0">
                  <c:v>16019.432701017475</c:v>
                </c:pt>
                <c:pt idx="1">
                  <c:v>13861.542412155466</c:v>
                </c:pt>
                <c:pt idx="2">
                  <c:v>15890.844933620905</c:v>
                </c:pt>
                <c:pt idx="3">
                  <c:v>14779.286676317421</c:v>
                </c:pt>
                <c:pt idx="4">
                  <c:v>11065.290668151836</c:v>
                </c:pt>
                <c:pt idx="5">
                  <c:v>7354.0624555090453</c:v>
                </c:pt>
                <c:pt idx="6">
                  <c:v>3999.2704300306714</c:v>
                </c:pt>
                <c:pt idx="7">
                  <c:v>1510.4003629559604</c:v>
                </c:pt>
                <c:pt idx="8">
                  <c:v>158.76844483150109</c:v>
                </c:pt>
                <c:pt idx="9">
                  <c:v>-488.26117975225981</c:v>
                </c:pt>
              </c:numCache>
            </c:numRef>
          </c:val>
          <c:extLst>
            <c:ext xmlns:c16="http://schemas.microsoft.com/office/drawing/2014/chart" uri="{C3380CC4-5D6E-409C-BE32-E72D297353CC}">
              <c16:uniqueId val="{00000000-CFBD-42F2-B9E9-AC03B6526ABB}"/>
            </c:ext>
          </c:extLst>
        </c:ser>
        <c:ser>
          <c:idx val="1"/>
          <c:order val="1"/>
          <c:tx>
            <c:strRef>
              <c:f>'Result-En'!$R$65</c:f>
              <c:strCache>
                <c:ptCount val="1"/>
                <c:pt idx="0">
                  <c:v>柴油</c:v>
                </c:pt>
              </c:strCache>
            </c:strRef>
          </c:tx>
          <c:spPr>
            <a:solidFill>
              <a:schemeClr val="accent2"/>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'Result-En'!$R$66:$R$75</c:f>
              <c:numCache>
                <c:formatCode>0</c:formatCode>
                <c:ptCount val="10"/>
                <c:pt idx="0">
                  <c:v>23345.626540572539</c:v>
                </c:pt>
                <c:pt idx="1">
                  <c:v>22706.756492618435</c:v>
                </c:pt>
                <c:pt idx="2">
                  <c:v>24112.218339589632</c:v>
                </c:pt>
                <c:pt idx="3">
                  <c:v>24437.585688382074</c:v>
                </c:pt>
                <c:pt idx="4">
                  <c:v>23670.439689014853</c:v>
                </c:pt>
                <c:pt idx="5">
                  <c:v>18144.086561630837</c:v>
                </c:pt>
                <c:pt idx="6">
                  <c:v>13769.328770877784</c:v>
                </c:pt>
                <c:pt idx="7">
                  <c:v>9311.9741242088057</c:v>
                </c:pt>
                <c:pt idx="8">
                  <c:v>4170.0894134916343</c:v>
                </c:pt>
                <c:pt idx="9">
                  <c:v>168.75895593302366</c:v>
                </c:pt>
              </c:numCache>
            </c:numRef>
          </c:val>
          <c:extLst>
            <c:ext xmlns:c16="http://schemas.microsoft.com/office/drawing/2014/chart" uri="{C3380CC4-5D6E-409C-BE32-E72D297353CC}">
              <c16:uniqueId val="{00000001-CFBD-42F2-B9E9-AC03B6526ABB}"/>
            </c:ext>
          </c:extLst>
        </c:ser>
        <c:ser>
          <c:idx val="2"/>
          <c:order val="2"/>
          <c:tx>
            <c:strRef>
              <c:f>'Result-En'!$S$65</c:f>
              <c:strCache>
                <c:ptCount val="1"/>
                <c:pt idx="0">
                  <c:v>天然气</c:v>
                </c:pt>
              </c:strCache>
            </c:strRef>
          </c:tx>
          <c:spPr>
            <a:solidFill>
              <a:schemeClr val="accent3"/>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'Result-En'!$S$66:$S$75</c:f>
              <c:numCache>
                <c:formatCode>0</c:formatCode>
                <c:ptCount val="10"/>
                <c:pt idx="0">
                  <c:v>563.70441722431269</c:v>
                </c:pt>
                <c:pt idx="1">
                  <c:v>873.53429579546184</c:v>
                </c:pt>
                <c:pt idx="2">
                  <c:v>973.59265409653176</c:v>
                </c:pt>
                <c:pt idx="3">
                  <c:v>552.63336001568814</c:v>
                </c:pt>
                <c:pt idx="4">
                  <c:v>0</c:v>
                </c:pt>
                <c:pt idx="5">
                  <c:v>0</c:v>
                </c:pt>
                <c:pt idx="6">
                  <c:v>0</c:v>
                </c:pt>
                <c:pt idx="7">
                  <c:v>0</c:v>
                </c:pt>
                <c:pt idx="8">
                  <c:v>0</c:v>
                </c:pt>
                <c:pt idx="9">
                  <c:v>0</c:v>
                </c:pt>
              </c:numCache>
            </c:numRef>
          </c:val>
          <c:extLst>
            <c:ext xmlns:c16="http://schemas.microsoft.com/office/drawing/2014/chart" uri="{C3380CC4-5D6E-409C-BE32-E72D297353CC}">
              <c16:uniqueId val="{00000002-CFBD-42F2-B9E9-AC03B6526ABB}"/>
            </c:ext>
          </c:extLst>
        </c:ser>
        <c:ser>
          <c:idx val="3"/>
          <c:order val="3"/>
          <c:tx>
            <c:strRef>
              <c:f>'Result-En'!$T$65</c:f>
              <c:strCache>
                <c:ptCount val="1"/>
                <c:pt idx="0">
                  <c:v>电力</c:v>
                </c:pt>
              </c:strCache>
            </c:strRef>
          </c:tx>
          <c:spPr>
            <a:solidFill>
              <a:schemeClr val="accent4"/>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'Result-En'!$T$66:$T$75</c:f>
              <c:numCache>
                <c:formatCode>0</c:formatCode>
                <c:ptCount val="10"/>
                <c:pt idx="0">
                  <c:v>3296.8302052021513</c:v>
                </c:pt>
                <c:pt idx="1">
                  <c:v>3308.9319455353038</c:v>
                </c:pt>
                <c:pt idx="2">
                  <c:v>7855.5791797727143</c:v>
                </c:pt>
                <c:pt idx="3">
                  <c:v>19121.665766801118</c:v>
                </c:pt>
                <c:pt idx="4">
                  <c:v>28263.601026552555</c:v>
                </c:pt>
                <c:pt idx="5">
                  <c:v>40914.284675394229</c:v>
                </c:pt>
                <c:pt idx="6">
                  <c:v>41927.818367323074</c:v>
                </c:pt>
                <c:pt idx="7">
                  <c:v>40319.75494324079</c:v>
                </c:pt>
                <c:pt idx="8">
                  <c:v>40350.236828556197</c:v>
                </c:pt>
                <c:pt idx="9">
                  <c:v>39091.605918359259</c:v>
                </c:pt>
              </c:numCache>
            </c:numRef>
          </c:val>
          <c:extLst>
            <c:ext xmlns:c16="http://schemas.microsoft.com/office/drawing/2014/chart" uri="{C3380CC4-5D6E-409C-BE32-E72D297353CC}">
              <c16:uniqueId val="{00000003-CFBD-42F2-B9E9-AC03B6526ABB}"/>
            </c:ext>
          </c:extLst>
        </c:ser>
        <c:ser>
          <c:idx val="4"/>
          <c:order val="4"/>
          <c:tx>
            <c:strRef>
              <c:f>'Result-En'!$U$65</c:f>
              <c:strCache>
                <c:ptCount val="1"/>
                <c:pt idx="0">
                  <c:v>氢能 </c:v>
                </c:pt>
              </c:strCache>
            </c:strRef>
          </c:tx>
          <c:spPr>
            <a:solidFill>
              <a:schemeClr val="accent5"/>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'Result-En'!$U$66:$U$75</c:f>
              <c:numCache>
                <c:formatCode>0</c:formatCode>
                <c:ptCount val="10"/>
                <c:pt idx="0">
                  <c:v>0</c:v>
                </c:pt>
                <c:pt idx="1">
                  <c:v>0</c:v>
                </c:pt>
                <c:pt idx="2">
                  <c:v>0</c:v>
                </c:pt>
                <c:pt idx="3">
                  <c:v>307.71602067692567</c:v>
                </c:pt>
                <c:pt idx="4">
                  <c:v>865.44266124153444</c:v>
                </c:pt>
                <c:pt idx="5">
                  <c:v>1833.4209195406681</c:v>
                </c:pt>
                <c:pt idx="6">
                  <c:v>2174.6558568876535</c:v>
                </c:pt>
                <c:pt idx="7">
                  <c:v>2304.0173209131954</c:v>
                </c:pt>
                <c:pt idx="8">
                  <c:v>2674.8689989117956</c:v>
                </c:pt>
                <c:pt idx="9">
                  <c:v>2874.4764281743564</c:v>
                </c:pt>
              </c:numCache>
            </c:numRef>
          </c:val>
          <c:extLst>
            <c:ext xmlns:c16="http://schemas.microsoft.com/office/drawing/2014/chart" uri="{C3380CC4-5D6E-409C-BE32-E72D297353CC}">
              <c16:uniqueId val="{00000004-CFBD-42F2-B9E9-AC03B6526ABB}"/>
            </c:ext>
          </c:extLst>
        </c:ser>
        <c:ser>
          <c:idx val="5"/>
          <c:order val="5"/>
          <c:tx>
            <c:strRef>
              <c:f>'Result-En'!$V$65</c:f>
              <c:strCache>
                <c:ptCount val="1"/>
                <c:pt idx="0">
                  <c:v>航空煤油</c:v>
                </c:pt>
              </c:strCache>
            </c:strRef>
          </c:tx>
          <c:spPr>
            <a:solidFill>
              <a:schemeClr val="accent6"/>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'Result-En'!$V$66:$V$75</c:f>
              <c:numCache>
                <c:formatCode>0</c:formatCode>
                <c:ptCount val="10"/>
                <c:pt idx="0">
                  <c:v>4629.8947798399595</c:v>
                </c:pt>
                <c:pt idx="1">
                  <c:v>3832.3599974468161</c:v>
                </c:pt>
                <c:pt idx="2">
                  <c:v>6602.7911014030296</c:v>
                </c:pt>
                <c:pt idx="3">
                  <c:v>7941.3779272478459</c:v>
                </c:pt>
                <c:pt idx="4">
                  <c:v>8420.4172762058242</c:v>
                </c:pt>
                <c:pt idx="5">
                  <c:v>7162.7281613896976</c:v>
                </c:pt>
                <c:pt idx="6">
                  <c:v>6133.6838437690567</c:v>
                </c:pt>
                <c:pt idx="7">
                  <c:v>4899.0442950264787</c:v>
                </c:pt>
                <c:pt idx="8">
                  <c:v>3586.8924178655179</c:v>
                </c:pt>
                <c:pt idx="9">
                  <c:v>2441.018230961728</c:v>
                </c:pt>
              </c:numCache>
            </c:numRef>
          </c:val>
          <c:extLst>
            <c:ext xmlns:c16="http://schemas.microsoft.com/office/drawing/2014/chart" uri="{C3380CC4-5D6E-409C-BE32-E72D297353CC}">
              <c16:uniqueId val="{00000005-CFBD-42F2-B9E9-AC03B6526ABB}"/>
            </c:ext>
          </c:extLst>
        </c:ser>
        <c:ser>
          <c:idx val="6"/>
          <c:order val="6"/>
          <c:tx>
            <c:strRef>
              <c:f>'Result-En'!$W$65</c:f>
              <c:strCache>
                <c:ptCount val="1"/>
                <c:pt idx="0">
                  <c:v>燃料油</c:v>
                </c:pt>
              </c:strCache>
            </c:strRef>
          </c:tx>
          <c:spPr>
            <a:solidFill>
              <a:schemeClr val="accent1">
                <a:lumMod val="60000"/>
              </a:schemeClr>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'Result-En'!$W$66:$W$75</c:f>
              <c:numCache>
                <c:formatCode>0</c:formatCode>
                <c:ptCount val="10"/>
                <c:pt idx="0">
                  <c:v>1982.4754999999998</c:v>
                </c:pt>
                <c:pt idx="1">
                  <c:v>2022.7227335251202</c:v>
                </c:pt>
                <c:pt idx="2">
                  <c:v>2344.6900040110991</c:v>
                </c:pt>
                <c:pt idx="3">
                  <c:v>2480.6386915114099</c:v>
                </c:pt>
                <c:pt idx="4">
                  <c:v>2533.6528534347121</c:v>
                </c:pt>
                <c:pt idx="5">
                  <c:v>2444.4384416959197</c:v>
                </c:pt>
                <c:pt idx="6">
                  <c:v>2202.7078133624973</c:v>
                </c:pt>
                <c:pt idx="7">
                  <c:v>1960.8209594897478</c:v>
                </c:pt>
                <c:pt idx="8">
                  <c:v>1498.6536184251115</c:v>
                </c:pt>
                <c:pt idx="9">
                  <c:v>1043.5401597210903</c:v>
                </c:pt>
              </c:numCache>
            </c:numRef>
          </c:val>
          <c:extLst>
            <c:ext xmlns:c16="http://schemas.microsoft.com/office/drawing/2014/chart" uri="{C3380CC4-5D6E-409C-BE32-E72D297353CC}">
              <c16:uniqueId val="{00000006-CFBD-42F2-B9E9-AC03B6526ABB}"/>
            </c:ext>
          </c:extLst>
        </c:ser>
        <c:ser>
          <c:idx val="7"/>
          <c:order val="7"/>
          <c:tx>
            <c:strRef>
              <c:f>'Result-En'!$X$65</c:f>
              <c:strCache>
                <c:ptCount val="1"/>
                <c:pt idx="0">
                  <c:v>生物质燃料</c:v>
                </c:pt>
              </c:strCache>
            </c:strRef>
          </c:tx>
          <c:spPr>
            <a:solidFill>
              <a:schemeClr val="accent2">
                <a:lumMod val="60000"/>
              </a:schemeClr>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'Result-En'!$X$66:$X$75</c:f>
              <c:numCache>
                <c:formatCode>0</c:formatCode>
                <c:ptCount val="10"/>
                <c:pt idx="0">
                  <c:v>0</c:v>
                </c:pt>
                <c:pt idx="1">
                  <c:v>0</c:v>
                </c:pt>
                <c:pt idx="2">
                  <c:v>292.90235843136617</c:v>
                </c:pt>
                <c:pt idx="3">
                  <c:v>778.13347056056955</c:v>
                </c:pt>
                <c:pt idx="4">
                  <c:v>1656.3855152520719</c:v>
                </c:pt>
                <c:pt idx="5">
                  <c:v>2717.8317053688625</c:v>
                </c:pt>
                <c:pt idx="6">
                  <c:v>3554.2112497161943</c:v>
                </c:pt>
                <c:pt idx="7">
                  <c:v>4117.6562977922031</c:v>
                </c:pt>
                <c:pt idx="8">
                  <c:v>4386.39317290292</c:v>
                </c:pt>
                <c:pt idx="9">
                  <c:v>4347.5761383746103</c:v>
                </c:pt>
              </c:numCache>
            </c:numRef>
          </c:val>
          <c:extLst>
            <c:ext xmlns:c16="http://schemas.microsoft.com/office/drawing/2014/chart" uri="{C3380CC4-5D6E-409C-BE32-E72D297353CC}">
              <c16:uniqueId val="{00000007-CFBD-42F2-B9E9-AC03B6526ABB}"/>
            </c:ext>
          </c:extLst>
        </c:ser>
        <c:ser>
          <c:idx val="8"/>
          <c:order val="8"/>
          <c:tx>
            <c:strRef>
              <c:f>'Result-En'!$Y$65</c:f>
              <c:strCache>
                <c:ptCount val="1"/>
                <c:pt idx="0">
                  <c:v>航运氢能</c:v>
                </c:pt>
              </c:strCache>
            </c:strRef>
          </c:tx>
          <c:spPr>
            <a:solidFill>
              <a:schemeClr val="accent3">
                <a:lumMod val="60000"/>
              </a:schemeClr>
            </a:solidFill>
            <a:ln>
              <a:noFill/>
            </a:ln>
            <a:effectLst/>
          </c:spPr>
          <c:cat>
            <c:numRef>
              <c:f>'Result-En'!$P$66:$P$75</c:f>
              <c:numCache>
                <c:formatCode>General</c:formatCode>
                <c:ptCount val="10"/>
                <c:pt idx="0">
                  <c:v>2019</c:v>
                </c:pt>
                <c:pt idx="1">
                  <c:v>2020</c:v>
                </c:pt>
                <c:pt idx="2">
                  <c:v>2025</c:v>
                </c:pt>
                <c:pt idx="3">
                  <c:v>2030</c:v>
                </c:pt>
                <c:pt idx="4">
                  <c:v>2035</c:v>
                </c:pt>
                <c:pt idx="5">
                  <c:v>2040</c:v>
                </c:pt>
                <c:pt idx="6">
                  <c:v>2045</c:v>
                </c:pt>
                <c:pt idx="7">
                  <c:v>2050</c:v>
                </c:pt>
                <c:pt idx="8">
                  <c:v>2055</c:v>
                </c:pt>
                <c:pt idx="9">
                  <c:v>2060</c:v>
                </c:pt>
              </c:numCache>
            </c:numRef>
          </c:cat>
          <c:val>
            <c:numRef>
              <c:f>'Result-En'!$Y$66:$Y$75</c:f>
              <c:numCache>
                <c:formatCode>0</c:formatCode>
                <c:ptCount val="10"/>
                <c:pt idx="0">
                  <c:v>0</c:v>
                </c:pt>
                <c:pt idx="1">
                  <c:v>0</c:v>
                </c:pt>
                <c:pt idx="2">
                  <c:v>48.93995330907596</c:v>
                </c:pt>
                <c:pt idx="3">
                  <c:v>104.51682084523353</c:v>
                </c:pt>
                <c:pt idx="4">
                  <c:v>287.31154880475265</c:v>
                </c:pt>
                <c:pt idx="5">
                  <c:v>622.65182473331242</c:v>
                </c:pt>
                <c:pt idx="6">
                  <c:v>848.7451235495995</c:v>
                </c:pt>
                <c:pt idx="7">
                  <c:v>1068.5087013742418</c:v>
                </c:pt>
                <c:pt idx="8">
                  <c:v>1512.4674981031965</c:v>
                </c:pt>
                <c:pt idx="9">
                  <c:v>1957.6000190197342</c:v>
                </c:pt>
              </c:numCache>
            </c:numRef>
          </c:val>
          <c:extLst>
            <c:ext xmlns:c16="http://schemas.microsoft.com/office/drawing/2014/chart" uri="{C3380CC4-5D6E-409C-BE32-E72D297353CC}">
              <c16:uniqueId val="{00000008-CFBD-42F2-B9E9-AC03B6526ABB}"/>
            </c:ext>
          </c:extLst>
        </c:ser>
        <c:dLbls>
          <c:showLegendKey val="0"/>
          <c:showVal val="0"/>
          <c:showCatName val="0"/>
          <c:showSerName val="0"/>
          <c:showPercent val="0"/>
          <c:showBubbleSize val="0"/>
        </c:dLbls>
        <c:axId val="1725510015"/>
        <c:axId val="1775506799"/>
      </c:areaChart>
      <c:catAx>
        <c:axId val="1725510015"/>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775506799"/>
        <c:crosses val="autoZero"/>
        <c:auto val="1"/>
        <c:lblAlgn val="ctr"/>
        <c:lblOffset val="100"/>
        <c:noMultiLvlLbl val="0"/>
      </c:catAx>
      <c:valAx>
        <c:axId val="17755067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solidFill>
                      <a:schemeClr val="tx1"/>
                    </a:solidFill>
                    <a:latin typeface="楷体" panose="02010609060101010101" pitchFamily="49" charset="-122"/>
                    <a:ea typeface="楷体" panose="02010609060101010101" pitchFamily="49" charset="-122"/>
                  </a:rPr>
                  <a:t>能源消耗量（万</a:t>
                </a:r>
                <a:r>
                  <a:rPr lang="en-US" altLang="zh-CN">
                    <a:solidFill>
                      <a:schemeClr val="tx1"/>
                    </a:solidFill>
                    <a:latin typeface="楷体" panose="02010609060101010101" pitchFamily="49" charset="-122"/>
                    <a:ea typeface="楷体" panose="02010609060101010101" pitchFamily="49" charset="-122"/>
                  </a:rPr>
                  <a:t>tce</a:t>
                </a:r>
                <a:r>
                  <a:rPr lang="zh-CN" altLang="en-US">
                    <a:solidFill>
                      <a:schemeClr val="tx1"/>
                    </a:solidFill>
                    <a:latin typeface="楷体" panose="02010609060101010101" pitchFamily="49" charset="-122"/>
                    <a:ea typeface="楷体" panose="02010609060101010101" pitchFamily="49" charset="-122"/>
                  </a:rPr>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zh-CN"/>
          </a:p>
        </c:txPr>
        <c:crossAx val="1725510015"/>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楷体" panose="02010609060101010101" pitchFamily="49" charset="-122"/>
              <a:ea typeface="楷体" panose="02010609060101010101" pitchFamily="49" charset="-122"/>
              <a:cs typeface="+mn-cs"/>
            </a:defRPr>
          </a:pPr>
          <a:endParaRPr lang="zh-CN"/>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'解构-双碳'!$D$17:$D$21</cx:f>
        <cx:lvl ptCount="5">
          <cx:pt idx="0">2035年基准情景</cx:pt>
          <cx:pt idx="1">运输结构优化减排</cx:pt>
          <cx:pt idx="2">能效提升</cx:pt>
          <cx:pt idx="3">新能源应用</cx:pt>
          <cx:pt idx="4">2035年双碳政策推演情景</cx:pt>
        </cx:lvl>
      </cx:strDim>
      <cx:numDim type="val">
        <cx:f>'解构-双碳'!$E$17:$E$21</cx:f>
        <cx:lvl ptCount="5" formatCode="0.00">
          <cx:pt idx="0">15.88167300934021</cx:pt>
          <cx:pt idx="1">-0.54924459794951608</cx:pt>
          <cx:pt idx="2">-0.65579915131739197</cx:pt>
          <cx:pt idx="3">-1.4189079708835024</cx:pt>
          <cx:pt idx="4">13.257721289189799</cx:pt>
        </cx:lvl>
      </cx:numDim>
    </cx:data>
    <cx:data id="1">
      <cx:strDim type="cat">
        <cx:f>'C:\我的资料\交通运输部\项目\院基本业务费\碳达峰与碳中和情景下中国交通减排成本分析研究\9月沙龙\[成本核算.xlsx]综述'!$D$92:$D$97</cx:f>
        <cx:lvl ptCount="6">
          <cx:pt idx="0">2020年碳排放</cx:pt>
          <cx:pt idx="1">周转量上升</cx:pt>
          <cx:pt idx="2">能效提升</cx:pt>
          <cx:pt idx="3">新能源应用</cx:pt>
          <cx:pt idx="4">运输结构优化减排</cx:pt>
          <cx:pt idx="5">2060年碳排放</cx:pt>
        </cx:lvl>
      </cx:strDim>
      <cx:numDim type="val">
        <cx:f>'解构-双碳'!$F$17:$F$21</cx:f>
        <cx:lvl ptCount="5" formatCode="G/通用格式">
          <cx:pt idx="1">15.88167300934021</cx:pt>
          <cx:pt idx="2">15.332428411390694</cx:pt>
          <cx:pt idx="3">14.676629260073302</cx:pt>
        </cx:lvl>
      </cx:numDim>
    </cx:data>
  </cx:chartData>
  <cx:chart>
    <cx:plotArea>
      <cx:plotAreaRegion>
        <cx:series layoutId="waterfall" uniqueId="{73EF6F0C-D598-4E36-9DA3-C3D910578EFD}" formatIdx="0">
          <cx:tx>
            <cx:txData>
              <cx:f>'解构-双碳'!$E$16</cx:f>
              <cx:v>碳排放</cx:v>
            </cx:txData>
          </cx:tx>
          <cx:dataPt idx="0">
            <cx:spPr>
              <a:solidFill>
                <a:srgbClr val="ED7D31"/>
              </a:solidFill>
            </cx:spPr>
          </cx:dataPt>
          <cx:dataPt idx="1">
            <cx:spPr>
              <a:pattFill prst="wdDnDiag">
                <a:fgClr>
                  <a:srgbClr val="ED7D31"/>
                </a:fgClr>
                <a:bgClr>
                  <a:sysClr val="window" lastClr="FFFFFF"/>
                </a:bgClr>
              </a:pattFill>
              <a:ln>
                <a:solidFill>
                  <a:srgbClr val="ED7D31">
                    <a:lumMod val="75000"/>
                  </a:srgbClr>
                </a:solidFill>
              </a:ln>
            </cx:spPr>
          </cx:dataPt>
          <cx:dataPt idx="2">
            <cx:spPr>
              <a:pattFill prst="wdDnDiag">
                <a:fgClr>
                  <a:srgbClr val="ED7D31"/>
                </a:fgClr>
                <a:bgClr>
                  <a:sysClr val="window" lastClr="FFFFFF"/>
                </a:bgClr>
              </a:pattFill>
              <a:ln>
                <a:solidFill>
                  <a:srgbClr val="ED7D31">
                    <a:lumMod val="75000"/>
                  </a:srgbClr>
                </a:solidFill>
              </a:ln>
            </cx:spPr>
          </cx:dataPt>
          <cx:dataPt idx="3">
            <cx:spPr>
              <a:pattFill prst="wdDnDiag">
                <a:fgClr>
                  <a:srgbClr val="ED7D31"/>
                </a:fgClr>
                <a:bgClr>
                  <a:sysClr val="window" lastClr="FFFFFF"/>
                </a:bgClr>
              </a:pattFill>
              <a:ln>
                <a:solidFill>
                  <a:srgbClr val="ED7D31">
                    <a:lumMod val="75000"/>
                  </a:srgbClr>
                </a:solidFill>
              </a:ln>
            </cx:spPr>
          </cx:dataPt>
          <cx:dataPt idx="4">
            <cx:spPr>
              <a:solidFill>
                <a:srgbClr val="ED7D31"/>
              </a:solidFill>
            </cx:spPr>
          </cx:dataPt>
          <cx:dataLabels>
            <cx:txPr>
              <a:bodyPr spcFirstLastPara="1" vertOverflow="ellipsis" horzOverflow="overflow" wrap="square" lIns="0" tIns="0" rIns="0" bIns="0" anchor="ctr" anchorCtr="1"/>
              <a:lstStyle/>
              <a:p>
                <a:pPr algn="ctr" rtl="0">
                  <a:defRPr>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zh-CN" altLang="en-US" sz="900" b="0" i="0" u="none" strike="noStrike" baseline="0">
                  <a:solidFill>
                    <a:schemeClr val="tx1"/>
                  </a:solidFill>
                  <a:latin typeface="Times New Roman" panose="02020603050405020304" pitchFamily="18" charset="0"/>
                  <a:ea typeface="等线" panose="02010600030101010101" pitchFamily="2" charset="-122"/>
                  <a:cs typeface="Times New Roman" panose="02020603050405020304" pitchFamily="18" charset="0"/>
                </a:endParaRPr>
              </a:p>
            </cx:txPr>
          </cx:dataLabels>
          <cx:dataId val="0"/>
          <cx:layoutPr>
            <cx:subtotals>
              <cx:idx val="4"/>
            </cx:subtotals>
          </cx:layoutPr>
        </cx:series>
        <cx:series layoutId="waterfall" hidden="1" uniqueId="{62F8857B-DEBE-4455-AEDE-714B5A5F7160}" formatIdx="1">
          <cx:tx>
            <cx:txData>
              <cx:f>'解构-双碳'!$F$16</cx:f>
              <cx:v>辅助列</cx:v>
            </cx:txData>
          </cx:tx>
          <cx:dataId val="1"/>
          <cx:layoutPr>
            <cx:subtotals/>
          </cx:layoutPr>
        </cx:series>
      </cx:plotAreaRegion>
      <cx:axis id="0">
        <cx:catScaling gapWidth="0.5"/>
        <cx:tickLabels/>
        <cx:spPr>
          <a:ln>
            <a:solidFill>
              <a:schemeClr val="tx1"/>
            </a:solidFill>
          </a:ln>
        </cx:spPr>
        <cx:txPr>
          <a:bodyPr spcFirstLastPara="1" vertOverflow="ellipsis" horzOverflow="overflow" wrap="square" lIns="0" tIns="0" rIns="0" bIns="0" anchor="ctr" anchorCtr="1"/>
          <a:lstStyle/>
          <a:p>
            <a:pPr algn="ctr" rtl="0">
              <a:defRPr sz="900">
                <a:solidFill>
                  <a:schemeClr val="tx1"/>
                </a:solidFill>
                <a:latin typeface="华文楷体" panose="02010600040101010101" pitchFamily="2" charset="-122"/>
                <a:ea typeface="华文楷体" panose="02010600040101010101" pitchFamily="2" charset="-122"/>
                <a:cs typeface="华文楷体" panose="02010600040101010101" pitchFamily="2" charset="-122"/>
              </a:defRPr>
            </a:pPr>
            <a:endParaRPr lang="zh-CN" altLang="en-US" sz="900" b="0" i="0" u="none" strike="noStrike" baseline="0">
              <a:solidFill>
                <a:schemeClr val="tx1"/>
              </a:solidFill>
              <a:latin typeface="华文楷体" panose="02010600040101010101" pitchFamily="2" charset="-122"/>
              <a:ea typeface="华文楷体" panose="02010600040101010101" pitchFamily="2" charset="-122"/>
            </a:endParaRPr>
          </a:p>
        </cx:txPr>
      </cx:axis>
      <cx:axis id="1">
        <cx:valScaling min="10"/>
        <cx:title>
          <cx:tx>
            <cx:txData>
              <cx:v>交通碳排放（亿吨）</cx:v>
            </cx:txData>
          </cx:tx>
          <cx:txPr>
            <a:bodyPr spcFirstLastPara="1" vertOverflow="ellipsis" horzOverflow="overflow" wrap="square" lIns="0" tIns="0" rIns="0" bIns="0" anchor="ctr" anchorCtr="1"/>
            <a:lstStyle/>
            <a:p>
              <a:pPr algn="ctr" rtl="0">
                <a:defRPr/>
              </a:pPr>
              <a:r>
                <a:rPr lang="zh-CN" altLang="en-US" sz="1000" b="0" i="0" u="none" strike="noStrike" baseline="0">
                  <a:solidFill>
                    <a:schemeClr val="tx1"/>
                  </a:solidFill>
                  <a:latin typeface="华文楷体" panose="02010600040101010101" pitchFamily="2" charset="-122"/>
                  <a:ea typeface="华文楷体" panose="02010600040101010101" pitchFamily="2" charset="-122"/>
                </a:rPr>
                <a:t>交通碳排放（亿吨）</a:t>
              </a:r>
            </a:p>
          </cx:txPr>
        </cx:title>
        <cx:majorGridlines/>
        <cx:tickLabels/>
        <cx:numFmt formatCode="#,##0_);[红色](#,##0)" sourceLinked="0"/>
        <cx:spPr>
          <a:ln>
            <a:solidFill>
              <a:schemeClr val="tx1"/>
            </a:solidFill>
          </a:ln>
        </cx:spPr>
        <cx:txPr>
          <a:bodyPr spcFirstLastPara="1" vertOverflow="ellipsis" horzOverflow="overflow" wrap="square" lIns="0" tIns="0" rIns="0" bIns="0" anchor="ctr" anchorCtr="1"/>
          <a:lstStyle/>
          <a:p>
            <a:pPr algn="ctr" rtl="0">
              <a:defRPr>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zh-CN" altLang="en-US" sz="900" b="0" i="0" u="none" strike="noStrike" baseline="0">
              <a:solidFill>
                <a:schemeClr val="tx1"/>
              </a:solidFill>
              <a:latin typeface="Times New Roman" panose="02020603050405020304" pitchFamily="18" charset="0"/>
              <a:ea typeface="等线" panose="02010600030101010101" pitchFamily="2" charset="-122"/>
              <a:cs typeface="Times New Roman" panose="02020603050405020304" pitchFamily="18" charset="0"/>
            </a:endParaRPr>
          </a:p>
        </cx:txPr>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'解构-双碳'!$D$41:$D$45</cx:f>
        <cx:lvl ptCount="5">
          <cx:pt idx="0">2060年基准情景</cx:pt>
          <cx:pt idx="1">运输结构优化减排</cx:pt>
          <cx:pt idx="2">能效提升</cx:pt>
          <cx:pt idx="3">新能源应用</cx:pt>
          <cx:pt idx="4">2060年双碳政策推演情景</cx:pt>
        </cx:lvl>
      </cx:strDim>
      <cx:numDim type="val">
        <cx:f>'解构-双碳'!$E$41:$E$45</cx:f>
        <cx:lvl ptCount="5" formatCode="0.00">
          <cx:pt idx="0">11.1342574802561</cx:pt>
          <cx:pt idx="1">-0.9652317491950082</cx:pt>
          <cx:pt idx="2">-1.3904847736783272</cx:pt>
          <cx:pt idx="3">-6.9386911470618822</cx:pt>
          <cx:pt idx="4">1.8398498103208825</cx:pt>
        </cx:lvl>
      </cx:numDim>
    </cx:data>
    <cx:data id="1">
      <cx:strDim type="cat">
        <cx:f>'C:\我的资料\交通运输部\项目\院基本业务费\碳达峰与碳中和情景下中国交通减排成本分析研究\9月沙龙\[成本核算.xlsx]综述'!$D$92:$D$97</cx:f>
        <cx:lvl ptCount="6">
          <cx:pt idx="0">2020年碳排放</cx:pt>
          <cx:pt idx="1">周转量上升</cx:pt>
          <cx:pt idx="2">能效提升</cx:pt>
          <cx:pt idx="3">新能源应用</cx:pt>
          <cx:pt idx="4">运输结构优化减排</cx:pt>
          <cx:pt idx="5">2060年碳排放</cx:pt>
        </cx:lvl>
      </cx:strDim>
      <cx:numDim type="val">
        <cx:f>'解构-双碳'!$F$41:$F$45</cx:f>
        <cx:lvl ptCount="5" formatCode="G/通用格式">
          <cx:pt idx="1">11.1342574802561</cx:pt>
          <cx:pt idx="2">10.169025731061092</cx:pt>
          <cx:pt idx="3">8.7785409573827646</cx:pt>
        </cx:lvl>
      </cx:numDim>
    </cx:data>
  </cx:chartData>
  <cx:chart>
    <cx:plotArea>
      <cx:plotAreaRegion>
        <cx:series layoutId="waterfall" uniqueId="{73EF6F0C-D598-4E36-9DA3-C3D910578EFD}" formatIdx="0">
          <cx:tx>
            <cx:txData>
              <cx:f>'解构-双碳'!$E$16</cx:f>
              <cx:v>碳排放</cx:v>
            </cx:txData>
          </cx:tx>
          <cx:dataPt idx="0">
            <cx:spPr>
              <a:solidFill>
                <a:srgbClr val="ED7D31"/>
              </a:solidFill>
            </cx:spPr>
          </cx:dataPt>
          <cx:dataPt idx="1">
            <cx:spPr>
              <a:pattFill prst="wdDnDiag">
                <a:fgClr>
                  <a:srgbClr val="ED7D31"/>
                </a:fgClr>
                <a:bgClr>
                  <a:sysClr val="window" lastClr="FFFFFF"/>
                </a:bgClr>
              </a:pattFill>
              <a:ln>
                <a:solidFill>
                  <a:srgbClr val="ED7D31">
                    <a:lumMod val="75000"/>
                  </a:srgbClr>
                </a:solidFill>
              </a:ln>
            </cx:spPr>
          </cx:dataPt>
          <cx:dataPt idx="2">
            <cx:spPr>
              <a:pattFill prst="wdDnDiag">
                <a:fgClr>
                  <a:srgbClr val="ED7D31"/>
                </a:fgClr>
                <a:bgClr>
                  <a:sysClr val="window" lastClr="FFFFFF"/>
                </a:bgClr>
              </a:pattFill>
              <a:ln>
                <a:solidFill>
                  <a:srgbClr val="ED7D31">
                    <a:lumMod val="75000"/>
                  </a:srgbClr>
                </a:solidFill>
              </a:ln>
            </cx:spPr>
          </cx:dataPt>
          <cx:dataPt idx="3">
            <cx:spPr>
              <a:pattFill prst="wdDnDiag">
                <a:fgClr>
                  <a:srgbClr val="ED7D31"/>
                </a:fgClr>
                <a:bgClr>
                  <a:sysClr val="window" lastClr="FFFFFF"/>
                </a:bgClr>
              </a:pattFill>
              <a:ln>
                <a:solidFill>
                  <a:srgbClr val="ED7D31">
                    <a:lumMod val="75000"/>
                  </a:srgbClr>
                </a:solidFill>
              </a:ln>
            </cx:spPr>
          </cx:dataPt>
          <cx:dataPt idx="4">
            <cx:spPr>
              <a:solidFill>
                <a:srgbClr val="ED7D31"/>
              </a:solidFill>
            </cx:spPr>
          </cx:dataPt>
          <cx:dataLabels>
            <cx:txPr>
              <a:bodyPr spcFirstLastPara="1" vertOverflow="ellipsis" horzOverflow="overflow" wrap="square" lIns="0" tIns="0" rIns="0" bIns="0" anchor="ctr" anchorCtr="1"/>
              <a:lstStyle/>
              <a:p>
                <a:pPr algn="ctr" rtl="0">
                  <a:defRPr>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zh-CN" altLang="en-US" sz="900" b="0" i="0" u="none" strike="noStrike" baseline="0">
                  <a:solidFill>
                    <a:schemeClr val="tx1"/>
                  </a:solidFill>
                  <a:latin typeface="Times New Roman" panose="02020603050405020304" pitchFamily="18" charset="0"/>
                  <a:ea typeface="等线" panose="02010600030101010101" pitchFamily="2" charset="-122"/>
                  <a:cs typeface="Times New Roman" panose="02020603050405020304" pitchFamily="18" charset="0"/>
                </a:endParaRPr>
              </a:p>
            </cx:txPr>
          </cx:dataLabels>
          <cx:dataId val="0"/>
          <cx:layoutPr>
            <cx:subtotals>
              <cx:idx val="4"/>
            </cx:subtotals>
          </cx:layoutPr>
        </cx:series>
        <cx:series layoutId="waterfall" hidden="1" uniqueId="{62F8857B-DEBE-4455-AEDE-714B5A5F7160}" formatIdx="1">
          <cx:tx>
            <cx:txData>
              <cx:f>'解构-双碳'!$F$16</cx:f>
              <cx:v>辅助列</cx:v>
            </cx:txData>
          </cx:tx>
          <cx:dataId val="1"/>
          <cx:layoutPr>
            <cx:subtotals/>
          </cx:layoutPr>
        </cx:series>
      </cx:plotAreaRegion>
      <cx:axis id="0">
        <cx:catScaling gapWidth="0.5"/>
        <cx:tickLabels/>
        <cx:spPr>
          <a:ln>
            <a:solidFill>
              <a:schemeClr val="tx1"/>
            </a:solidFill>
          </a:ln>
        </cx:spPr>
        <cx:txPr>
          <a:bodyPr spcFirstLastPara="1" vertOverflow="ellipsis" horzOverflow="overflow" wrap="square" lIns="0" tIns="0" rIns="0" bIns="0" anchor="ctr" anchorCtr="1"/>
          <a:lstStyle/>
          <a:p>
            <a:pPr algn="ctr" rtl="0">
              <a:defRPr>
                <a:solidFill>
                  <a:schemeClr val="tx1"/>
                </a:solidFill>
                <a:latin typeface="华文楷体" panose="02010600040101010101" pitchFamily="2" charset="-122"/>
                <a:ea typeface="华文楷体" panose="02010600040101010101" pitchFamily="2" charset="-122"/>
                <a:cs typeface="华文楷体" panose="02010600040101010101" pitchFamily="2" charset="-122"/>
              </a:defRPr>
            </a:pPr>
            <a:endParaRPr lang="zh-CN" altLang="en-US" sz="900" b="0" i="0" u="none" strike="noStrike" baseline="0">
              <a:solidFill>
                <a:schemeClr val="tx1"/>
              </a:solidFill>
              <a:latin typeface="华文楷体" panose="02010600040101010101" pitchFamily="2" charset="-122"/>
              <a:ea typeface="华文楷体" panose="02010600040101010101" pitchFamily="2" charset="-122"/>
            </a:endParaRPr>
          </a:p>
        </cx:txPr>
      </cx:axis>
      <cx:axis id="1">
        <cx:valScaling/>
        <cx:title>
          <cx:tx>
            <cx:txData>
              <cx:v>交通碳排放（亿吨）</cx:v>
            </cx:txData>
          </cx:tx>
          <cx:txPr>
            <a:bodyPr spcFirstLastPara="1" vertOverflow="ellipsis" horzOverflow="overflow" wrap="square" lIns="0" tIns="0" rIns="0" bIns="0" anchor="ctr" anchorCtr="1"/>
            <a:lstStyle/>
            <a:p>
              <a:pPr algn="ctr" rtl="0">
                <a:defRPr/>
              </a:pPr>
              <a:r>
                <a:rPr lang="zh-CN" altLang="en-US" sz="1000" b="0" i="0" u="none" strike="noStrike" baseline="0">
                  <a:solidFill>
                    <a:schemeClr val="tx1"/>
                  </a:solidFill>
                  <a:latin typeface="华文楷体" panose="02010600040101010101" pitchFamily="2" charset="-122"/>
                  <a:ea typeface="华文楷体" panose="02010600040101010101" pitchFamily="2" charset="-122"/>
                </a:rPr>
                <a:t>交通碳排放（亿吨）</a:t>
              </a:r>
            </a:p>
          </cx:txPr>
        </cx:title>
        <cx:majorGridlines/>
        <cx:tickLabels/>
        <cx:numFmt formatCode="#,##0_);[红色](#,##0)" sourceLinked="0"/>
        <cx:spPr>
          <a:ln>
            <a:solidFill>
              <a:schemeClr val="tx1"/>
            </a:solidFill>
          </a:ln>
        </cx:spPr>
        <cx:txPr>
          <a:bodyPr spcFirstLastPara="1" vertOverflow="ellipsis" horzOverflow="overflow" wrap="square" lIns="0" tIns="0" rIns="0" bIns="0" anchor="ctr" anchorCtr="1"/>
          <a:lstStyle/>
          <a:p>
            <a:pPr algn="ctr" rtl="0">
              <a:defRPr>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zh-CN" altLang="en-US" sz="900" b="0" i="0" u="none" strike="noStrike" baseline="0">
              <a:solidFill>
                <a:schemeClr val="tx1"/>
              </a:solidFill>
              <a:latin typeface="Times New Roman" panose="02020603050405020304" pitchFamily="18" charset="0"/>
              <a:ea typeface="等线" panose="02010600030101010101" pitchFamily="2" charset="-122"/>
              <a:cs typeface="Times New Roman" panose="02020603050405020304" pitchFamily="18" charset="0"/>
            </a:endParaRPr>
          </a:p>
        </cx:txPr>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'解构-激进'!$D$17:$D$21</cx:f>
        <cx:lvl ptCount="5">
          <cx:pt idx="0">2030年基准情景</cx:pt>
          <cx:pt idx="1">运输结构优化减排</cx:pt>
          <cx:pt idx="2">能效提升</cx:pt>
          <cx:pt idx="3">新能源应用</cx:pt>
          <cx:pt idx="4">2030年双碳政策推演情景</cx:pt>
        </cx:lvl>
      </cx:strDim>
      <cx:numDim type="val">
        <cx:f>'解构-激进'!$E$17:$E$21</cx:f>
        <cx:lvl ptCount="5" formatCode="0.00">
          <cx:pt idx="0">14.5721704362239</cx:pt>
          <cx:pt idx="1">-0.45538028058301216</cx:pt>
          <cx:pt idx="2">-0.60765593747518842</cx:pt>
          <cx:pt idx="3">-0.9272650380834998</cx:pt>
          <cx:pt idx="4">12.581869180082199</cx:pt>
        </cx:lvl>
      </cx:numDim>
    </cx:data>
    <cx:data id="1">
      <cx:strDim type="cat">
        <cx:f>'C:\我的资料\交通运输部\项目\院基本业务费\碳达峰与碳中和情景下中国交通减排成本分析研究\9月沙龙\[成本核算.xlsx]综述'!$D$92:$D$97</cx:f>
        <cx:lvl ptCount="6">
          <cx:pt idx="0">2020年碳排放</cx:pt>
          <cx:pt idx="1">周转量上升</cx:pt>
          <cx:pt idx="2">能效提升</cx:pt>
          <cx:pt idx="3">新能源应用</cx:pt>
          <cx:pt idx="4">运输结构优化减排</cx:pt>
          <cx:pt idx="5">2060年碳排放</cx:pt>
        </cx:lvl>
      </cx:strDim>
      <cx:numDim type="val">
        <cx:f>'解构-激进'!$F$17:$F$21</cx:f>
        <cx:lvl ptCount="5" formatCode="G/通用格式">
          <cx:pt idx="1">14.5721704362239</cx:pt>
          <cx:pt idx="2">14.116790155640887</cx:pt>
          <cx:pt idx="3">13.509134218165698</cx:pt>
        </cx:lvl>
      </cx:numDim>
    </cx:data>
  </cx:chartData>
  <cx:chart>
    <cx:plotArea>
      <cx:plotAreaRegion>
        <cx:series layoutId="waterfall" uniqueId="{73EF6F0C-D598-4E36-9DA3-C3D910578EFD}" formatIdx="0">
          <cx:tx>
            <cx:txData>
              <cx:f>'解构-激进'!$E$16</cx:f>
              <cx:v>碳排放</cx:v>
            </cx:txData>
          </cx:tx>
          <cx:dataPt idx="0">
            <cx:spPr>
              <a:solidFill>
                <a:srgbClr val="ED7D31"/>
              </a:solidFill>
            </cx:spPr>
          </cx:dataPt>
          <cx:dataPt idx="1">
            <cx:spPr>
              <a:pattFill prst="wdDnDiag">
                <a:fgClr>
                  <a:srgbClr val="ED7D31"/>
                </a:fgClr>
                <a:bgClr>
                  <a:sysClr val="window" lastClr="FFFFFF"/>
                </a:bgClr>
              </a:pattFill>
              <a:ln>
                <a:solidFill>
                  <a:srgbClr val="ED7D31">
                    <a:lumMod val="75000"/>
                  </a:srgbClr>
                </a:solidFill>
              </a:ln>
            </cx:spPr>
          </cx:dataPt>
          <cx:dataPt idx="2">
            <cx:spPr>
              <a:pattFill prst="wdDnDiag">
                <a:fgClr>
                  <a:srgbClr val="ED7D31"/>
                </a:fgClr>
                <a:bgClr>
                  <a:sysClr val="window" lastClr="FFFFFF"/>
                </a:bgClr>
              </a:pattFill>
              <a:ln>
                <a:solidFill>
                  <a:srgbClr val="ED7D31">
                    <a:lumMod val="75000"/>
                  </a:srgbClr>
                </a:solidFill>
              </a:ln>
            </cx:spPr>
          </cx:dataPt>
          <cx:dataPt idx="3">
            <cx:spPr>
              <a:pattFill prst="wdDnDiag">
                <a:fgClr>
                  <a:srgbClr val="ED7D31"/>
                </a:fgClr>
                <a:bgClr>
                  <a:sysClr val="window" lastClr="FFFFFF"/>
                </a:bgClr>
              </a:pattFill>
              <a:ln>
                <a:solidFill>
                  <a:srgbClr val="ED7D31">
                    <a:lumMod val="75000"/>
                  </a:srgbClr>
                </a:solidFill>
              </a:ln>
            </cx:spPr>
          </cx:dataPt>
          <cx:dataPt idx="4">
            <cx:spPr>
              <a:solidFill>
                <a:srgbClr val="ED7D31"/>
              </a:solidFill>
            </cx:spPr>
          </cx:dataPt>
          <cx:dataLabels>
            <cx:txPr>
              <a:bodyPr spcFirstLastPara="1" vertOverflow="ellipsis" horzOverflow="overflow" wrap="square" lIns="0" tIns="0" rIns="0" bIns="0" anchor="ctr" anchorCtr="1"/>
              <a:lstStyle/>
              <a:p>
                <a:pPr algn="ctr" rtl="0">
                  <a:defRPr>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zh-CN" altLang="en-US" sz="900" b="0" i="0" u="none" strike="noStrike" baseline="0">
                  <a:solidFill>
                    <a:schemeClr val="tx1"/>
                  </a:solidFill>
                  <a:latin typeface="Times New Roman" panose="02020603050405020304" pitchFamily="18" charset="0"/>
                  <a:ea typeface="等线" panose="02010600030101010101" pitchFamily="2" charset="-122"/>
                  <a:cs typeface="Times New Roman" panose="02020603050405020304" pitchFamily="18" charset="0"/>
                </a:endParaRPr>
              </a:p>
            </cx:txPr>
          </cx:dataLabels>
          <cx:dataId val="0"/>
          <cx:layoutPr>
            <cx:subtotals>
              <cx:idx val="4"/>
            </cx:subtotals>
          </cx:layoutPr>
        </cx:series>
        <cx:series layoutId="waterfall" hidden="1" uniqueId="{62F8857B-DEBE-4455-AEDE-714B5A5F7160}" formatIdx="1">
          <cx:tx>
            <cx:txData>
              <cx:f>'解构-激进'!$F$16</cx:f>
              <cx:v>辅助列</cx:v>
            </cx:txData>
          </cx:tx>
          <cx:dataId val="1"/>
          <cx:layoutPr>
            <cx:subtotals/>
          </cx:layoutPr>
        </cx:series>
      </cx:plotAreaRegion>
      <cx:axis id="0">
        <cx:catScaling gapWidth="0.5"/>
        <cx:tickLabels/>
        <cx:spPr>
          <a:ln>
            <a:solidFill>
              <a:schemeClr val="tx1"/>
            </a:solidFill>
          </a:ln>
        </cx:spPr>
        <cx:txPr>
          <a:bodyPr spcFirstLastPara="1" vertOverflow="ellipsis" horzOverflow="overflow" wrap="square" lIns="0" tIns="0" rIns="0" bIns="0" anchor="ctr" anchorCtr="1"/>
          <a:lstStyle/>
          <a:p>
            <a:pPr algn="ctr" rtl="0">
              <a:defRPr>
                <a:solidFill>
                  <a:schemeClr val="tx1"/>
                </a:solidFill>
                <a:latin typeface="华文楷体" panose="02010600040101010101" pitchFamily="2" charset="-122"/>
                <a:ea typeface="华文楷体" panose="02010600040101010101" pitchFamily="2" charset="-122"/>
                <a:cs typeface="华文楷体" panose="02010600040101010101" pitchFamily="2" charset="-122"/>
              </a:defRPr>
            </a:pPr>
            <a:endParaRPr lang="zh-CN" altLang="en-US" sz="900" b="0" i="0" u="none" strike="noStrike" baseline="0">
              <a:solidFill>
                <a:schemeClr val="tx1"/>
              </a:solidFill>
              <a:latin typeface="华文楷体" panose="02010600040101010101" pitchFamily="2" charset="-122"/>
              <a:ea typeface="华文楷体" panose="02010600040101010101" pitchFamily="2" charset="-122"/>
            </a:endParaRPr>
          </a:p>
        </cx:txPr>
      </cx:axis>
      <cx:axis id="1">
        <cx:valScaling min="10"/>
        <cx:title>
          <cx:tx>
            <cx:txData>
              <cx:v>交通碳排放（亿吨）</cx:v>
            </cx:txData>
          </cx:tx>
          <cx:txPr>
            <a:bodyPr spcFirstLastPara="1" vertOverflow="ellipsis" horzOverflow="overflow" wrap="square" lIns="0" tIns="0" rIns="0" bIns="0" anchor="ctr" anchorCtr="1"/>
            <a:lstStyle/>
            <a:p>
              <a:pPr algn="ctr" rtl="0">
                <a:defRPr/>
              </a:pPr>
              <a:r>
                <a:rPr lang="zh-CN" altLang="en-US" sz="1000" b="0" i="0" u="none" strike="noStrike" baseline="0">
                  <a:solidFill>
                    <a:schemeClr val="tx1"/>
                  </a:solidFill>
                  <a:latin typeface="华文楷体" panose="02010600040101010101" pitchFamily="2" charset="-122"/>
                  <a:ea typeface="华文楷体" panose="02010600040101010101" pitchFamily="2" charset="-122"/>
                </a:rPr>
                <a:t>交通碳排放（亿吨）</a:t>
              </a:r>
            </a:p>
          </cx:txPr>
        </cx:title>
        <cx:majorGridlines/>
        <cx:tickLabels/>
        <cx:numFmt formatCode="#,##0_);[红色](#,##0)" sourceLinked="0"/>
        <cx:spPr>
          <a:ln>
            <a:solidFill>
              <a:schemeClr val="tx1"/>
            </a:solidFill>
          </a:ln>
        </cx:spPr>
        <cx:txPr>
          <a:bodyPr spcFirstLastPara="1" vertOverflow="ellipsis" horzOverflow="overflow" wrap="square" lIns="0" tIns="0" rIns="0" bIns="0" anchor="ctr" anchorCtr="1"/>
          <a:lstStyle/>
          <a:p>
            <a:pPr algn="ctr" rtl="0">
              <a:defRPr>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zh-CN" altLang="en-US" sz="900" b="0" i="0" u="none" strike="noStrike" baseline="0">
              <a:solidFill>
                <a:schemeClr val="tx1"/>
              </a:solidFill>
              <a:latin typeface="Times New Roman" panose="02020603050405020304" pitchFamily="18" charset="0"/>
              <a:ea typeface="等线" panose="02010600030101010101" pitchFamily="2" charset="-122"/>
              <a:cs typeface="Times New Roman" panose="02020603050405020304" pitchFamily="18" charset="0"/>
            </a:endParaRPr>
          </a:p>
        </cx:txPr>
      </cx:axis>
    </cx:plotArea>
  </cx:chart>
</cx:chartSpace>
</file>

<file path=word/charts/chartEx4.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'解构-激进'!$D$41:$D$45</cx:f>
        <cx:lvl ptCount="5">
          <cx:pt idx="0">2060年基准情景</cx:pt>
          <cx:pt idx="1">运输结构优化减排</cx:pt>
          <cx:pt idx="2">能效提升</cx:pt>
          <cx:pt idx="3">新能源应用</cx:pt>
          <cx:pt idx="4">2060年双碳政策推演情景</cx:pt>
        </cx:lvl>
      </cx:strDim>
      <cx:numDim type="val">
        <cx:f>'解构-激进'!$E$41:$E$45</cx:f>
        <cx:lvl ptCount="5" formatCode="0.00">
          <cx:pt idx="0">11.1342574802561</cx:pt>
          <cx:pt idx="1">-1.1032662638198913</cx:pt>
          <cx:pt idx="2">-2.3638698993130798</cx:pt>
          <cx:pt idx="3">-7.0029423160427164</cx:pt>
          <cx:pt idx="4">0.66417900108041306</cx:pt>
        </cx:lvl>
      </cx:numDim>
    </cx:data>
    <cx:data id="1">
      <cx:strDim type="cat">
        <cx:f>'C:\我的资料\交通运输部\项目\院基本业务费\碳达峰与碳中和情景下中国交通减排成本分析研究\9月沙龙\[成本核算.xlsx]综述'!$D$92:$D$97</cx:f>
        <cx:lvl ptCount="6">
          <cx:pt idx="0">2020年碳排放</cx:pt>
          <cx:pt idx="1">周转量上升</cx:pt>
          <cx:pt idx="2">能效提升</cx:pt>
          <cx:pt idx="3">新能源应用</cx:pt>
          <cx:pt idx="4">运输结构优化减排</cx:pt>
          <cx:pt idx="5">2060年碳排放</cx:pt>
        </cx:lvl>
      </cx:strDim>
      <cx:numDim type="val">
        <cx:f>'解构-激进'!$F$41:$F$45</cx:f>
        <cx:lvl ptCount="5" formatCode="G/通用格式">
          <cx:pt idx="1">11.1342574802561</cx:pt>
          <cx:pt idx="2">10.030991216436208</cx:pt>
          <cx:pt idx="3">7.6671213171231276</cx:pt>
        </cx:lvl>
      </cx:numDim>
    </cx:data>
  </cx:chartData>
  <cx:chart>
    <cx:plotArea>
      <cx:plotAreaRegion>
        <cx:series layoutId="waterfall" uniqueId="{73EF6F0C-D598-4E36-9DA3-C3D910578EFD}" formatIdx="0">
          <cx:tx>
            <cx:txData>
              <cx:f>'解构-激进'!$E$40</cx:f>
              <cx:v>碳排放</cx:v>
            </cx:txData>
          </cx:tx>
          <cx:dataPt idx="0">
            <cx:spPr>
              <a:solidFill>
                <a:srgbClr val="ED7D31"/>
              </a:solidFill>
            </cx:spPr>
          </cx:dataPt>
          <cx:dataPt idx="1">
            <cx:spPr>
              <a:pattFill prst="wdDnDiag">
                <a:fgClr>
                  <a:srgbClr val="ED7D31"/>
                </a:fgClr>
                <a:bgClr>
                  <a:sysClr val="window" lastClr="FFFFFF"/>
                </a:bgClr>
              </a:pattFill>
              <a:ln>
                <a:solidFill>
                  <a:srgbClr val="ED7D31">
                    <a:lumMod val="75000"/>
                  </a:srgbClr>
                </a:solidFill>
              </a:ln>
            </cx:spPr>
          </cx:dataPt>
          <cx:dataPt idx="2">
            <cx:spPr>
              <a:pattFill prst="wdDnDiag">
                <a:fgClr>
                  <a:srgbClr val="ED7D31"/>
                </a:fgClr>
                <a:bgClr>
                  <a:sysClr val="window" lastClr="FFFFFF"/>
                </a:bgClr>
              </a:pattFill>
              <a:ln>
                <a:solidFill>
                  <a:srgbClr val="ED7D31">
                    <a:lumMod val="75000"/>
                  </a:srgbClr>
                </a:solidFill>
              </a:ln>
            </cx:spPr>
          </cx:dataPt>
          <cx:dataPt idx="3">
            <cx:spPr>
              <a:pattFill prst="wdDnDiag">
                <a:fgClr>
                  <a:srgbClr val="ED7D31"/>
                </a:fgClr>
                <a:bgClr>
                  <a:sysClr val="window" lastClr="FFFFFF"/>
                </a:bgClr>
              </a:pattFill>
              <a:ln>
                <a:solidFill>
                  <a:srgbClr val="ED7D31">
                    <a:lumMod val="75000"/>
                  </a:srgbClr>
                </a:solidFill>
              </a:ln>
            </cx:spPr>
          </cx:dataPt>
          <cx:dataPt idx="4">
            <cx:spPr>
              <a:solidFill>
                <a:srgbClr val="ED7D31"/>
              </a:solidFill>
            </cx:spPr>
          </cx:dataPt>
          <cx:dataLabels>
            <cx:txPr>
              <a:bodyPr spcFirstLastPara="1" vertOverflow="ellipsis" horzOverflow="overflow" wrap="square" lIns="0" tIns="0" rIns="0" bIns="0" anchor="ctr" anchorCtr="1"/>
              <a:lstStyle/>
              <a:p>
                <a:pPr algn="ctr" rtl="0">
                  <a:defRPr>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zh-CN" altLang="en-US" sz="900" b="0" i="0" u="none" strike="noStrike" baseline="0">
                  <a:solidFill>
                    <a:schemeClr val="tx1"/>
                  </a:solidFill>
                  <a:latin typeface="Times New Roman" panose="02020603050405020304" pitchFamily="18" charset="0"/>
                  <a:ea typeface="等线" panose="02010600030101010101" pitchFamily="2" charset="-122"/>
                  <a:cs typeface="Times New Roman" panose="02020603050405020304" pitchFamily="18" charset="0"/>
                </a:endParaRPr>
              </a:p>
            </cx:txPr>
          </cx:dataLabels>
          <cx:dataId val="0"/>
          <cx:layoutPr>
            <cx:subtotals>
              <cx:idx val="4"/>
            </cx:subtotals>
          </cx:layoutPr>
        </cx:series>
        <cx:series layoutId="waterfall" hidden="1" uniqueId="{62F8857B-DEBE-4455-AEDE-714B5A5F7160}" formatIdx="1">
          <cx:tx>
            <cx:txData>
              <cx:f>'解构-激进'!$F$40</cx:f>
              <cx:v>辅助列</cx:v>
            </cx:txData>
          </cx:tx>
          <cx:dataId val="1"/>
          <cx:layoutPr>
            <cx:subtotals/>
          </cx:layoutPr>
        </cx:series>
      </cx:plotAreaRegion>
      <cx:axis id="0">
        <cx:catScaling gapWidth="0.5"/>
        <cx:tickLabels/>
        <cx:spPr>
          <a:ln>
            <a:solidFill>
              <a:schemeClr val="tx1"/>
            </a:solidFill>
          </a:ln>
        </cx:spPr>
        <cx:txPr>
          <a:bodyPr spcFirstLastPara="1" vertOverflow="ellipsis" horzOverflow="overflow" wrap="square" lIns="0" tIns="0" rIns="0" bIns="0" anchor="ctr" anchorCtr="1"/>
          <a:lstStyle/>
          <a:p>
            <a:pPr algn="ctr" rtl="0">
              <a:defRPr>
                <a:solidFill>
                  <a:schemeClr val="tx1"/>
                </a:solidFill>
                <a:latin typeface="华文楷体" panose="02010600040101010101" pitchFamily="2" charset="-122"/>
                <a:ea typeface="华文楷体" panose="02010600040101010101" pitchFamily="2" charset="-122"/>
                <a:cs typeface="华文楷体" panose="02010600040101010101" pitchFamily="2" charset="-122"/>
              </a:defRPr>
            </a:pPr>
            <a:endParaRPr lang="zh-CN" altLang="en-US" sz="900" b="0" i="0" u="none" strike="noStrike" baseline="0">
              <a:solidFill>
                <a:schemeClr val="tx1"/>
              </a:solidFill>
              <a:latin typeface="华文楷体" panose="02010600040101010101" pitchFamily="2" charset="-122"/>
              <a:ea typeface="华文楷体" panose="02010600040101010101" pitchFamily="2" charset="-122"/>
            </a:endParaRPr>
          </a:p>
        </cx:txPr>
      </cx:axis>
      <cx:axis id="1">
        <cx:valScaling/>
        <cx:title>
          <cx:tx>
            <cx:txData>
              <cx:v>交通碳排放（亿吨）</cx:v>
            </cx:txData>
          </cx:tx>
          <cx:txPr>
            <a:bodyPr spcFirstLastPara="1" vertOverflow="ellipsis" horzOverflow="overflow" wrap="square" lIns="0" tIns="0" rIns="0" bIns="0" anchor="ctr" anchorCtr="1"/>
            <a:lstStyle/>
            <a:p>
              <a:pPr algn="ctr" rtl="0">
                <a:defRPr/>
              </a:pPr>
              <a:r>
                <a:rPr lang="zh-CN" altLang="en-US" sz="1000" b="0" i="0" u="none" strike="noStrike" baseline="0">
                  <a:solidFill>
                    <a:schemeClr val="tx1"/>
                  </a:solidFill>
                  <a:latin typeface="华文楷体" panose="02010600040101010101" pitchFamily="2" charset="-122"/>
                  <a:ea typeface="华文楷体" panose="02010600040101010101" pitchFamily="2" charset="-122"/>
                </a:rPr>
                <a:t>交通碳排放（亿吨）</a:t>
              </a:r>
            </a:p>
          </cx:txPr>
        </cx:title>
        <cx:majorGridlines/>
        <cx:tickLabels/>
        <cx:numFmt formatCode="#,##0_);[红色](#,##0)" sourceLinked="0"/>
        <cx:spPr>
          <a:ln>
            <a:solidFill>
              <a:schemeClr val="tx1"/>
            </a:solidFill>
          </a:ln>
        </cx:spPr>
        <cx:txPr>
          <a:bodyPr spcFirstLastPara="1" vertOverflow="ellipsis" horzOverflow="overflow" wrap="square" lIns="0" tIns="0" rIns="0" bIns="0" anchor="ctr" anchorCtr="1"/>
          <a:lstStyle/>
          <a:p>
            <a:pPr algn="ctr" rtl="0">
              <a:defRPr>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zh-CN" altLang="en-US" sz="900" b="0" i="0" u="none" strike="noStrike" baseline="0">
              <a:solidFill>
                <a:schemeClr val="tx1"/>
              </a:solidFill>
              <a:latin typeface="Times New Roman" panose="02020603050405020304" pitchFamily="18" charset="0"/>
              <a:ea typeface="等线" panose="02010600030101010101" pitchFamily="2" charset="-122"/>
              <a:cs typeface="Times New Roman" panose="02020603050405020304" pitchFamily="18" charset="0"/>
            </a:endParaRPr>
          </a:p>
        </cx:txPr>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7.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8.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2.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3.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0.80901</cdr:x>
      <cdr:y>0.14306</cdr:y>
    </cdr:from>
    <cdr:to>
      <cdr:x>0.94876</cdr:x>
      <cdr:y>0.24861</cdr:y>
    </cdr:to>
    <cdr:sp macro="" textlink="">
      <cdr:nvSpPr>
        <cdr:cNvPr id="2" name="文本框 1">
          <a:extLst xmlns:a="http://schemas.openxmlformats.org/drawingml/2006/main">
            <a:ext uri="{FF2B5EF4-FFF2-40B4-BE49-F238E27FC236}">
              <a16:creationId xmlns:a16="http://schemas.microsoft.com/office/drawing/2014/main" id="{4C15B773-D900-45D9-A46A-3B06A6D0A4D9}"/>
            </a:ext>
          </a:extLst>
        </cdr:cNvPr>
        <cdr:cNvSpPr txBox="1"/>
      </cdr:nvSpPr>
      <cdr:spPr>
        <a:xfrm xmlns:a="http://schemas.openxmlformats.org/drawingml/2006/main">
          <a:off x="3970020" y="392430"/>
          <a:ext cx="685800" cy="28956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zh-CN" altLang="en-US" sz="1100">
              <a:latin typeface="楷体" panose="02010609060101010101" pitchFamily="49" charset="-122"/>
              <a:ea typeface="楷体" panose="02010609060101010101" pitchFamily="49" charset="-122"/>
            </a:rPr>
            <a:t>私家车</a:t>
          </a:r>
        </a:p>
      </cdr:txBody>
    </cdr:sp>
  </cdr:relSizeAnchor>
  <cdr:relSizeAnchor xmlns:cdr="http://schemas.openxmlformats.org/drawingml/2006/chartDrawing">
    <cdr:from>
      <cdr:x>0.78404</cdr:x>
      <cdr:y>0.34907</cdr:y>
    </cdr:from>
    <cdr:to>
      <cdr:x>0.96855</cdr:x>
      <cdr:y>0.45463</cdr:y>
    </cdr:to>
    <cdr:sp macro="" textlink="">
      <cdr:nvSpPr>
        <cdr:cNvPr id="3" name="文本框 1">
          <a:extLst xmlns:a="http://schemas.openxmlformats.org/drawingml/2006/main">
            <a:ext uri="{FF2B5EF4-FFF2-40B4-BE49-F238E27FC236}">
              <a16:creationId xmlns:a16="http://schemas.microsoft.com/office/drawing/2014/main" id="{74CCC3BA-90B3-4FA0-94A5-1EDF6E292A44}"/>
            </a:ext>
          </a:extLst>
        </cdr:cNvPr>
        <cdr:cNvSpPr txBox="1"/>
      </cdr:nvSpPr>
      <cdr:spPr>
        <a:xfrm xmlns:a="http://schemas.openxmlformats.org/drawingml/2006/main">
          <a:off x="3443890" y="980297"/>
          <a:ext cx="810452" cy="296446"/>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zh-CN" altLang="en-US" sz="1100" dirty="0">
              <a:latin typeface="楷体" panose="02010609060101010101" pitchFamily="49" charset="-122"/>
              <a:ea typeface="楷体" panose="02010609060101010101" pitchFamily="49" charset="-122"/>
            </a:rPr>
            <a:t>民用航空</a:t>
          </a:r>
        </a:p>
      </cdr:txBody>
    </cdr:sp>
  </cdr:relSizeAnchor>
  <cdr:relSizeAnchor xmlns:cdr="http://schemas.openxmlformats.org/drawingml/2006/chartDrawing">
    <cdr:from>
      <cdr:x>0.78986</cdr:x>
      <cdr:y>0.56019</cdr:y>
    </cdr:from>
    <cdr:to>
      <cdr:x>0.9441</cdr:x>
      <cdr:y>0.66574</cdr:y>
    </cdr:to>
    <cdr:sp macro="" textlink="">
      <cdr:nvSpPr>
        <cdr:cNvPr id="4" name="文本框 1">
          <a:extLst xmlns:a="http://schemas.openxmlformats.org/drawingml/2006/main">
            <a:ext uri="{FF2B5EF4-FFF2-40B4-BE49-F238E27FC236}">
              <a16:creationId xmlns:a16="http://schemas.microsoft.com/office/drawing/2014/main" id="{CC4DA18E-7B19-4714-98E8-D2B6E896E9AF}"/>
            </a:ext>
          </a:extLst>
        </cdr:cNvPr>
        <cdr:cNvSpPr txBox="1"/>
      </cdr:nvSpPr>
      <cdr:spPr>
        <a:xfrm xmlns:a="http://schemas.openxmlformats.org/drawingml/2006/main">
          <a:off x="3876040" y="1536700"/>
          <a:ext cx="756920" cy="28956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zh-CN" altLang="en-US" sz="1100">
              <a:latin typeface="楷体" panose="02010609060101010101" pitchFamily="49" charset="-122"/>
              <a:ea typeface="楷体" panose="02010609060101010101" pitchFamily="49" charset="-122"/>
            </a:rPr>
            <a:t>公交</a:t>
          </a:r>
        </a:p>
      </cdr:txBody>
    </cdr:sp>
  </cdr:relSizeAnchor>
  <cdr:relSizeAnchor xmlns:cdr="http://schemas.openxmlformats.org/drawingml/2006/chartDrawing">
    <cdr:from>
      <cdr:x>0.62215</cdr:x>
      <cdr:y>0.62685</cdr:y>
    </cdr:from>
    <cdr:to>
      <cdr:x>0.7764</cdr:x>
      <cdr:y>0.73241</cdr:y>
    </cdr:to>
    <cdr:sp macro="" textlink="">
      <cdr:nvSpPr>
        <cdr:cNvPr id="5" name="文本框 1">
          <a:extLst xmlns:a="http://schemas.openxmlformats.org/drawingml/2006/main">
            <a:ext uri="{FF2B5EF4-FFF2-40B4-BE49-F238E27FC236}">
              <a16:creationId xmlns:a16="http://schemas.microsoft.com/office/drawing/2014/main" id="{87436DE4-F104-46DD-B385-36D248CE7444}"/>
            </a:ext>
          </a:extLst>
        </cdr:cNvPr>
        <cdr:cNvSpPr txBox="1"/>
      </cdr:nvSpPr>
      <cdr:spPr>
        <a:xfrm xmlns:a="http://schemas.openxmlformats.org/drawingml/2006/main">
          <a:off x="3053080" y="1719580"/>
          <a:ext cx="756920" cy="28956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zh-CN" altLang="en-US" sz="1100">
              <a:latin typeface="楷体" panose="02010609060101010101" pitchFamily="49" charset="-122"/>
              <a:ea typeface="楷体" panose="02010609060101010101" pitchFamily="49" charset="-122"/>
            </a:rPr>
            <a:t>铁路</a:t>
          </a:r>
        </a:p>
      </cdr:txBody>
    </cdr:sp>
  </cdr:relSizeAnchor>
</c:userShapes>
</file>

<file path=word/drawings/drawing2.xml><?xml version="1.0" encoding="utf-8"?>
<c:userShapes xmlns:c="http://schemas.openxmlformats.org/drawingml/2006/chart">
  <cdr:relSizeAnchor xmlns:cdr="http://schemas.openxmlformats.org/drawingml/2006/chartDrawing">
    <cdr:from>
      <cdr:x>0.18314</cdr:x>
      <cdr:y>0.90601</cdr:y>
    </cdr:from>
    <cdr:to>
      <cdr:x>0.9026</cdr:x>
      <cdr:y>0.97656</cdr:y>
    </cdr:to>
    <cdr:sp macro="" textlink="">
      <cdr:nvSpPr>
        <cdr:cNvPr id="2" name="文本框 1">
          <a:extLst xmlns:a="http://schemas.openxmlformats.org/drawingml/2006/main">
            <a:ext uri="{FF2B5EF4-FFF2-40B4-BE49-F238E27FC236}">
              <a16:creationId xmlns:a16="http://schemas.microsoft.com/office/drawing/2014/main" id="{922FA484-FFF1-4D3A-A409-4076F2FFE37F}"/>
            </a:ext>
          </a:extLst>
        </cdr:cNvPr>
        <cdr:cNvSpPr txBox="1"/>
      </cdr:nvSpPr>
      <cdr:spPr>
        <a:xfrm xmlns:a="http://schemas.openxmlformats.org/drawingml/2006/main">
          <a:off x="905907" y="4171635"/>
          <a:ext cx="3558924" cy="32484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zh-CN" altLang="en-US" sz="1200" b="1">
            <a:latin typeface="楷体" panose="02010609060101010101" pitchFamily="49" charset="-122"/>
            <a:ea typeface="楷体" panose="02010609060101010101" pitchFamily="49" charset="-122"/>
          </a:endParaRPr>
        </a:p>
      </cdr:txBody>
    </cdr:sp>
  </cdr:relSizeAnchor>
</c:userShapes>
</file>

<file path=word/drawings/drawing3.xml><?xml version="1.0" encoding="utf-8"?>
<c:userShapes xmlns:c="http://schemas.openxmlformats.org/drawingml/2006/chart">
  <cdr:relSizeAnchor xmlns:cdr="http://schemas.openxmlformats.org/drawingml/2006/chartDrawing">
    <cdr:from>
      <cdr:x>0.70906</cdr:x>
      <cdr:y>0.1687</cdr:y>
    </cdr:from>
    <cdr:to>
      <cdr:x>0.96404</cdr:x>
      <cdr:y>0.28364</cdr:y>
    </cdr:to>
    <cdr:sp macro="" textlink="">
      <cdr:nvSpPr>
        <cdr:cNvPr id="2" name="文本框 12">
          <a:extLst xmlns:a="http://schemas.openxmlformats.org/drawingml/2006/main">
            <a:ext uri="{FF2B5EF4-FFF2-40B4-BE49-F238E27FC236}">
              <a16:creationId xmlns:a16="http://schemas.microsoft.com/office/drawing/2014/main" id="{DF77F6C3-9B84-43A8-98BE-5E609F1FDB39}"/>
            </a:ext>
          </a:extLst>
        </cdr:cNvPr>
        <cdr:cNvSpPr txBox="1"/>
      </cdr:nvSpPr>
      <cdr:spPr>
        <a:xfrm xmlns:a="http://schemas.openxmlformats.org/drawingml/2006/main">
          <a:off x="2839746" y="415964"/>
          <a:ext cx="1021181" cy="283411"/>
        </a:xfrm>
        <a:prstGeom xmlns:a="http://schemas.openxmlformats.org/drawingml/2006/main" prst="rect">
          <a:avLst/>
        </a:prstGeom>
        <a:noFill xmlns:a="http://schemas.openxmlformats.org/drawingml/2006/main"/>
      </cdr:spPr>
      <cdr:txBody>
        <a:bodyPr xmlns:a="http://schemas.openxmlformats.org/drawingml/2006/main" wrap="square" rtlCol="0">
          <a:spAutoFit/>
        </a:bodyPr>
        <a:lstStyle xmlns:a="http://schemas.openxmlformats.org/drawingml/2006/main">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xmlns:a="http://schemas.openxmlformats.org/drawingml/2006/main">
          <a:r>
            <a:rPr lang="zh-CN" altLang="en-US" sz="1100" dirty="0"/>
            <a:t>运输需求</a:t>
          </a:r>
        </a:p>
      </cdr:txBody>
    </cdr:sp>
  </cdr:relSizeAnchor>
</c:userShapes>
</file>

<file path=word/drawings/drawing4.xml><?xml version="1.0" encoding="utf-8"?>
<c:userShapes xmlns:c="http://schemas.openxmlformats.org/drawingml/2006/chart">
  <cdr:relSizeAnchor xmlns:cdr="http://schemas.openxmlformats.org/drawingml/2006/chartDrawing">
    <cdr:from>
      <cdr:x>0.72048</cdr:x>
      <cdr:y>0.18513</cdr:y>
    </cdr:from>
    <cdr:to>
      <cdr:x>0.97854</cdr:x>
      <cdr:y>0.29976</cdr:y>
    </cdr:to>
    <cdr:sp macro="" textlink="">
      <cdr:nvSpPr>
        <cdr:cNvPr id="2" name="文本框 1">
          <a:extLst xmlns:a="http://schemas.openxmlformats.org/drawingml/2006/main">
            <a:ext uri="{FF2B5EF4-FFF2-40B4-BE49-F238E27FC236}">
              <a16:creationId xmlns:a16="http://schemas.microsoft.com/office/drawing/2014/main" id="{0B580E92-92C8-41EC-8803-6234766ACA46}"/>
            </a:ext>
          </a:extLst>
        </cdr:cNvPr>
        <cdr:cNvSpPr txBox="1"/>
      </cdr:nvSpPr>
      <cdr:spPr>
        <a:xfrm xmlns:a="http://schemas.openxmlformats.org/drawingml/2006/main">
          <a:off x="3015615" y="465182"/>
          <a:ext cx="1080121" cy="28803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zh-CN" altLang="en-US" sz="1200" dirty="0"/>
            <a:t>公路单耗</a:t>
          </a:r>
        </a:p>
      </cdr:txBody>
    </cdr:sp>
  </cdr:relSizeAnchor>
</c:userShapes>
</file>

<file path=word/drawings/drawing5.xml><?xml version="1.0" encoding="utf-8"?>
<c:userShapes xmlns:c="http://schemas.openxmlformats.org/drawingml/2006/chart">
  <cdr:relSizeAnchor xmlns:cdr="http://schemas.openxmlformats.org/drawingml/2006/chartDrawing">
    <cdr:from>
      <cdr:x>0.07866</cdr:x>
      <cdr:y>0.34899</cdr:y>
    </cdr:from>
    <cdr:to>
      <cdr:x>0.16695</cdr:x>
      <cdr:y>0.41748</cdr:y>
    </cdr:to>
    <cdr:sp macro="" textlink="">
      <cdr:nvSpPr>
        <cdr:cNvPr id="2" name="文本框 1"/>
        <cdr:cNvSpPr txBox="1"/>
      </cdr:nvSpPr>
      <cdr:spPr>
        <a:xfrm xmlns:a="http://schemas.openxmlformats.org/drawingml/2006/main">
          <a:off x="414866" y="905934"/>
          <a:ext cx="465667" cy="177800"/>
        </a:xfrm>
        <a:prstGeom xmlns:a="http://schemas.openxmlformats.org/drawingml/2006/main" prst="rect">
          <a:avLst/>
        </a:prstGeom>
        <a:noFill xmlns:a="http://schemas.openxmlformats.org/drawingml/2006/main"/>
      </cdr:spPr>
      <cdr:txBody>
        <a:bodyPr xmlns:a="http://schemas.openxmlformats.org/drawingml/2006/main" vertOverflow="clip" wrap="square" rtlCol="0"/>
        <a:lstStyle xmlns:a="http://schemas.openxmlformats.org/drawingml/2006/main"/>
        <a:p xmlns:a="http://schemas.openxmlformats.org/drawingml/2006/main">
          <a:r>
            <a:rPr lang="en-US" altLang="zh-CN" sz="900">
              <a:solidFill>
                <a:schemeClr val="tx1"/>
              </a:solidFill>
              <a:latin typeface="Times New Roman" panose="02020603050405020304" pitchFamily="18" charset="0"/>
              <a:cs typeface="Times New Roman" panose="02020603050405020304" pitchFamily="18" charset="0"/>
            </a:rPr>
            <a:t>71%</a:t>
          </a:r>
          <a:endParaRPr lang="zh-CN" altLang="en-US" sz="900">
            <a:solidFill>
              <a:schemeClr val="tx1"/>
            </a:solidFill>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0.08187</cdr:x>
      <cdr:y>0.67515</cdr:y>
    </cdr:from>
    <cdr:to>
      <cdr:x>0.18461</cdr:x>
      <cdr:y>0.78604</cdr:y>
    </cdr:to>
    <cdr:sp macro="" textlink="">
      <cdr:nvSpPr>
        <cdr:cNvPr id="3" name="文本框 2"/>
        <cdr:cNvSpPr txBox="1"/>
      </cdr:nvSpPr>
      <cdr:spPr>
        <a:xfrm xmlns:a="http://schemas.openxmlformats.org/drawingml/2006/main">
          <a:off x="431799" y="1752600"/>
          <a:ext cx="541867" cy="287866"/>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altLang="zh-CN" sz="900">
              <a:latin typeface="Times New Roman" panose="02020603050405020304" pitchFamily="18" charset="0"/>
              <a:cs typeface="Times New Roman" panose="02020603050405020304" pitchFamily="18" charset="0"/>
            </a:rPr>
            <a:t>16.5%</a:t>
          </a:r>
          <a:endParaRPr lang="zh-CN" altLang="en-US" sz="900">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0.88129</cdr:x>
      <cdr:y>0.3392</cdr:y>
    </cdr:from>
    <cdr:to>
      <cdr:x>0.9744</cdr:x>
      <cdr:y>0.43053</cdr:y>
    </cdr:to>
    <cdr:sp macro="" textlink="">
      <cdr:nvSpPr>
        <cdr:cNvPr id="4" name="文本框 3"/>
        <cdr:cNvSpPr txBox="1"/>
      </cdr:nvSpPr>
      <cdr:spPr>
        <a:xfrm xmlns:a="http://schemas.openxmlformats.org/drawingml/2006/main">
          <a:off x="4648200" y="880532"/>
          <a:ext cx="491066" cy="237068"/>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altLang="zh-CN" sz="900">
              <a:solidFill>
                <a:schemeClr val="tx1"/>
              </a:solidFill>
              <a:latin typeface="Times New Roman" panose="02020603050405020304" pitchFamily="18" charset="0"/>
              <a:cs typeface="Times New Roman" panose="02020603050405020304" pitchFamily="18" charset="0"/>
            </a:rPr>
            <a:t>74%</a:t>
          </a:r>
          <a:endParaRPr lang="zh-CN" altLang="en-US" sz="900">
            <a:solidFill>
              <a:schemeClr val="tx1"/>
            </a:solidFill>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0.88611</cdr:x>
      <cdr:y>0.71429</cdr:y>
    </cdr:from>
    <cdr:to>
      <cdr:x>0.96637</cdr:x>
      <cdr:y>0.82518</cdr:y>
    </cdr:to>
    <cdr:sp macro="" textlink="">
      <cdr:nvSpPr>
        <cdr:cNvPr id="5" name="文本框 4"/>
        <cdr:cNvSpPr txBox="1"/>
      </cdr:nvSpPr>
      <cdr:spPr>
        <a:xfrm xmlns:a="http://schemas.openxmlformats.org/drawingml/2006/main">
          <a:off x="4673601" y="1854200"/>
          <a:ext cx="423334" cy="287867"/>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altLang="zh-CN" sz="800">
              <a:latin typeface="Times New Roman" panose="02020603050405020304" pitchFamily="18" charset="0"/>
              <a:cs typeface="Times New Roman" panose="02020603050405020304" pitchFamily="18" charset="0"/>
            </a:rPr>
            <a:t>9.5%</a:t>
          </a:r>
          <a:endParaRPr lang="zh-CN" altLang="en-US" sz="800">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0.08026</cdr:x>
      <cdr:y>0.05871</cdr:y>
    </cdr:from>
    <cdr:to>
      <cdr:x>0.26647</cdr:x>
      <cdr:y>0.14351</cdr:y>
    </cdr:to>
    <cdr:sp macro="" textlink="">
      <cdr:nvSpPr>
        <cdr:cNvPr id="6" name="文本框 5"/>
        <cdr:cNvSpPr txBox="1"/>
      </cdr:nvSpPr>
      <cdr:spPr>
        <a:xfrm xmlns:a="http://schemas.openxmlformats.org/drawingml/2006/main">
          <a:off x="423334" y="152401"/>
          <a:ext cx="982133" cy="22013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altLang="zh-CN" sz="900">
              <a:latin typeface="Times New Roman" panose="02020603050405020304" pitchFamily="18" charset="0"/>
              <a:cs typeface="Times New Roman" panose="02020603050405020304" pitchFamily="18" charset="0"/>
            </a:rPr>
            <a:t>10%</a:t>
          </a:r>
          <a:endParaRPr lang="zh-CN" altLang="en-US" sz="900">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0.88129</cdr:x>
      <cdr:y>0.08154</cdr:y>
    </cdr:from>
    <cdr:to>
      <cdr:x>0.95834</cdr:x>
      <cdr:y>0.19569</cdr:y>
    </cdr:to>
    <cdr:sp macro="" textlink="">
      <cdr:nvSpPr>
        <cdr:cNvPr id="7" name="文本框 6"/>
        <cdr:cNvSpPr txBox="1"/>
      </cdr:nvSpPr>
      <cdr:spPr>
        <a:xfrm xmlns:a="http://schemas.openxmlformats.org/drawingml/2006/main">
          <a:off x="4648199" y="211666"/>
          <a:ext cx="406400" cy="29633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altLang="zh-CN" sz="900">
              <a:latin typeface="Times New Roman" panose="02020603050405020304" pitchFamily="18" charset="0"/>
              <a:cs typeface="Times New Roman" panose="02020603050405020304" pitchFamily="18" charset="0"/>
            </a:rPr>
            <a:t>14%</a:t>
          </a:r>
          <a:endParaRPr lang="zh-CN" altLang="en-US" sz="900">
            <a:latin typeface="Times New Roman" panose="02020603050405020304" pitchFamily="18" charset="0"/>
            <a:cs typeface="Times New Roman" panose="02020603050405020304" pitchFamily="18" charset="0"/>
          </a:endParaRPr>
        </a:p>
      </cdr:txBody>
    </cdr:sp>
  </cdr:relSizeAnchor>
</c:userShap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7 Transport">
    <a:dk1>
      <a:sysClr val="windowText" lastClr="000000"/>
    </a:dk1>
    <a:lt1>
      <a:sysClr val="window" lastClr="FFFFFF"/>
    </a:lt1>
    <a:dk2>
      <a:srgbClr val="1F497D"/>
    </a:dk2>
    <a:lt2>
      <a:srgbClr val="EEECE1"/>
    </a:lt2>
    <a:accent1>
      <a:srgbClr val="B9C31E"/>
    </a:accent1>
    <a:accent2>
      <a:srgbClr val="C84B96"/>
    </a:accent2>
    <a:accent3>
      <a:srgbClr val="286EB4"/>
    </a:accent3>
    <a:accent4>
      <a:srgbClr val="D73C41"/>
    </a:accent4>
    <a:accent5>
      <a:srgbClr val="00A5E6"/>
    </a:accent5>
    <a:accent6>
      <a:srgbClr val="32AFAF"/>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8386D-AABE-4F27-BA43-0165462EB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115</Pages>
  <Words>8520</Words>
  <Characters>48565</Characters>
  <Application>Microsoft Office Word</Application>
  <DocSecurity>0</DocSecurity>
  <Lines>404</Lines>
  <Paragraphs>113</Paragraphs>
  <ScaleCrop>false</ScaleCrop>
  <Company/>
  <LinksUpToDate>false</LinksUpToDate>
  <CharactersWithSpaces>56972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dc:creator>
  <cp:keywords/>
  <dc:description/>
  <cp:lastModifiedBy>Yin Le</cp:lastModifiedBy>
  <cp:revision>22</cp:revision>
  <dcterms:created xsi:type="dcterms:W3CDTF">2022-01-22T01:18:00Z</dcterms:created>
  <dcterms:modified xsi:type="dcterms:W3CDTF">2022-01-23T01:02:00Z</dcterms:modified>
</cp:coreProperties>
</file>