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363" w:rsidRDefault="00971363" w:rsidP="00971363">
      <w:pPr>
        <w:spacing w:afterLines="50" w:after="156" w:line="360" w:lineRule="auto"/>
        <w:ind w:firstLine="482"/>
        <w:outlineLvl w:val="0"/>
        <w:rPr>
          <w:rFonts w:ascii="Times New Roman" w:hAnsi="Times New Roman" w:cs="Times New Roman"/>
          <w:b/>
          <w:bCs/>
          <w:sz w:val="24"/>
          <w:szCs w:val="24"/>
        </w:rPr>
      </w:pPr>
      <w:bookmarkStart w:id="0" w:name="_Toc7370"/>
      <w:r>
        <w:rPr>
          <w:rFonts w:ascii="Times New Roman" w:hAnsi="Times New Roman" w:cs="Times New Roman" w:hint="eastAsia"/>
          <w:b/>
          <w:bCs/>
          <w:sz w:val="24"/>
          <w:szCs w:val="24"/>
        </w:rPr>
        <w:t>1.</w:t>
      </w:r>
      <w:r>
        <w:rPr>
          <w:rFonts w:ascii="Times New Roman" w:hAnsi="Times New Roman" w:cs="Times New Roman"/>
          <w:b/>
          <w:bCs/>
          <w:sz w:val="24"/>
          <w:szCs w:val="24"/>
        </w:rPr>
        <w:t>3.1</w:t>
      </w:r>
      <w:r>
        <w:rPr>
          <w:rFonts w:ascii="Times New Roman" w:hAnsi="Times New Roman" w:cs="Times New Roman" w:hint="eastAsia"/>
          <w:b/>
          <w:bCs/>
          <w:sz w:val="24"/>
          <w:szCs w:val="24"/>
        </w:rPr>
        <w:t xml:space="preserve"> </w:t>
      </w:r>
      <w:r>
        <w:rPr>
          <w:rFonts w:ascii="Times New Roman" w:hAnsi="Times New Roman" w:cs="Times New Roman"/>
          <w:b/>
          <w:bCs/>
          <w:sz w:val="24"/>
          <w:szCs w:val="24"/>
        </w:rPr>
        <w:t>Carbon pricing policy</w:t>
      </w:r>
      <w:bookmarkEnd w:id="0"/>
    </w:p>
    <w:p w:rsidR="00971363" w:rsidRDefault="00971363" w:rsidP="00971363">
      <w:pPr>
        <w:spacing w:afterLines="50" w:after="156" w:line="360" w:lineRule="auto"/>
        <w:ind w:firstLine="480"/>
        <w:rPr>
          <w:rFonts w:ascii="Times New Roman" w:hAnsi="Times New Roman" w:cs="Times New Roman"/>
          <w:sz w:val="24"/>
          <w:szCs w:val="24"/>
        </w:rPr>
      </w:pPr>
      <w:r>
        <w:rPr>
          <w:rFonts w:ascii="Times New Roman" w:hAnsi="Times New Roman" w:cs="Times New Roman"/>
          <w:sz w:val="24"/>
          <w:szCs w:val="24"/>
        </w:rPr>
        <w:t xml:space="preserve">Carbon pricing policies can take the form of carbon taxes and carbon emission trading systems (ETS). Both aim to reduce carbon emissions but through quite similar mechanisms. Carbon tax adjusts the price of carbon emissions, while the ETS works through an </w:t>
      </w:r>
      <w:proofErr w:type="spellStart"/>
      <w:r>
        <w:rPr>
          <w:rFonts w:ascii="Times New Roman" w:hAnsi="Times New Roman" w:cs="Times New Roman"/>
          <w:sz w:val="24"/>
          <w:szCs w:val="24"/>
        </w:rPr>
        <w:t>endogenized</w:t>
      </w:r>
      <w:proofErr w:type="spellEnd"/>
      <w:r>
        <w:rPr>
          <w:rFonts w:ascii="Times New Roman" w:hAnsi="Times New Roman" w:cs="Times New Roman"/>
          <w:sz w:val="24"/>
          <w:szCs w:val="24"/>
        </w:rPr>
        <w:t xml:space="preserve"> carbon price. As China is still in the early stage of the carbon market and the mechanism for allowance allocation needs to </w:t>
      </w:r>
      <w:proofErr w:type="gramStart"/>
      <w:r>
        <w:rPr>
          <w:rFonts w:ascii="Times New Roman" w:hAnsi="Times New Roman" w:cs="Times New Roman"/>
          <w:sz w:val="24"/>
          <w:szCs w:val="24"/>
        </w:rPr>
        <w:t>be improved</w:t>
      </w:r>
      <w:proofErr w:type="gramEnd"/>
      <w:r>
        <w:rPr>
          <w:rFonts w:ascii="Times New Roman" w:hAnsi="Times New Roman" w:cs="Times New Roman"/>
          <w:sz w:val="24"/>
          <w:szCs w:val="24"/>
        </w:rPr>
        <w:t xml:space="preserve"> extensively, this paper employed carbon tax levied on industries and residents to simulate the effects of the carbon pricing policy. The method of recycling carbon tax revenue is an important determinant of the effectiveness of carbon pricing policy</w:t>
      </w:r>
      <w:r>
        <w:rPr>
          <w:rFonts w:ascii="Times New Roman" w:hAnsi="Times New Roman" w:cs="Times New Roman"/>
          <w:sz w:val="24"/>
          <w:szCs w:val="24"/>
        </w:rPr>
        <w:fldChar w:fldCharType="begin">
          <w:fldData xml:space="preserve">PEVuZE5vdGU+PENpdGU+PEF1dGhvcj5NY0tpYmJpbjwvQXV0aG9yPjxZZWFyPjIwMTg8L1llYXI+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PEVuZE5vdGU+PENpdGU+PEF1dGhvcj5NY0tpYmJpbjwvQXV0aG9yPjxZZWFyPjIwMTg8L1llYXI+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vertAlign w:val="superscript"/>
        </w:rPr>
        <w:t>1</w:t>
      </w:r>
      <w:proofErr w:type="gramStart"/>
      <w:r>
        <w:rPr>
          <w:rFonts w:ascii="Times New Roman" w:hAnsi="Times New Roman" w:cs="Times New Roman" w:hint="eastAsia"/>
          <w:sz w:val="24"/>
          <w:szCs w:val="24"/>
          <w:vertAlign w:val="superscript"/>
        </w:rPr>
        <w:t>,</w:t>
      </w:r>
      <w:r>
        <w:rPr>
          <w:rFonts w:ascii="Times New Roman" w:hAnsi="Times New Roman" w:cs="Times New Roman"/>
          <w:sz w:val="24"/>
          <w:szCs w:val="24"/>
          <w:vertAlign w:val="superscript"/>
        </w:rPr>
        <w:t>2</w:t>
      </w:r>
      <w:proofErr w:type="gramEnd"/>
      <w:r>
        <w:rPr>
          <w:rFonts w:ascii="Times New Roman" w:hAnsi="Times New Roman" w:cs="Times New Roman"/>
          <w:sz w:val="24"/>
          <w:szCs w:val="24"/>
        </w:rPr>
        <w:fldChar w:fldCharType="end"/>
      </w:r>
      <w:r>
        <w:rPr>
          <w:rFonts w:ascii="Times New Roman" w:hAnsi="Times New Roman" w:cs="Times New Roman"/>
          <w:sz w:val="24"/>
          <w:szCs w:val="24"/>
        </w:rPr>
        <w:t>. In the coming decades, the pattern of China’s economic growth is likely to change from an investment-driven to a consumption-driven one, raising the proportion of consumption in the national GDP. Hence, we assume the carbon tax revenue to be transferred to consumer to buffer the negative impact of the carbon tax on residents’ consumption</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&lt;EndNote&gt;&lt;Cite&gt;&lt;Author&gt;Liu&lt;/Author&gt;&lt;Year&gt;2015&lt;/Year&gt;&lt;RecNum&gt;19&lt;/RecNum&gt;&lt;DisplayText&gt;&lt;style face="superscript"&gt;3&lt;/style&gt;&lt;/DisplayText&gt;&lt;record&gt;&lt;rec-number&gt;19&lt;/rec-number&gt;&lt;foreign-keys&gt;&lt;key app="EN" db-id="0wr05wea2w9p5lep0ph5td28xatv99axfw9p" timestamp="1683512030"&gt;19&lt;/key&gt;&lt;/foreign-keys&gt;&lt;ref-type name="Journal Article"&gt;17&lt;/ref-type&gt;&lt;contributors&gt;&lt;authors&gt;&lt;author&gt;Liu, Yu&lt;/author&gt;&lt;author&gt;Lu, Yingying&lt;/author&gt;&lt;/authors&gt;&lt;/contributors&gt;&lt;titles&gt;&lt;title&gt;The Economic impact of different carbon tax revenue recycling schemes in China: A model-based scenario analysis&lt;/title&gt;&lt;secondary-title&gt;Applied Energy&lt;/secondary-title&gt;&lt;/titles&gt;&lt;periodical&gt;&lt;full-title&gt;Applied Energy&lt;/full-title&gt;&lt;/periodical&gt;&lt;pages&gt;96-105&lt;/pages&gt;&lt;volume&gt;141&lt;/volume&gt;&lt;keywords&gt;&lt;keyword&gt;Carbon tax&lt;/keyword&gt;&lt;keyword&gt;Tax revenue recycle&lt;/keyword&gt;&lt;keyword&gt;Economic impact&lt;/keyword&gt;&lt;keyword&gt;CGE model&lt;/keyword&gt;&lt;keyword&gt;Scenario analysis&lt;/keyword&gt;&lt;/keywords&gt;&lt;dates&gt;&lt;year&gt;2015&lt;/year&gt;&lt;pub-dates&gt;&lt;date&gt;2015/03/01/&lt;/date&gt;&lt;/pub-dates&gt;&lt;/dates&gt;&lt;isbn&gt;0306-2619&lt;/isbn&gt;&lt;urls&gt;&lt;related-urls&gt;&lt;url&gt;https://www.sciencedirect.com/science/article/pii/S0306261914012896&lt;/url&gt;&lt;/related-urls&gt;&lt;/urls&gt;&lt;electronic-resource-num&gt;https://doi.org/10.1016/j.apenergy.2014.12.032&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vertAlign w:val="superscript"/>
        </w:rPr>
        <w:t>3</w:t>
      </w:r>
      <w:r>
        <w:rPr>
          <w:rFonts w:ascii="Times New Roman" w:hAnsi="Times New Roman" w:cs="Times New Roman"/>
          <w:sz w:val="24"/>
          <w:szCs w:val="24"/>
        </w:rPr>
        <w:fldChar w:fldCharType="end"/>
      </w:r>
      <w:r>
        <w:rPr>
          <w:rFonts w:ascii="Times New Roman" w:hAnsi="Times New Roman" w:cs="Times New Roman"/>
          <w:sz w:val="24"/>
          <w:szCs w:val="24"/>
          <w:vertAlign w:val="superscript"/>
        </w:rPr>
        <w:t>,4</w:t>
      </w:r>
      <w:r>
        <w:rPr>
          <w:rFonts w:ascii="Times New Roman" w:hAnsi="Times New Roman" w:cs="Times New Roman"/>
          <w:sz w:val="24"/>
          <w:szCs w:val="24"/>
        </w:rPr>
        <w:t>.</w:t>
      </w:r>
    </w:p>
    <w:p w:rsidR="00971363" w:rsidRDefault="00971363" w:rsidP="00971363">
      <w:pPr>
        <w:spacing w:afterLines="50" w:after="156" w:line="360" w:lineRule="auto"/>
        <w:ind w:firstLine="480"/>
        <w:rPr>
          <w:rFonts w:ascii="Times New Roman" w:hAnsi="Times New Roman" w:cs="Times New Roman"/>
          <w:sz w:val="24"/>
          <w:szCs w:val="24"/>
        </w:rPr>
      </w:pPr>
      <w:r>
        <w:rPr>
          <w:rFonts w:ascii="Times New Roman" w:hAnsi="Times New Roman" w:cs="Times New Roman"/>
          <w:sz w:val="24"/>
          <w:szCs w:val="24"/>
        </w:rPr>
        <w:t>We review the literature on carbon tax policy and collect carbon prices for industries and residents (Table S3). For both baseline and policy scenarios, the carbon tax rate will be much lower before 2030. From 2030 onward, China's carbon price will increase moderately under baseline scenarios, rising to 22-65 USD/ton in 2060. Under policy scenarios, carbon prices will increase rapidly to achieve a more stringent emission reduction target, rising to 100-700 USD/ton in 2060. It is worth noting that the literature with high carbon prices mostly takes carbon price as the unique force to motivate mitigation technologies, reflecting the mitigation cost of carbon reduction. Hence, the carbon price definition in these studies differs from this paper. Furthermore, if the carbon price exceeds 300 USD/ton, the direct carbon capture technology will be activated extensively</w:t>
      </w:r>
      <w:r>
        <w:rPr>
          <w:rFonts w:ascii="Times New Roman" w:hAnsi="Times New Roman" w:cs="Times New Roman"/>
          <w:sz w:val="24"/>
          <w:szCs w:val="24"/>
          <w:vertAlign w:val="superscript"/>
        </w:rPr>
        <w:t>5</w:t>
      </w:r>
      <w:r>
        <w:rPr>
          <w:rFonts w:ascii="Times New Roman" w:hAnsi="Times New Roman" w:cs="Times New Roman"/>
          <w:sz w:val="24"/>
          <w:szCs w:val="24"/>
        </w:rPr>
        <w:t>. Therefore, this paper specifies five grades for the future carbon price in policy scenarios (C1-C5) and assumes that carbon price will increase to 100-300 USD/ton by 2060 in policy scenarios, based on the level of 50 USD/ton in the baseline scenario (Table S4).</w:t>
      </w:r>
    </w:p>
    <w:p w:rsidR="00971363" w:rsidRDefault="00971363" w:rsidP="00971363">
      <w:pPr>
        <w:ind w:firstLine="402"/>
        <w:jc w:val="center"/>
        <w:outlineLvl w:val="1"/>
        <w:rPr>
          <w:rFonts w:ascii="Times New Roman" w:hAnsi="Times New Roman" w:cs="Times New Roman"/>
          <w:b/>
          <w:bCs/>
          <w:sz w:val="20"/>
          <w:szCs w:val="20"/>
        </w:rPr>
      </w:pPr>
      <w:bookmarkStart w:id="1" w:name="_Toc16570"/>
      <w:bookmarkStart w:id="2" w:name="_Toc31288"/>
      <w:bookmarkStart w:id="3" w:name="_Toc135599714"/>
      <w:r>
        <w:rPr>
          <w:rFonts w:ascii="Times New Roman" w:hAnsi="Times New Roman" w:cs="Times New Roman"/>
          <w:b/>
          <w:bCs/>
          <w:sz w:val="20"/>
          <w:szCs w:val="20"/>
        </w:rPr>
        <w:t xml:space="preserve">Table </w:t>
      </w:r>
      <w:r>
        <w:rPr>
          <w:rFonts w:ascii="Times New Roman" w:hAnsi="Times New Roman" w:cs="Times New Roman" w:hint="eastAsia"/>
          <w:b/>
          <w:bCs/>
          <w:sz w:val="20"/>
          <w:szCs w:val="20"/>
        </w:rPr>
        <w:t xml:space="preserve">S3 | </w:t>
      </w:r>
      <w:r>
        <w:rPr>
          <w:rFonts w:ascii="Times New Roman" w:hAnsi="Times New Roman" w:cs="Times New Roman"/>
          <w:b/>
          <w:bCs/>
          <w:sz w:val="20"/>
          <w:szCs w:val="20"/>
        </w:rPr>
        <w:t>The CO</w:t>
      </w:r>
      <w:r>
        <w:rPr>
          <w:rFonts w:ascii="Times New Roman" w:hAnsi="Times New Roman" w:cs="Times New Roman"/>
          <w:b/>
          <w:bCs/>
          <w:sz w:val="20"/>
          <w:szCs w:val="20"/>
          <w:vertAlign w:val="subscript"/>
        </w:rPr>
        <w:t>2</w:t>
      </w:r>
      <w:r>
        <w:rPr>
          <w:rFonts w:ascii="Times New Roman" w:hAnsi="Times New Roman" w:cs="Times New Roman"/>
          <w:b/>
          <w:bCs/>
          <w:sz w:val="20"/>
          <w:szCs w:val="20"/>
        </w:rPr>
        <w:t xml:space="preserve"> prices for industries and residents in the literature</w:t>
      </w:r>
      <w:r>
        <w:rPr>
          <w:rFonts w:ascii="Times New Roman" w:hAnsi="Times New Roman" w:cs="Times New Roman" w:hint="eastAsia"/>
          <w:b/>
          <w:bCs/>
          <w:sz w:val="20"/>
          <w:szCs w:val="20"/>
        </w:rPr>
        <w:t xml:space="preserve"> </w:t>
      </w:r>
      <w:r>
        <w:rPr>
          <w:rFonts w:ascii="Times New Roman" w:eastAsia="宋体" w:hAnsi="Times New Roman" w:cs="Times New Roman" w:hint="eastAsia"/>
          <w:b/>
          <w:bCs/>
          <w:color w:val="000000"/>
          <w:kern w:val="0"/>
          <w:sz w:val="20"/>
          <w:szCs w:val="20"/>
          <w:lang w:bidi="ar"/>
        </w:rPr>
        <w:t>(</w:t>
      </w:r>
      <w:r>
        <w:rPr>
          <w:rFonts w:ascii="Times New Roman" w:hAnsi="Times New Roman" w:cs="Times New Roman"/>
          <w:b/>
          <w:bCs/>
          <w:sz w:val="20"/>
          <w:szCs w:val="20"/>
        </w:rPr>
        <w:t>US$ per tCO</w:t>
      </w:r>
      <w:r>
        <w:rPr>
          <w:rFonts w:ascii="Times New Roman" w:hAnsi="Times New Roman" w:cs="Times New Roman"/>
          <w:b/>
          <w:bCs/>
          <w:sz w:val="20"/>
          <w:szCs w:val="20"/>
          <w:vertAlign w:val="subscript"/>
        </w:rPr>
        <w:t>2</w:t>
      </w:r>
      <w:r>
        <w:rPr>
          <w:rFonts w:ascii="Times New Roman" w:hAnsi="Times New Roman" w:cs="Times New Roman" w:hint="eastAsia"/>
          <w:b/>
          <w:bCs/>
          <w:sz w:val="20"/>
          <w:szCs w:val="20"/>
        </w:rPr>
        <w:t>)</w:t>
      </w:r>
      <w:bookmarkEnd w:id="1"/>
      <w:bookmarkEnd w:id="2"/>
      <w:bookmarkEnd w:id="3"/>
    </w:p>
    <w:tbl>
      <w:tblPr>
        <w:tblStyle w:val="ae"/>
        <w:tblW w:w="8080" w:type="dxa"/>
        <w:jc w:val="center"/>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493"/>
        <w:gridCol w:w="2109"/>
        <w:gridCol w:w="1131"/>
        <w:gridCol w:w="1044"/>
        <w:gridCol w:w="1078"/>
        <w:gridCol w:w="1050"/>
        <w:gridCol w:w="1175"/>
      </w:tblGrid>
      <w:tr w:rsidR="00971363" w:rsidTr="00D201A6">
        <w:trPr>
          <w:jc w:val="center"/>
        </w:trPr>
        <w:tc>
          <w:tcPr>
            <w:tcW w:w="493" w:type="dxa"/>
            <w:vMerge w:val="restart"/>
            <w:tcBorders>
              <w:bottom w:val="single" w:sz="6" w:space="0" w:color="000000" w:themeColor="text1"/>
            </w:tcBorders>
            <w:vAlign w:val="center"/>
          </w:tcPr>
          <w:p w:rsidR="00971363" w:rsidRDefault="00971363" w:rsidP="00D201A6">
            <w:pPr>
              <w:ind w:firstLine="402"/>
              <w:jc w:val="center"/>
              <w:rPr>
                <w:b/>
                <w:bCs/>
                <w:szCs w:val="20"/>
              </w:rPr>
            </w:pPr>
            <w:r>
              <w:rPr>
                <w:b/>
                <w:bCs/>
                <w:szCs w:val="20"/>
              </w:rPr>
              <w:t>N</w:t>
            </w:r>
            <w:r>
              <w:rPr>
                <w:b/>
                <w:bCs/>
                <w:szCs w:val="20"/>
              </w:rPr>
              <w:lastRenderedPageBreak/>
              <w:t>o.</w:t>
            </w:r>
          </w:p>
        </w:tc>
        <w:tc>
          <w:tcPr>
            <w:tcW w:w="2109" w:type="dxa"/>
            <w:vMerge w:val="restart"/>
            <w:tcBorders>
              <w:bottom w:val="single" w:sz="6" w:space="0" w:color="000000" w:themeColor="text1"/>
            </w:tcBorders>
            <w:vAlign w:val="center"/>
          </w:tcPr>
          <w:p w:rsidR="00971363" w:rsidRDefault="00971363" w:rsidP="00D201A6">
            <w:pPr>
              <w:ind w:firstLine="402"/>
              <w:jc w:val="center"/>
              <w:rPr>
                <w:b/>
                <w:bCs/>
                <w:szCs w:val="20"/>
              </w:rPr>
            </w:pPr>
            <w:r>
              <w:rPr>
                <w:b/>
                <w:bCs/>
                <w:szCs w:val="20"/>
              </w:rPr>
              <w:lastRenderedPageBreak/>
              <w:t>Scenario</w:t>
            </w:r>
          </w:p>
        </w:tc>
        <w:tc>
          <w:tcPr>
            <w:tcW w:w="4303" w:type="dxa"/>
            <w:gridSpan w:val="4"/>
            <w:tcBorders>
              <w:bottom w:val="single" w:sz="6" w:space="0" w:color="000000" w:themeColor="text1"/>
            </w:tcBorders>
            <w:vAlign w:val="center"/>
          </w:tcPr>
          <w:p w:rsidR="00971363" w:rsidRDefault="00971363" w:rsidP="00D201A6">
            <w:pPr>
              <w:ind w:firstLine="402"/>
              <w:jc w:val="center"/>
              <w:rPr>
                <w:b/>
                <w:bCs/>
                <w:szCs w:val="20"/>
              </w:rPr>
            </w:pPr>
            <w:r>
              <w:rPr>
                <w:b/>
                <w:bCs/>
                <w:szCs w:val="20"/>
              </w:rPr>
              <w:t>Year</w:t>
            </w:r>
          </w:p>
        </w:tc>
        <w:tc>
          <w:tcPr>
            <w:tcW w:w="1175" w:type="dxa"/>
            <w:vMerge w:val="restart"/>
            <w:vAlign w:val="center"/>
          </w:tcPr>
          <w:p w:rsidR="00971363" w:rsidRDefault="00971363" w:rsidP="00D201A6">
            <w:pPr>
              <w:ind w:firstLine="402"/>
              <w:jc w:val="center"/>
              <w:rPr>
                <w:b/>
                <w:bCs/>
                <w:szCs w:val="20"/>
              </w:rPr>
            </w:pPr>
            <w:r>
              <w:rPr>
                <w:b/>
                <w:bCs/>
                <w:szCs w:val="20"/>
              </w:rPr>
              <w:t>Refer</w:t>
            </w:r>
            <w:r>
              <w:rPr>
                <w:b/>
                <w:bCs/>
                <w:szCs w:val="20"/>
              </w:rPr>
              <w:lastRenderedPageBreak/>
              <w:t>ence</w:t>
            </w:r>
          </w:p>
        </w:tc>
      </w:tr>
      <w:tr w:rsidR="00971363" w:rsidTr="00D201A6">
        <w:trPr>
          <w:jc w:val="center"/>
        </w:trPr>
        <w:tc>
          <w:tcPr>
            <w:tcW w:w="493" w:type="dxa"/>
            <w:vMerge/>
            <w:tcBorders>
              <w:top w:val="single" w:sz="6" w:space="0" w:color="000000" w:themeColor="text1"/>
              <w:bottom w:val="single" w:sz="6" w:space="0" w:color="000000" w:themeColor="text1"/>
              <w:tl2br w:val="nil"/>
              <w:tr2bl w:val="nil"/>
            </w:tcBorders>
            <w:vAlign w:val="center"/>
          </w:tcPr>
          <w:p w:rsidR="00971363" w:rsidRDefault="00971363" w:rsidP="00D201A6">
            <w:pPr>
              <w:ind w:firstLine="400"/>
              <w:jc w:val="center"/>
              <w:rPr>
                <w:szCs w:val="20"/>
              </w:rPr>
            </w:pPr>
          </w:p>
        </w:tc>
        <w:tc>
          <w:tcPr>
            <w:tcW w:w="2109" w:type="dxa"/>
            <w:vMerge/>
            <w:tcBorders>
              <w:top w:val="single" w:sz="6" w:space="0" w:color="000000" w:themeColor="text1"/>
              <w:bottom w:val="single" w:sz="6" w:space="0" w:color="000000" w:themeColor="text1"/>
              <w:tl2br w:val="nil"/>
              <w:tr2bl w:val="nil"/>
            </w:tcBorders>
            <w:vAlign w:val="center"/>
          </w:tcPr>
          <w:p w:rsidR="00971363" w:rsidRDefault="00971363" w:rsidP="00D201A6">
            <w:pPr>
              <w:ind w:firstLine="400"/>
              <w:jc w:val="center"/>
              <w:rPr>
                <w:szCs w:val="20"/>
              </w:rPr>
            </w:pPr>
          </w:p>
        </w:tc>
        <w:tc>
          <w:tcPr>
            <w:tcW w:w="1131" w:type="dxa"/>
            <w:tcBorders>
              <w:top w:val="single" w:sz="6" w:space="0" w:color="000000" w:themeColor="text1"/>
              <w:bottom w:val="single" w:sz="6" w:space="0" w:color="000000" w:themeColor="text1"/>
            </w:tcBorders>
            <w:vAlign w:val="center"/>
          </w:tcPr>
          <w:p w:rsidR="00971363" w:rsidRDefault="00971363" w:rsidP="00D201A6">
            <w:pPr>
              <w:ind w:firstLine="402"/>
              <w:jc w:val="center"/>
              <w:rPr>
                <w:b/>
                <w:bCs/>
                <w:szCs w:val="20"/>
              </w:rPr>
            </w:pPr>
            <w:r>
              <w:rPr>
                <w:b/>
                <w:bCs/>
                <w:color w:val="000000"/>
                <w:szCs w:val="20"/>
              </w:rPr>
              <w:t>2030</w:t>
            </w:r>
          </w:p>
        </w:tc>
        <w:tc>
          <w:tcPr>
            <w:tcW w:w="1044" w:type="dxa"/>
            <w:tcBorders>
              <w:top w:val="single" w:sz="6" w:space="0" w:color="000000" w:themeColor="text1"/>
              <w:bottom w:val="single" w:sz="6" w:space="0" w:color="000000" w:themeColor="text1"/>
            </w:tcBorders>
            <w:vAlign w:val="center"/>
          </w:tcPr>
          <w:p w:rsidR="00971363" w:rsidRDefault="00971363" w:rsidP="00D201A6">
            <w:pPr>
              <w:ind w:firstLine="402"/>
              <w:jc w:val="center"/>
              <w:rPr>
                <w:b/>
                <w:bCs/>
                <w:szCs w:val="20"/>
              </w:rPr>
            </w:pPr>
            <w:r>
              <w:rPr>
                <w:b/>
                <w:bCs/>
                <w:color w:val="000000"/>
                <w:szCs w:val="20"/>
              </w:rPr>
              <w:t>2040</w:t>
            </w:r>
          </w:p>
        </w:tc>
        <w:tc>
          <w:tcPr>
            <w:tcW w:w="1078" w:type="dxa"/>
            <w:tcBorders>
              <w:top w:val="single" w:sz="6" w:space="0" w:color="000000" w:themeColor="text1"/>
              <w:bottom w:val="single" w:sz="6" w:space="0" w:color="000000" w:themeColor="text1"/>
            </w:tcBorders>
            <w:vAlign w:val="center"/>
          </w:tcPr>
          <w:p w:rsidR="00971363" w:rsidRDefault="00971363" w:rsidP="00D201A6">
            <w:pPr>
              <w:ind w:firstLine="402"/>
              <w:jc w:val="center"/>
              <w:rPr>
                <w:b/>
                <w:bCs/>
                <w:szCs w:val="20"/>
              </w:rPr>
            </w:pPr>
            <w:r>
              <w:rPr>
                <w:b/>
                <w:bCs/>
                <w:color w:val="000000"/>
                <w:szCs w:val="20"/>
              </w:rPr>
              <w:t>2050</w:t>
            </w:r>
          </w:p>
        </w:tc>
        <w:tc>
          <w:tcPr>
            <w:tcW w:w="1050" w:type="dxa"/>
            <w:tcBorders>
              <w:top w:val="single" w:sz="6" w:space="0" w:color="000000" w:themeColor="text1"/>
              <w:bottom w:val="single" w:sz="6" w:space="0" w:color="000000" w:themeColor="text1"/>
            </w:tcBorders>
            <w:vAlign w:val="center"/>
          </w:tcPr>
          <w:p w:rsidR="00971363" w:rsidRDefault="00971363" w:rsidP="00D201A6">
            <w:pPr>
              <w:ind w:firstLine="402"/>
              <w:jc w:val="center"/>
              <w:rPr>
                <w:b/>
                <w:bCs/>
                <w:szCs w:val="20"/>
              </w:rPr>
            </w:pPr>
            <w:r>
              <w:rPr>
                <w:b/>
                <w:bCs/>
                <w:color w:val="000000"/>
                <w:szCs w:val="20"/>
              </w:rPr>
              <w:t>2060</w:t>
            </w:r>
            <w:r>
              <w:rPr>
                <w:b/>
                <w:bCs/>
                <w:color w:val="000000"/>
                <w:szCs w:val="20"/>
                <w:vertAlign w:val="superscript"/>
              </w:rPr>
              <w:t>*</w:t>
            </w:r>
          </w:p>
        </w:tc>
        <w:tc>
          <w:tcPr>
            <w:tcW w:w="1175" w:type="dxa"/>
            <w:vMerge/>
            <w:tcBorders>
              <w:bottom w:val="single" w:sz="6" w:space="0" w:color="000000" w:themeColor="text1"/>
            </w:tcBorders>
            <w:vAlign w:val="center"/>
          </w:tcPr>
          <w:p w:rsidR="00971363" w:rsidRDefault="00971363" w:rsidP="00D201A6">
            <w:pPr>
              <w:ind w:firstLine="400"/>
              <w:jc w:val="center"/>
              <w:rPr>
                <w:szCs w:val="20"/>
              </w:rPr>
            </w:pPr>
          </w:p>
        </w:tc>
      </w:tr>
      <w:tr w:rsidR="00971363" w:rsidTr="00D201A6">
        <w:trPr>
          <w:jc w:val="center"/>
        </w:trPr>
        <w:tc>
          <w:tcPr>
            <w:tcW w:w="8080" w:type="dxa"/>
            <w:gridSpan w:val="7"/>
            <w:tcBorders>
              <w:top w:val="single" w:sz="6" w:space="0" w:color="000000" w:themeColor="text1"/>
              <w:bottom w:val="nil"/>
              <w:tl2br w:val="nil"/>
              <w:tr2bl w:val="nil"/>
            </w:tcBorders>
            <w:vAlign w:val="center"/>
          </w:tcPr>
          <w:p w:rsidR="00971363" w:rsidRDefault="00971363" w:rsidP="00D201A6">
            <w:pPr>
              <w:ind w:firstLine="402"/>
              <w:jc w:val="left"/>
              <w:rPr>
                <w:b/>
                <w:bCs/>
                <w:color w:val="000000"/>
                <w:szCs w:val="20"/>
                <w:vertAlign w:val="superscript"/>
              </w:rPr>
            </w:pPr>
            <w:r>
              <w:rPr>
                <w:b/>
                <w:bCs/>
                <w:szCs w:val="20"/>
              </w:rPr>
              <w:t>China</w:t>
            </w:r>
          </w:p>
        </w:tc>
      </w:tr>
      <w:tr w:rsidR="00971363" w:rsidTr="00D201A6">
        <w:trPr>
          <w:jc w:val="center"/>
        </w:trPr>
        <w:tc>
          <w:tcPr>
            <w:tcW w:w="493" w:type="dxa"/>
            <w:tcBorders>
              <w:top w:val="nil"/>
              <w:bottom w:val="nil"/>
              <w:tl2br w:val="nil"/>
              <w:tr2bl w:val="nil"/>
            </w:tcBorders>
            <w:vAlign w:val="center"/>
          </w:tcPr>
          <w:p w:rsidR="00971363" w:rsidRDefault="00971363" w:rsidP="00D201A6">
            <w:pPr>
              <w:ind w:firstLine="400"/>
              <w:jc w:val="center"/>
              <w:rPr>
                <w:szCs w:val="20"/>
              </w:rPr>
            </w:pPr>
            <w:r>
              <w:rPr>
                <w:szCs w:val="20"/>
              </w:rPr>
              <w:t>1</w:t>
            </w:r>
          </w:p>
        </w:tc>
        <w:tc>
          <w:tcPr>
            <w:tcW w:w="2109" w:type="dxa"/>
            <w:tcBorders>
              <w:top w:val="nil"/>
              <w:bottom w:val="nil"/>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CPH scenario</w:t>
            </w:r>
          </w:p>
        </w:tc>
        <w:tc>
          <w:tcPr>
            <w:tcW w:w="1131" w:type="dxa"/>
            <w:tcBorders>
              <w:top w:val="nil"/>
              <w:bottom w:val="nil"/>
              <w:tl2br w:val="nil"/>
              <w:tr2bl w:val="nil"/>
            </w:tcBorders>
          </w:tcPr>
          <w:p w:rsidR="00971363" w:rsidRDefault="00971363" w:rsidP="00D201A6">
            <w:pPr>
              <w:widowControl/>
              <w:ind w:firstLine="400"/>
              <w:jc w:val="center"/>
              <w:textAlignment w:val="top"/>
              <w:rPr>
                <w:color w:val="000000"/>
                <w:szCs w:val="20"/>
              </w:rPr>
            </w:pPr>
            <w:r>
              <w:rPr>
                <w:color w:val="000000"/>
                <w:szCs w:val="20"/>
                <w:lang w:bidi="ar"/>
              </w:rPr>
              <w:t xml:space="preserve">107 </w:t>
            </w:r>
          </w:p>
        </w:tc>
        <w:tc>
          <w:tcPr>
            <w:tcW w:w="1044" w:type="dxa"/>
            <w:tcBorders>
              <w:top w:val="nil"/>
              <w:bottom w:val="nil"/>
              <w:tl2br w:val="nil"/>
              <w:tr2bl w:val="nil"/>
            </w:tcBorders>
            <w:vAlign w:val="center"/>
          </w:tcPr>
          <w:p w:rsidR="00971363" w:rsidRDefault="00971363" w:rsidP="00D201A6">
            <w:pPr>
              <w:ind w:firstLine="400"/>
              <w:jc w:val="center"/>
              <w:rPr>
                <w:color w:val="000000"/>
                <w:szCs w:val="20"/>
              </w:rPr>
            </w:pPr>
            <w:r>
              <w:rPr>
                <w:color w:val="000000"/>
                <w:szCs w:val="20"/>
              </w:rPr>
              <w:t>-</w:t>
            </w:r>
          </w:p>
        </w:tc>
        <w:tc>
          <w:tcPr>
            <w:tcW w:w="1078" w:type="dxa"/>
            <w:tcBorders>
              <w:top w:val="nil"/>
              <w:bottom w:val="nil"/>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75 </w:t>
            </w:r>
          </w:p>
        </w:tc>
        <w:tc>
          <w:tcPr>
            <w:tcW w:w="1050" w:type="dxa"/>
            <w:tcBorders>
              <w:top w:val="nil"/>
              <w:bottom w:val="nil"/>
              <w:tl2br w:val="nil"/>
              <w:tr2bl w:val="nil"/>
            </w:tcBorders>
            <w:vAlign w:val="center"/>
          </w:tcPr>
          <w:p w:rsidR="00971363" w:rsidRDefault="00971363" w:rsidP="00D201A6">
            <w:pPr>
              <w:widowControl/>
              <w:ind w:firstLine="400"/>
              <w:jc w:val="center"/>
              <w:textAlignment w:val="center"/>
              <w:rPr>
                <w:color w:val="000000" w:themeColor="text1"/>
                <w:szCs w:val="20"/>
              </w:rPr>
            </w:pPr>
            <w:r>
              <w:rPr>
                <w:color w:val="000000" w:themeColor="text1"/>
                <w:szCs w:val="20"/>
                <w:lang w:bidi="ar"/>
              </w:rPr>
              <w:t xml:space="preserve">92 </w:t>
            </w:r>
          </w:p>
        </w:tc>
        <w:tc>
          <w:tcPr>
            <w:tcW w:w="1175" w:type="dxa"/>
            <w:tcBorders>
              <w:top w:val="nil"/>
              <w:bottom w:val="nil"/>
              <w:tl2br w:val="nil"/>
              <w:tr2bl w:val="nil"/>
            </w:tcBorders>
            <w:vAlign w:val="center"/>
          </w:tcPr>
          <w:p w:rsidR="00971363" w:rsidRDefault="00971363" w:rsidP="00D201A6">
            <w:pPr>
              <w:ind w:firstLine="400"/>
              <w:jc w:val="center"/>
              <w:rPr>
                <w:szCs w:val="20"/>
              </w:rPr>
            </w:pPr>
            <w:r>
              <w:rPr>
                <w:color w:val="000000"/>
                <w:szCs w:val="20"/>
                <w:vertAlign w:val="superscript"/>
              </w:rPr>
              <w:t>1</w:t>
            </w:r>
          </w:p>
        </w:tc>
      </w:tr>
      <w:tr w:rsidR="00971363" w:rsidTr="00D201A6">
        <w:trPr>
          <w:jc w:val="center"/>
        </w:trPr>
        <w:tc>
          <w:tcPr>
            <w:tcW w:w="493" w:type="dxa"/>
            <w:tcBorders>
              <w:top w:val="nil"/>
              <w:tl2br w:val="nil"/>
              <w:tr2bl w:val="nil"/>
            </w:tcBorders>
            <w:vAlign w:val="center"/>
          </w:tcPr>
          <w:p w:rsidR="00971363" w:rsidRDefault="00971363" w:rsidP="00D201A6">
            <w:pPr>
              <w:ind w:firstLine="400"/>
              <w:jc w:val="center"/>
              <w:rPr>
                <w:szCs w:val="20"/>
              </w:rPr>
            </w:pPr>
            <w:r>
              <w:rPr>
                <w:szCs w:val="20"/>
              </w:rPr>
              <w:t>2</w:t>
            </w:r>
          </w:p>
        </w:tc>
        <w:tc>
          <w:tcPr>
            <w:tcW w:w="2109" w:type="dxa"/>
            <w:tcBorders>
              <w:top w:val="nil"/>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NDC scenario</w:t>
            </w:r>
          </w:p>
        </w:tc>
        <w:tc>
          <w:tcPr>
            <w:tcW w:w="1131" w:type="dxa"/>
            <w:tcBorders>
              <w:top w:val="nil"/>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193 </w:t>
            </w:r>
          </w:p>
        </w:tc>
        <w:tc>
          <w:tcPr>
            <w:tcW w:w="1044" w:type="dxa"/>
            <w:tcBorders>
              <w:top w:val="nil"/>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15 </w:t>
            </w:r>
          </w:p>
        </w:tc>
        <w:tc>
          <w:tcPr>
            <w:tcW w:w="1078" w:type="dxa"/>
            <w:tcBorders>
              <w:top w:val="nil"/>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21 </w:t>
            </w:r>
          </w:p>
        </w:tc>
        <w:tc>
          <w:tcPr>
            <w:tcW w:w="1050" w:type="dxa"/>
            <w:tcBorders>
              <w:top w:val="nil"/>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28 </w:t>
            </w:r>
          </w:p>
        </w:tc>
        <w:tc>
          <w:tcPr>
            <w:tcW w:w="1175" w:type="dxa"/>
            <w:tcBorders>
              <w:top w:val="nil"/>
              <w:tl2br w:val="nil"/>
              <w:tr2bl w:val="nil"/>
            </w:tcBorders>
            <w:vAlign w:val="center"/>
          </w:tcPr>
          <w:p w:rsidR="00971363" w:rsidRDefault="00971363" w:rsidP="00D201A6">
            <w:pPr>
              <w:widowControl/>
              <w:ind w:firstLine="400"/>
              <w:jc w:val="center"/>
              <w:rPr>
                <w:szCs w:val="20"/>
              </w:rPr>
            </w:pPr>
            <w:r>
              <w:rPr>
                <w:color w:val="000000"/>
                <w:szCs w:val="20"/>
                <w:vertAlign w:val="superscript"/>
              </w:rPr>
              <w:t>2</w:t>
            </w:r>
          </w:p>
        </w:tc>
      </w:tr>
      <w:tr w:rsidR="00971363" w:rsidTr="00D201A6">
        <w:trPr>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3</w:t>
            </w:r>
          </w:p>
        </w:tc>
        <w:tc>
          <w:tcPr>
            <w:tcW w:w="2109" w:type="dxa"/>
            <w:tcBorders>
              <w:tl2br w:val="nil"/>
              <w:tr2bl w:val="nil"/>
            </w:tcBorders>
            <w:vAlign w:val="center"/>
          </w:tcPr>
          <w:p w:rsidR="00971363" w:rsidRDefault="00971363" w:rsidP="00D201A6">
            <w:pPr>
              <w:widowControl/>
              <w:ind w:firstLine="400"/>
              <w:jc w:val="center"/>
              <w:textAlignment w:val="center"/>
              <w:rPr>
                <w:color w:val="000000"/>
                <w:szCs w:val="20"/>
                <w:highlight w:val="yellow"/>
              </w:rPr>
            </w:pPr>
            <w:r>
              <w:rPr>
                <w:color w:val="000000"/>
                <w:szCs w:val="20"/>
                <w:lang w:bidi="ar"/>
              </w:rPr>
              <w:t>P</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220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44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61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70 </w:t>
            </w:r>
          </w:p>
        </w:tc>
        <w:tc>
          <w:tcPr>
            <w:tcW w:w="1175" w:type="dxa"/>
            <w:vMerge w:val="restart"/>
            <w:tcBorders>
              <w:tl2br w:val="nil"/>
              <w:tr2bl w:val="nil"/>
            </w:tcBorders>
            <w:vAlign w:val="center"/>
          </w:tcPr>
          <w:p w:rsidR="00971363" w:rsidRDefault="00971363" w:rsidP="00D201A6">
            <w:pPr>
              <w:ind w:firstLine="400"/>
              <w:jc w:val="center"/>
              <w:rPr>
                <w:szCs w:val="20"/>
              </w:rPr>
            </w:pPr>
            <w:r>
              <w:rPr>
                <w:szCs w:val="20"/>
                <w:vertAlign w:val="superscript"/>
              </w:rPr>
              <w:t>3</w:t>
            </w: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widowControl/>
              <w:ind w:firstLine="400"/>
              <w:jc w:val="center"/>
              <w:textAlignment w:val="center"/>
              <w:rPr>
                <w:color w:val="000000"/>
                <w:szCs w:val="20"/>
                <w:highlight w:val="yellow"/>
              </w:rPr>
            </w:pPr>
            <w:r>
              <w:rPr>
                <w:color w:val="000000"/>
                <w:szCs w:val="20"/>
                <w:lang w:bidi="ar"/>
              </w:rPr>
              <w:t>RP</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220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62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114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200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w:t>
            </w:r>
            <w:r>
              <w:rPr>
                <w:rFonts w:hint="eastAsia"/>
                <w:color w:val="000000"/>
                <w:szCs w:val="20"/>
              </w:rPr>
              <w:t>℃</w:t>
            </w:r>
            <w:r>
              <w:rPr>
                <w:color w:val="000000"/>
                <w:szCs w:val="20"/>
              </w:rPr>
              <w:t xml:space="preserve"> scenario</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25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89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255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500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1.5</w:t>
            </w:r>
            <w:r>
              <w:rPr>
                <w:rFonts w:hint="eastAsia"/>
                <w:color w:val="000000"/>
                <w:szCs w:val="20"/>
              </w:rPr>
              <w:t>℃</w:t>
            </w:r>
            <w:r>
              <w:rPr>
                <w:color w:val="000000"/>
                <w:szCs w:val="20"/>
              </w:rPr>
              <w:t xml:space="preserve"> scenario</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38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150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1106 </w:t>
            </w:r>
          </w:p>
        </w:tc>
        <w:tc>
          <w:tcPr>
            <w:tcW w:w="1050" w:type="dxa"/>
            <w:tcBorders>
              <w:tl2br w:val="nil"/>
              <w:tr2bl w:val="nil"/>
            </w:tcBorders>
            <w:vAlign w:val="center"/>
          </w:tcPr>
          <w:p w:rsidR="00971363" w:rsidRDefault="00971363" w:rsidP="00D201A6">
            <w:pPr>
              <w:ind w:firstLine="400"/>
              <w:jc w:val="center"/>
              <w:rPr>
                <w:szCs w:val="20"/>
              </w:rPr>
            </w:pPr>
            <w:r>
              <w:rPr>
                <w:szCs w:val="20"/>
              </w:rPr>
              <w:t>-</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4</w:t>
            </w:r>
          </w:p>
        </w:tc>
        <w:tc>
          <w:tcPr>
            <w:tcW w:w="2109" w:type="dxa"/>
            <w:tcBorders>
              <w:tl2br w:val="nil"/>
              <w:tr2bl w:val="nil"/>
            </w:tcBorders>
            <w:vAlign w:val="center"/>
          </w:tcPr>
          <w:p w:rsidR="00971363" w:rsidRDefault="00971363" w:rsidP="00D201A6">
            <w:pPr>
              <w:ind w:firstLine="400"/>
              <w:jc w:val="center"/>
              <w:rPr>
                <w:color w:val="000000"/>
                <w:szCs w:val="20"/>
              </w:rPr>
            </w:pPr>
            <w:r>
              <w:rPr>
                <w:color w:val="000000"/>
                <w:szCs w:val="20"/>
              </w:rPr>
              <w:t>BAU scenario</w:t>
            </w:r>
          </w:p>
        </w:tc>
        <w:tc>
          <w:tcPr>
            <w:tcW w:w="1131" w:type="dxa"/>
            <w:tcBorders>
              <w:tl2br w:val="nil"/>
              <w:tr2bl w:val="nil"/>
            </w:tcBorders>
          </w:tcPr>
          <w:p w:rsidR="00971363" w:rsidRDefault="00971363" w:rsidP="00D201A6">
            <w:pPr>
              <w:widowControl/>
              <w:ind w:firstLine="400"/>
              <w:jc w:val="center"/>
              <w:textAlignment w:val="top"/>
              <w:rPr>
                <w:color w:val="000000"/>
                <w:szCs w:val="20"/>
              </w:rPr>
            </w:pPr>
            <w:r>
              <w:rPr>
                <w:color w:val="000000"/>
                <w:szCs w:val="20"/>
                <w:lang w:bidi="ar"/>
              </w:rPr>
              <w:t xml:space="preserve">17 </w:t>
            </w:r>
          </w:p>
        </w:tc>
        <w:tc>
          <w:tcPr>
            <w:tcW w:w="1044" w:type="dxa"/>
            <w:tcBorders>
              <w:tl2br w:val="nil"/>
              <w:tr2bl w:val="nil"/>
            </w:tcBorders>
          </w:tcPr>
          <w:p w:rsidR="00971363" w:rsidRDefault="00971363" w:rsidP="00D201A6">
            <w:pPr>
              <w:widowControl/>
              <w:ind w:firstLine="400"/>
              <w:jc w:val="center"/>
              <w:textAlignment w:val="top"/>
              <w:rPr>
                <w:color w:val="000000"/>
                <w:szCs w:val="20"/>
              </w:rPr>
            </w:pPr>
            <w:r>
              <w:rPr>
                <w:color w:val="000000"/>
                <w:szCs w:val="20"/>
                <w:lang w:bidi="ar"/>
              </w:rPr>
              <w:t xml:space="preserve">29 </w:t>
            </w:r>
          </w:p>
        </w:tc>
        <w:tc>
          <w:tcPr>
            <w:tcW w:w="1078" w:type="dxa"/>
            <w:tcBorders>
              <w:tl2br w:val="nil"/>
              <w:tr2bl w:val="nil"/>
            </w:tcBorders>
          </w:tcPr>
          <w:p w:rsidR="00971363" w:rsidRDefault="00971363" w:rsidP="00D201A6">
            <w:pPr>
              <w:widowControl/>
              <w:ind w:firstLine="400"/>
              <w:jc w:val="center"/>
              <w:textAlignment w:val="top"/>
              <w:rPr>
                <w:color w:val="000000"/>
                <w:szCs w:val="20"/>
              </w:rPr>
            </w:pPr>
            <w:r>
              <w:rPr>
                <w:color w:val="000000"/>
                <w:szCs w:val="20"/>
                <w:lang w:bidi="ar"/>
              </w:rPr>
              <w:t xml:space="preserve">41 </w:t>
            </w:r>
          </w:p>
        </w:tc>
        <w:tc>
          <w:tcPr>
            <w:tcW w:w="1050" w:type="dxa"/>
            <w:tcBorders>
              <w:tl2br w:val="nil"/>
              <w:tr2bl w:val="nil"/>
            </w:tcBorders>
          </w:tcPr>
          <w:p w:rsidR="00971363" w:rsidRDefault="00971363" w:rsidP="00D201A6">
            <w:pPr>
              <w:widowControl/>
              <w:ind w:firstLine="400"/>
              <w:jc w:val="center"/>
              <w:textAlignment w:val="top"/>
              <w:rPr>
                <w:szCs w:val="20"/>
              </w:rPr>
            </w:pPr>
            <w:r>
              <w:rPr>
                <w:szCs w:val="20"/>
                <w:lang w:bidi="ar"/>
              </w:rPr>
              <w:t xml:space="preserve">54 </w:t>
            </w:r>
          </w:p>
        </w:tc>
        <w:tc>
          <w:tcPr>
            <w:tcW w:w="1175" w:type="dxa"/>
            <w:vMerge w:val="restart"/>
            <w:tcBorders>
              <w:tl2br w:val="nil"/>
              <w:tr2bl w:val="nil"/>
            </w:tcBorders>
            <w:vAlign w:val="center"/>
          </w:tcPr>
          <w:p w:rsidR="00971363" w:rsidRDefault="00971363" w:rsidP="00D201A6">
            <w:pPr>
              <w:ind w:firstLine="400"/>
              <w:jc w:val="center"/>
              <w:rPr>
                <w:szCs w:val="20"/>
              </w:rPr>
            </w:pPr>
            <w:r>
              <w:rPr>
                <w:color w:val="000000"/>
                <w:szCs w:val="20"/>
                <w:vertAlign w:val="superscript"/>
              </w:rPr>
              <w:t>4</w:t>
            </w: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color w:val="000000"/>
                <w:szCs w:val="20"/>
              </w:rPr>
            </w:pPr>
            <w:r>
              <w:rPr>
                <w:color w:val="000000"/>
                <w:szCs w:val="20"/>
              </w:rPr>
              <w:t>2060NZ</w:t>
            </w:r>
          </w:p>
        </w:tc>
        <w:tc>
          <w:tcPr>
            <w:tcW w:w="1131" w:type="dxa"/>
            <w:tcBorders>
              <w:tl2br w:val="nil"/>
              <w:tr2bl w:val="nil"/>
            </w:tcBorders>
          </w:tcPr>
          <w:p w:rsidR="00971363" w:rsidRDefault="00971363" w:rsidP="00D201A6">
            <w:pPr>
              <w:widowControl/>
              <w:ind w:firstLine="400"/>
              <w:jc w:val="center"/>
              <w:textAlignment w:val="top"/>
              <w:rPr>
                <w:color w:val="000000"/>
                <w:szCs w:val="20"/>
              </w:rPr>
            </w:pPr>
            <w:r>
              <w:rPr>
                <w:color w:val="000000"/>
                <w:szCs w:val="20"/>
                <w:lang w:bidi="ar"/>
              </w:rPr>
              <w:t xml:space="preserve">20 </w:t>
            </w:r>
          </w:p>
        </w:tc>
        <w:tc>
          <w:tcPr>
            <w:tcW w:w="1044" w:type="dxa"/>
            <w:tcBorders>
              <w:tl2br w:val="nil"/>
              <w:tr2bl w:val="nil"/>
            </w:tcBorders>
          </w:tcPr>
          <w:p w:rsidR="00971363" w:rsidRDefault="00971363" w:rsidP="00D201A6">
            <w:pPr>
              <w:widowControl/>
              <w:ind w:firstLine="400"/>
              <w:jc w:val="center"/>
              <w:textAlignment w:val="top"/>
              <w:rPr>
                <w:color w:val="000000"/>
                <w:szCs w:val="20"/>
              </w:rPr>
            </w:pPr>
            <w:r>
              <w:rPr>
                <w:color w:val="000000"/>
                <w:szCs w:val="20"/>
              </w:rPr>
              <w:t>42</w:t>
            </w:r>
          </w:p>
        </w:tc>
        <w:tc>
          <w:tcPr>
            <w:tcW w:w="1078" w:type="dxa"/>
            <w:tcBorders>
              <w:tl2br w:val="nil"/>
              <w:tr2bl w:val="nil"/>
            </w:tcBorders>
          </w:tcPr>
          <w:p w:rsidR="00971363" w:rsidRDefault="00971363" w:rsidP="00D201A6">
            <w:pPr>
              <w:widowControl/>
              <w:ind w:firstLine="400"/>
              <w:jc w:val="center"/>
              <w:textAlignment w:val="top"/>
              <w:rPr>
                <w:color w:val="000000"/>
                <w:szCs w:val="20"/>
              </w:rPr>
            </w:pPr>
            <w:r>
              <w:rPr>
                <w:color w:val="000000"/>
                <w:szCs w:val="20"/>
              </w:rPr>
              <w:t>107</w:t>
            </w:r>
          </w:p>
        </w:tc>
        <w:tc>
          <w:tcPr>
            <w:tcW w:w="1050" w:type="dxa"/>
            <w:tcBorders>
              <w:tl2br w:val="nil"/>
              <w:tr2bl w:val="nil"/>
            </w:tcBorders>
          </w:tcPr>
          <w:p w:rsidR="00971363" w:rsidRDefault="00971363" w:rsidP="00D201A6">
            <w:pPr>
              <w:widowControl/>
              <w:ind w:firstLine="400"/>
              <w:jc w:val="center"/>
              <w:textAlignment w:val="top"/>
              <w:rPr>
                <w:szCs w:val="20"/>
              </w:rPr>
            </w:pPr>
            <w:r>
              <w:rPr>
                <w:szCs w:val="20"/>
                <w:lang w:bidi="ar"/>
              </w:rPr>
              <w:t xml:space="preserve">241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5</w:t>
            </w:r>
          </w:p>
        </w:tc>
        <w:tc>
          <w:tcPr>
            <w:tcW w:w="2109" w:type="dxa"/>
            <w:tcBorders>
              <w:tl2br w:val="nil"/>
              <w:tr2bl w:val="nil"/>
            </w:tcBorders>
            <w:vAlign w:val="center"/>
          </w:tcPr>
          <w:p w:rsidR="00971363" w:rsidRDefault="00971363" w:rsidP="00D201A6">
            <w:pPr>
              <w:ind w:firstLine="400"/>
              <w:jc w:val="center"/>
              <w:rPr>
                <w:szCs w:val="20"/>
              </w:rPr>
            </w:pPr>
            <w:r>
              <w:rPr>
                <w:szCs w:val="20"/>
              </w:rPr>
              <w:t>low cost DAC</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90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rPr>
              <w:t>135</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rPr>
              <w:t>193</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276 </w:t>
            </w:r>
          </w:p>
        </w:tc>
        <w:tc>
          <w:tcPr>
            <w:tcW w:w="1175" w:type="dxa"/>
            <w:vMerge w:val="restart"/>
            <w:tcBorders>
              <w:tl2br w:val="nil"/>
              <w:tr2bl w:val="nil"/>
            </w:tcBorders>
            <w:vAlign w:val="center"/>
          </w:tcPr>
          <w:p w:rsidR="00971363" w:rsidRDefault="00971363" w:rsidP="00D201A6">
            <w:pPr>
              <w:widowControl/>
              <w:ind w:firstLine="400"/>
              <w:jc w:val="center"/>
              <w:rPr>
                <w:szCs w:val="20"/>
              </w:rPr>
            </w:pPr>
            <w:r>
              <w:rPr>
                <w:color w:val="000000"/>
                <w:szCs w:val="20"/>
                <w:vertAlign w:val="superscript"/>
              </w:rPr>
              <w:t>5</w:t>
            </w: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szCs w:val="20"/>
              </w:rPr>
              <w:t>high cost DAC</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90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rPr>
              <w:t>135</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rPr>
              <w:t>220</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440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szCs w:val="20"/>
              </w:rPr>
              <w:t>no DAC</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90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rPr>
              <w:t>135</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rPr>
              <w:t>220</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667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6</w:t>
            </w: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Stated Policies</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30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45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55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65 </w:t>
            </w:r>
          </w:p>
        </w:tc>
        <w:tc>
          <w:tcPr>
            <w:tcW w:w="1175" w:type="dxa"/>
            <w:vMerge w:val="restart"/>
            <w:tcBorders>
              <w:tl2br w:val="nil"/>
              <w:tr2bl w:val="nil"/>
            </w:tcBorders>
            <w:vAlign w:val="center"/>
          </w:tcPr>
          <w:p w:rsidR="00971363" w:rsidRDefault="00971363" w:rsidP="00D201A6">
            <w:pPr>
              <w:widowControl/>
              <w:ind w:firstLine="400"/>
              <w:jc w:val="center"/>
              <w:rPr>
                <w:szCs w:val="20"/>
              </w:rPr>
            </w:pPr>
            <w:r>
              <w:rPr>
                <w:color w:val="000000"/>
                <w:szCs w:val="20"/>
                <w:vertAlign w:val="superscript"/>
              </w:rPr>
              <w:t>6</w:t>
            </w: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Announced Pledges</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30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95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160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220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233"/>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2050NZ</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90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160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200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250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tcBorders>
              <w:tl2br w:val="nil"/>
              <w:tr2bl w:val="nil"/>
            </w:tcBorders>
            <w:vAlign w:val="center"/>
          </w:tcPr>
          <w:p w:rsidR="00971363" w:rsidRDefault="00971363" w:rsidP="00D201A6">
            <w:pPr>
              <w:ind w:firstLine="400"/>
              <w:jc w:val="center"/>
              <w:rPr>
                <w:szCs w:val="20"/>
              </w:rPr>
            </w:pPr>
            <w:r>
              <w:rPr>
                <w:szCs w:val="20"/>
              </w:rPr>
              <w:t>7</w:t>
            </w: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2050NZ</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194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397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772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1495 </w:t>
            </w:r>
          </w:p>
        </w:tc>
        <w:tc>
          <w:tcPr>
            <w:tcW w:w="1175" w:type="dxa"/>
            <w:tcBorders>
              <w:tl2br w:val="nil"/>
              <w:tr2bl w:val="nil"/>
            </w:tcBorders>
            <w:vAlign w:val="center"/>
          </w:tcPr>
          <w:p w:rsidR="00971363" w:rsidRDefault="00971363" w:rsidP="00D201A6">
            <w:pPr>
              <w:ind w:firstLine="400"/>
              <w:jc w:val="center"/>
              <w:rPr>
                <w:szCs w:val="20"/>
              </w:rPr>
            </w:pPr>
            <w:r>
              <w:rPr>
                <w:color w:val="000000"/>
                <w:szCs w:val="20"/>
                <w:vertAlign w:val="superscript"/>
              </w:rPr>
              <w:t>7</w:t>
            </w:r>
          </w:p>
        </w:tc>
      </w:tr>
      <w:tr w:rsidR="00971363" w:rsidTr="00D201A6">
        <w:trPr>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8</w:t>
            </w: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BAU</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17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29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41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54 </w:t>
            </w:r>
          </w:p>
        </w:tc>
        <w:tc>
          <w:tcPr>
            <w:tcW w:w="1175" w:type="dxa"/>
            <w:vMerge w:val="restart"/>
            <w:tcBorders>
              <w:tl2br w:val="nil"/>
              <w:tr2bl w:val="nil"/>
            </w:tcBorders>
            <w:vAlign w:val="center"/>
          </w:tcPr>
          <w:p w:rsidR="00971363" w:rsidRDefault="00971363" w:rsidP="00D201A6">
            <w:pPr>
              <w:ind w:firstLine="400"/>
              <w:jc w:val="center"/>
              <w:rPr>
                <w:szCs w:val="20"/>
              </w:rPr>
            </w:pPr>
            <w:r>
              <w:rPr>
                <w:szCs w:val="20"/>
                <w:vertAlign w:val="superscript"/>
              </w:rPr>
              <w:t>8</w:t>
            </w: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2060NZ</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42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107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241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tcBorders>
              <w:tl2br w:val="nil"/>
              <w:tr2bl w:val="nil"/>
            </w:tcBorders>
            <w:vAlign w:val="center"/>
          </w:tcPr>
          <w:p w:rsidR="00971363" w:rsidRDefault="00971363" w:rsidP="00D201A6">
            <w:pPr>
              <w:ind w:firstLine="400"/>
              <w:jc w:val="center"/>
              <w:rPr>
                <w:szCs w:val="20"/>
              </w:rPr>
            </w:pPr>
            <w:r>
              <w:rPr>
                <w:szCs w:val="20"/>
              </w:rPr>
              <w:t>9</w:t>
            </w:r>
          </w:p>
        </w:tc>
        <w:tc>
          <w:tcPr>
            <w:tcW w:w="2109" w:type="dxa"/>
            <w:tcBorders>
              <w:tl2br w:val="nil"/>
              <w:tr2bl w:val="nil"/>
            </w:tcBorders>
            <w:vAlign w:val="center"/>
          </w:tcPr>
          <w:p w:rsidR="00971363" w:rsidRDefault="00971363" w:rsidP="00D201A6">
            <w:pPr>
              <w:ind w:firstLine="400"/>
              <w:jc w:val="center"/>
              <w:rPr>
                <w:szCs w:val="20"/>
              </w:rPr>
            </w:pPr>
            <w:r>
              <w:rPr>
                <w:szCs w:val="20"/>
              </w:rPr>
              <w:t>2060NZ</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16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43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112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407 </w:t>
            </w:r>
          </w:p>
        </w:tc>
        <w:tc>
          <w:tcPr>
            <w:tcW w:w="1175" w:type="dxa"/>
            <w:tcBorders>
              <w:tl2br w:val="nil"/>
              <w:tr2bl w:val="nil"/>
            </w:tcBorders>
            <w:vAlign w:val="center"/>
          </w:tcPr>
          <w:p w:rsidR="00971363" w:rsidRDefault="00971363" w:rsidP="00D201A6">
            <w:pPr>
              <w:ind w:firstLine="400"/>
              <w:jc w:val="center"/>
              <w:rPr>
                <w:szCs w:val="20"/>
              </w:rPr>
            </w:pPr>
            <w:r>
              <w:rPr>
                <w:szCs w:val="20"/>
                <w:vertAlign w:val="superscript"/>
              </w:rPr>
              <w:t>9</w:t>
            </w:r>
          </w:p>
        </w:tc>
      </w:tr>
      <w:tr w:rsidR="00971363" w:rsidTr="00D201A6">
        <w:trPr>
          <w:jc w:val="center"/>
        </w:trPr>
        <w:tc>
          <w:tcPr>
            <w:tcW w:w="8080" w:type="dxa"/>
            <w:gridSpan w:val="7"/>
            <w:tcBorders>
              <w:tl2br w:val="nil"/>
              <w:tr2bl w:val="nil"/>
            </w:tcBorders>
            <w:vAlign w:val="center"/>
          </w:tcPr>
          <w:p w:rsidR="00971363" w:rsidRDefault="00971363" w:rsidP="00D201A6">
            <w:pPr>
              <w:ind w:firstLine="402"/>
              <w:jc w:val="left"/>
              <w:rPr>
                <w:b/>
                <w:bCs/>
                <w:szCs w:val="20"/>
                <w:vertAlign w:val="superscript"/>
              </w:rPr>
            </w:pPr>
            <w:r>
              <w:rPr>
                <w:b/>
                <w:bCs/>
                <w:szCs w:val="20"/>
              </w:rPr>
              <w:t>Global</w:t>
            </w:r>
          </w:p>
        </w:tc>
      </w:tr>
      <w:tr w:rsidR="00971363" w:rsidTr="00D201A6">
        <w:trPr>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10</w:t>
            </w: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AIM/CGE</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188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348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429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527 </w:t>
            </w:r>
          </w:p>
        </w:tc>
        <w:tc>
          <w:tcPr>
            <w:tcW w:w="1175" w:type="dxa"/>
            <w:vMerge w:val="restart"/>
            <w:tcBorders>
              <w:tl2br w:val="nil"/>
              <w:tr2bl w:val="nil"/>
            </w:tcBorders>
            <w:vAlign w:val="center"/>
          </w:tcPr>
          <w:p w:rsidR="00971363" w:rsidRDefault="00971363" w:rsidP="00D201A6">
            <w:pPr>
              <w:ind w:firstLine="400"/>
              <w:jc w:val="center"/>
              <w:rPr>
                <w:szCs w:val="20"/>
              </w:rPr>
            </w:pPr>
            <w:r>
              <w:rPr>
                <w:szCs w:val="20"/>
                <w:vertAlign w:val="superscript"/>
              </w:rPr>
              <w:t>10</w:t>
            </w: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GCAM4</w:t>
            </w:r>
          </w:p>
        </w:tc>
        <w:tc>
          <w:tcPr>
            <w:tcW w:w="1131" w:type="dxa"/>
            <w:tcBorders>
              <w:tl2br w:val="nil"/>
              <w:tr2bl w:val="nil"/>
            </w:tcBorders>
            <w:vAlign w:val="center"/>
          </w:tcPr>
          <w:p w:rsidR="00971363" w:rsidRDefault="00971363" w:rsidP="00D201A6">
            <w:pPr>
              <w:ind w:firstLine="400"/>
              <w:jc w:val="center"/>
              <w:rPr>
                <w:color w:val="000000"/>
                <w:szCs w:val="20"/>
              </w:rPr>
            </w:pP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179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286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475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IMAGE</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67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165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384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740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MESSAGE-GLOBIOM</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63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96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152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246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REMIND-</w:t>
            </w:r>
            <w:proofErr w:type="spellStart"/>
            <w:r>
              <w:rPr>
                <w:color w:val="000000"/>
                <w:szCs w:val="20"/>
              </w:rPr>
              <w:t>MagPIE</w:t>
            </w:r>
            <w:proofErr w:type="spellEnd"/>
          </w:p>
        </w:tc>
        <w:tc>
          <w:tcPr>
            <w:tcW w:w="1131" w:type="dxa"/>
            <w:tcBorders>
              <w:tl2br w:val="nil"/>
              <w:tr2bl w:val="nil"/>
            </w:tcBorders>
            <w:vAlign w:val="center"/>
          </w:tcPr>
          <w:p w:rsidR="00971363" w:rsidRDefault="00971363" w:rsidP="00D201A6">
            <w:pPr>
              <w:ind w:firstLine="400"/>
              <w:jc w:val="center"/>
              <w:rPr>
                <w:color w:val="000000"/>
                <w:szCs w:val="20"/>
              </w:rPr>
            </w:pP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223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353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612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285"/>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WITCH-GLOBIOM</w:t>
            </w:r>
          </w:p>
        </w:tc>
        <w:tc>
          <w:tcPr>
            <w:tcW w:w="1131"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670 </w:t>
            </w:r>
          </w:p>
        </w:tc>
        <w:tc>
          <w:tcPr>
            <w:tcW w:w="1044"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1071 </w:t>
            </w:r>
          </w:p>
        </w:tc>
        <w:tc>
          <w:tcPr>
            <w:tcW w:w="1078" w:type="dxa"/>
            <w:tcBorders>
              <w:tl2br w:val="nil"/>
              <w:tr2bl w:val="nil"/>
            </w:tcBorders>
            <w:vAlign w:val="center"/>
          </w:tcPr>
          <w:p w:rsidR="00971363" w:rsidRDefault="00971363" w:rsidP="00D201A6">
            <w:pPr>
              <w:widowControl/>
              <w:ind w:firstLine="400"/>
              <w:jc w:val="center"/>
              <w:textAlignment w:val="center"/>
              <w:rPr>
                <w:color w:val="000000"/>
                <w:szCs w:val="20"/>
              </w:rPr>
            </w:pPr>
            <w:r>
              <w:rPr>
                <w:color w:val="000000"/>
                <w:szCs w:val="20"/>
                <w:lang w:bidi="ar"/>
              </w:rPr>
              <w:t xml:space="preserve">1821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3045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275"/>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11</w:t>
            </w: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w:t>
            </w:r>
            <w:r>
              <w:rPr>
                <w:rFonts w:hint="eastAsia"/>
                <w:color w:val="000000"/>
                <w:szCs w:val="20"/>
              </w:rPr>
              <w:t>℃（</w:t>
            </w:r>
            <w:r>
              <w:rPr>
                <w:color w:val="000000"/>
                <w:szCs w:val="20"/>
              </w:rPr>
              <w:t>high</w:t>
            </w:r>
            <w:r>
              <w:rPr>
                <w:rFonts w:hint="eastAsia"/>
                <w:color w:val="000000"/>
                <w:szCs w:val="20"/>
              </w:rPr>
              <w:t>）</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19 </w:t>
            </w:r>
          </w:p>
        </w:tc>
        <w:tc>
          <w:tcPr>
            <w:tcW w:w="1044" w:type="dxa"/>
            <w:tcBorders>
              <w:tl2br w:val="nil"/>
              <w:tr2bl w:val="nil"/>
            </w:tcBorders>
            <w:vAlign w:val="center"/>
          </w:tcPr>
          <w:p w:rsidR="00971363" w:rsidRDefault="00971363" w:rsidP="00D201A6">
            <w:pPr>
              <w:ind w:firstLine="400"/>
              <w:jc w:val="center"/>
              <w:rPr>
                <w:szCs w:val="20"/>
              </w:rPr>
            </w:pPr>
            <w:r>
              <w:rPr>
                <w:szCs w:val="20"/>
              </w:rPr>
              <w:t>-</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57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107 </w:t>
            </w:r>
          </w:p>
        </w:tc>
        <w:tc>
          <w:tcPr>
            <w:tcW w:w="1175" w:type="dxa"/>
            <w:vMerge w:val="restart"/>
            <w:tcBorders>
              <w:tl2br w:val="nil"/>
              <w:tr2bl w:val="nil"/>
            </w:tcBorders>
            <w:vAlign w:val="center"/>
          </w:tcPr>
          <w:p w:rsidR="00971363" w:rsidRDefault="00971363" w:rsidP="00D201A6">
            <w:pPr>
              <w:ind w:firstLine="400"/>
              <w:jc w:val="center"/>
              <w:rPr>
                <w:szCs w:val="20"/>
              </w:rPr>
            </w:pPr>
            <w:r>
              <w:rPr>
                <w:szCs w:val="20"/>
                <w:vertAlign w:val="superscript"/>
              </w:rPr>
              <w:t>11</w:t>
            </w:r>
          </w:p>
        </w:tc>
      </w:tr>
      <w:tr w:rsidR="00971363" w:rsidTr="00D201A6">
        <w:trPr>
          <w:trHeight w:val="238"/>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w:t>
            </w:r>
            <w:r>
              <w:rPr>
                <w:rFonts w:hint="eastAsia"/>
                <w:color w:val="000000"/>
                <w:szCs w:val="20"/>
              </w:rPr>
              <w:t>℃（</w:t>
            </w:r>
            <w:r>
              <w:rPr>
                <w:color w:val="000000"/>
                <w:szCs w:val="20"/>
              </w:rPr>
              <w:t>low</w:t>
            </w:r>
            <w:r>
              <w:rPr>
                <w:rFonts w:hint="eastAsia"/>
                <w:color w:val="000000"/>
                <w:szCs w:val="20"/>
              </w:rPr>
              <w:t>）</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278 </w:t>
            </w:r>
          </w:p>
        </w:tc>
        <w:tc>
          <w:tcPr>
            <w:tcW w:w="1044" w:type="dxa"/>
            <w:tcBorders>
              <w:tl2br w:val="nil"/>
              <w:tr2bl w:val="nil"/>
            </w:tcBorders>
            <w:vAlign w:val="center"/>
          </w:tcPr>
          <w:p w:rsidR="00971363" w:rsidRDefault="00971363" w:rsidP="00D201A6">
            <w:pPr>
              <w:ind w:firstLine="400"/>
              <w:jc w:val="center"/>
              <w:rPr>
                <w:szCs w:val="20"/>
              </w:rPr>
            </w:pPr>
            <w:r>
              <w:rPr>
                <w:szCs w:val="20"/>
              </w:rPr>
              <w:t>-</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1327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1360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199"/>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1.5</w:t>
            </w:r>
            <w:r>
              <w:rPr>
                <w:rFonts w:hint="eastAsia"/>
                <w:color w:val="000000"/>
                <w:szCs w:val="20"/>
              </w:rPr>
              <w:t>℃（</w:t>
            </w:r>
            <w:r>
              <w:rPr>
                <w:color w:val="000000"/>
                <w:szCs w:val="20"/>
              </w:rPr>
              <w:t>high</w:t>
            </w:r>
            <w:r>
              <w:rPr>
                <w:rFonts w:hint="eastAsia"/>
                <w:color w:val="000000"/>
                <w:szCs w:val="20"/>
              </w:rPr>
              <w:t>）</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171 </w:t>
            </w:r>
          </w:p>
        </w:tc>
        <w:tc>
          <w:tcPr>
            <w:tcW w:w="1044" w:type="dxa"/>
            <w:tcBorders>
              <w:tl2br w:val="nil"/>
              <w:tr2bl w:val="nil"/>
            </w:tcBorders>
            <w:vAlign w:val="center"/>
          </w:tcPr>
          <w:p w:rsidR="00971363" w:rsidRDefault="00971363" w:rsidP="00D201A6">
            <w:pPr>
              <w:ind w:firstLine="400"/>
              <w:jc w:val="center"/>
              <w:rPr>
                <w:szCs w:val="20"/>
              </w:rPr>
            </w:pPr>
            <w:r>
              <w:rPr>
                <w:szCs w:val="20"/>
              </w:rPr>
              <w:t>-</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310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430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44"/>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1.5</w:t>
            </w:r>
            <w:r>
              <w:rPr>
                <w:rFonts w:hint="eastAsia"/>
                <w:color w:val="000000"/>
                <w:szCs w:val="20"/>
              </w:rPr>
              <w:t>℃（</w:t>
            </w:r>
            <w:r>
              <w:rPr>
                <w:color w:val="000000"/>
                <w:szCs w:val="20"/>
              </w:rPr>
              <w:t>low</w:t>
            </w:r>
            <w:r>
              <w:rPr>
                <w:rFonts w:hint="eastAsia"/>
                <w:color w:val="000000"/>
                <w:szCs w:val="20"/>
              </w:rPr>
              <w:t>）</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7646 </w:t>
            </w:r>
          </w:p>
        </w:tc>
        <w:tc>
          <w:tcPr>
            <w:tcW w:w="1044" w:type="dxa"/>
            <w:tcBorders>
              <w:tl2br w:val="nil"/>
              <w:tr2bl w:val="nil"/>
            </w:tcBorders>
            <w:vAlign w:val="center"/>
          </w:tcPr>
          <w:p w:rsidR="00971363" w:rsidRDefault="00971363" w:rsidP="00D201A6">
            <w:pPr>
              <w:ind w:firstLine="400"/>
              <w:jc w:val="center"/>
              <w:rPr>
                <w:szCs w:val="20"/>
              </w:rPr>
            </w:pPr>
            <w:r>
              <w:rPr>
                <w:szCs w:val="20"/>
              </w:rPr>
              <w:t>-</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18071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21483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266"/>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12</w:t>
            </w: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NDC scenario</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10 </w:t>
            </w:r>
          </w:p>
        </w:tc>
        <w:tc>
          <w:tcPr>
            <w:tcW w:w="1044"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27 </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41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62 </w:t>
            </w:r>
          </w:p>
        </w:tc>
        <w:tc>
          <w:tcPr>
            <w:tcW w:w="1175" w:type="dxa"/>
            <w:vMerge w:val="restart"/>
            <w:tcBorders>
              <w:tl2br w:val="nil"/>
              <w:tr2bl w:val="nil"/>
            </w:tcBorders>
            <w:vAlign w:val="center"/>
          </w:tcPr>
          <w:p w:rsidR="00971363" w:rsidRDefault="00971363" w:rsidP="00D201A6">
            <w:pPr>
              <w:ind w:firstLine="400"/>
              <w:jc w:val="center"/>
              <w:rPr>
                <w:szCs w:val="20"/>
              </w:rPr>
            </w:pPr>
            <w:r>
              <w:rPr>
                <w:szCs w:val="20"/>
                <w:vertAlign w:val="superscript"/>
              </w:rPr>
              <w:t>12</w:t>
            </w:r>
          </w:p>
        </w:tc>
      </w:tr>
      <w:tr w:rsidR="00971363" w:rsidTr="00D201A6">
        <w:trPr>
          <w:trHeight w:val="271"/>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w:t>
            </w:r>
            <w:r>
              <w:rPr>
                <w:rFonts w:hint="eastAsia"/>
                <w:color w:val="000000"/>
                <w:szCs w:val="20"/>
              </w:rPr>
              <w:t>℃</w:t>
            </w:r>
            <w:r>
              <w:rPr>
                <w:color w:val="000000"/>
                <w:szCs w:val="20"/>
              </w:rPr>
              <w:t xml:space="preserve"> scenario</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77 </w:t>
            </w:r>
          </w:p>
        </w:tc>
        <w:tc>
          <w:tcPr>
            <w:tcW w:w="1044"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132 </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239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312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190"/>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1.5</w:t>
            </w:r>
            <w:r>
              <w:rPr>
                <w:rFonts w:hint="eastAsia"/>
                <w:color w:val="000000"/>
                <w:szCs w:val="20"/>
              </w:rPr>
              <w:t>℃</w:t>
            </w:r>
            <w:r>
              <w:rPr>
                <w:color w:val="000000"/>
                <w:szCs w:val="20"/>
              </w:rPr>
              <w:t xml:space="preserve"> scenario</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228 </w:t>
            </w:r>
          </w:p>
        </w:tc>
        <w:tc>
          <w:tcPr>
            <w:tcW w:w="1044"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460 </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829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1121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151"/>
          <w:jc w:val="center"/>
        </w:trPr>
        <w:tc>
          <w:tcPr>
            <w:tcW w:w="493" w:type="dxa"/>
            <w:vMerge w:val="restart"/>
            <w:tcBorders>
              <w:tl2br w:val="nil"/>
              <w:tr2bl w:val="nil"/>
            </w:tcBorders>
            <w:vAlign w:val="center"/>
          </w:tcPr>
          <w:p w:rsidR="00971363" w:rsidRDefault="00971363" w:rsidP="00D201A6">
            <w:pPr>
              <w:ind w:firstLine="400"/>
              <w:jc w:val="center"/>
              <w:rPr>
                <w:szCs w:val="20"/>
              </w:rPr>
            </w:pPr>
            <w:r>
              <w:rPr>
                <w:szCs w:val="20"/>
              </w:rPr>
              <w:t>13</w:t>
            </w: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NDC scenario</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40 </w:t>
            </w:r>
          </w:p>
        </w:tc>
        <w:tc>
          <w:tcPr>
            <w:tcW w:w="1044"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27 </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25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22 </w:t>
            </w:r>
          </w:p>
        </w:tc>
        <w:tc>
          <w:tcPr>
            <w:tcW w:w="1175" w:type="dxa"/>
            <w:vMerge w:val="restart"/>
            <w:tcBorders>
              <w:tl2br w:val="nil"/>
              <w:tr2bl w:val="nil"/>
            </w:tcBorders>
            <w:vAlign w:val="center"/>
          </w:tcPr>
          <w:p w:rsidR="00971363" w:rsidRDefault="00971363" w:rsidP="00D201A6">
            <w:pPr>
              <w:ind w:firstLine="400"/>
              <w:jc w:val="center"/>
              <w:rPr>
                <w:szCs w:val="20"/>
              </w:rPr>
            </w:pPr>
            <w:r>
              <w:rPr>
                <w:szCs w:val="20"/>
                <w:vertAlign w:val="superscript"/>
              </w:rPr>
              <w:t>13</w:t>
            </w:r>
            <w:bookmarkStart w:id="4" w:name="_GoBack"/>
            <w:bookmarkEnd w:id="4"/>
          </w:p>
        </w:tc>
      </w:tr>
      <w:tr w:rsidR="00971363" w:rsidTr="00D201A6">
        <w:trPr>
          <w:trHeight w:val="220"/>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2</w:t>
            </w:r>
            <w:r>
              <w:rPr>
                <w:rFonts w:hint="eastAsia"/>
                <w:color w:val="000000"/>
                <w:szCs w:val="20"/>
              </w:rPr>
              <w:t>℃</w:t>
            </w:r>
            <w:r>
              <w:rPr>
                <w:color w:val="000000"/>
                <w:szCs w:val="20"/>
              </w:rPr>
              <w:t xml:space="preserve"> scenario</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125 </w:t>
            </w:r>
          </w:p>
        </w:tc>
        <w:tc>
          <w:tcPr>
            <w:tcW w:w="1044"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153 </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212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260 </w:t>
            </w:r>
          </w:p>
        </w:tc>
        <w:tc>
          <w:tcPr>
            <w:tcW w:w="1175" w:type="dxa"/>
            <w:vMerge/>
            <w:tcBorders>
              <w:tl2br w:val="nil"/>
              <w:tr2bl w:val="nil"/>
            </w:tcBorders>
            <w:vAlign w:val="center"/>
          </w:tcPr>
          <w:p w:rsidR="00971363" w:rsidRDefault="00971363" w:rsidP="00D201A6">
            <w:pPr>
              <w:ind w:firstLine="400"/>
              <w:jc w:val="center"/>
              <w:rPr>
                <w:szCs w:val="20"/>
              </w:rPr>
            </w:pPr>
          </w:p>
        </w:tc>
      </w:tr>
      <w:tr w:rsidR="00971363" w:rsidTr="00D201A6">
        <w:trPr>
          <w:trHeight w:val="168"/>
          <w:jc w:val="center"/>
        </w:trPr>
        <w:tc>
          <w:tcPr>
            <w:tcW w:w="493" w:type="dxa"/>
            <w:vMerge/>
            <w:tcBorders>
              <w:tl2br w:val="nil"/>
              <w:tr2bl w:val="nil"/>
            </w:tcBorders>
            <w:vAlign w:val="center"/>
          </w:tcPr>
          <w:p w:rsidR="00971363" w:rsidRDefault="00971363" w:rsidP="00D201A6">
            <w:pPr>
              <w:ind w:firstLine="400"/>
              <w:jc w:val="center"/>
              <w:rPr>
                <w:szCs w:val="20"/>
              </w:rPr>
            </w:pPr>
          </w:p>
        </w:tc>
        <w:tc>
          <w:tcPr>
            <w:tcW w:w="2109" w:type="dxa"/>
            <w:tcBorders>
              <w:tl2br w:val="nil"/>
              <w:tr2bl w:val="nil"/>
            </w:tcBorders>
            <w:vAlign w:val="center"/>
          </w:tcPr>
          <w:p w:rsidR="00971363" w:rsidRDefault="00971363" w:rsidP="00D201A6">
            <w:pPr>
              <w:ind w:firstLine="400"/>
              <w:jc w:val="center"/>
              <w:rPr>
                <w:szCs w:val="20"/>
              </w:rPr>
            </w:pPr>
            <w:r>
              <w:rPr>
                <w:color w:val="000000"/>
                <w:szCs w:val="20"/>
              </w:rPr>
              <w:t>1.5</w:t>
            </w:r>
            <w:r>
              <w:rPr>
                <w:rFonts w:hint="eastAsia"/>
                <w:color w:val="000000"/>
                <w:szCs w:val="20"/>
              </w:rPr>
              <w:t>℃</w:t>
            </w:r>
            <w:r>
              <w:rPr>
                <w:color w:val="000000"/>
                <w:szCs w:val="20"/>
              </w:rPr>
              <w:t xml:space="preserve"> scenario</w:t>
            </w:r>
          </w:p>
        </w:tc>
        <w:tc>
          <w:tcPr>
            <w:tcW w:w="1131"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234 </w:t>
            </w:r>
          </w:p>
        </w:tc>
        <w:tc>
          <w:tcPr>
            <w:tcW w:w="1044"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299 </w:t>
            </w:r>
          </w:p>
        </w:tc>
        <w:tc>
          <w:tcPr>
            <w:tcW w:w="1078" w:type="dxa"/>
            <w:tcBorders>
              <w:tl2br w:val="nil"/>
              <w:tr2bl w:val="nil"/>
            </w:tcBorders>
            <w:vAlign w:val="center"/>
          </w:tcPr>
          <w:p w:rsidR="00971363" w:rsidRDefault="00971363" w:rsidP="00D201A6">
            <w:pPr>
              <w:widowControl/>
              <w:ind w:firstLine="400"/>
              <w:jc w:val="center"/>
              <w:textAlignment w:val="center"/>
              <w:rPr>
                <w:szCs w:val="20"/>
              </w:rPr>
            </w:pPr>
            <w:r>
              <w:rPr>
                <w:color w:val="000000"/>
                <w:szCs w:val="20"/>
                <w:lang w:bidi="ar"/>
              </w:rPr>
              <w:t xml:space="preserve">303 </w:t>
            </w:r>
          </w:p>
        </w:tc>
        <w:tc>
          <w:tcPr>
            <w:tcW w:w="1050" w:type="dxa"/>
            <w:tcBorders>
              <w:tl2br w:val="nil"/>
              <w:tr2bl w:val="nil"/>
            </w:tcBorders>
            <w:vAlign w:val="center"/>
          </w:tcPr>
          <w:p w:rsidR="00971363" w:rsidRDefault="00971363" w:rsidP="00D201A6">
            <w:pPr>
              <w:widowControl/>
              <w:ind w:firstLine="400"/>
              <w:jc w:val="center"/>
              <w:textAlignment w:val="center"/>
              <w:rPr>
                <w:szCs w:val="20"/>
              </w:rPr>
            </w:pPr>
            <w:r>
              <w:rPr>
                <w:szCs w:val="20"/>
                <w:lang w:bidi="ar"/>
              </w:rPr>
              <w:t xml:space="preserve">305 </w:t>
            </w:r>
          </w:p>
        </w:tc>
        <w:tc>
          <w:tcPr>
            <w:tcW w:w="1175" w:type="dxa"/>
            <w:vMerge/>
            <w:tcBorders>
              <w:tl2br w:val="nil"/>
              <w:tr2bl w:val="nil"/>
            </w:tcBorders>
            <w:vAlign w:val="center"/>
          </w:tcPr>
          <w:p w:rsidR="00971363" w:rsidRDefault="00971363" w:rsidP="00D201A6">
            <w:pPr>
              <w:ind w:firstLine="400"/>
              <w:jc w:val="center"/>
              <w:rPr>
                <w:szCs w:val="20"/>
              </w:rPr>
            </w:pPr>
          </w:p>
        </w:tc>
      </w:tr>
    </w:tbl>
    <w:p w:rsidR="00971363" w:rsidRDefault="00971363" w:rsidP="00971363">
      <w:pPr>
        <w:ind w:firstLine="400"/>
        <w:rPr>
          <w:rFonts w:ascii="Times New Roman" w:hAnsi="Times New Roman" w:cs="Times New Roman"/>
          <w:sz w:val="20"/>
          <w:szCs w:val="20"/>
        </w:rPr>
      </w:pPr>
      <w:r>
        <w:rPr>
          <w:rFonts w:ascii="Times New Roman" w:hAnsi="Times New Roman" w:cs="Times New Roman"/>
          <w:sz w:val="20"/>
          <w:szCs w:val="20"/>
        </w:rPr>
        <w:t xml:space="preserve">* Some studies only specify the carbon price by 2050, and this paper extrapolates China’s carbon </w:t>
      </w:r>
      <w:r>
        <w:rPr>
          <w:rFonts w:ascii="Times New Roman" w:hAnsi="Times New Roman" w:cs="Times New Roman"/>
          <w:sz w:val="20"/>
          <w:szCs w:val="20"/>
        </w:rPr>
        <w:lastRenderedPageBreak/>
        <w:t>price in 2060 along with its changing trend.</w:t>
      </w:r>
    </w:p>
    <w:p w:rsidR="00971363" w:rsidRDefault="00971363" w:rsidP="00971363">
      <w:pPr>
        <w:ind w:firstLine="400"/>
        <w:rPr>
          <w:rFonts w:ascii="Times New Roman" w:hAnsi="Times New Roman" w:cs="Times New Roman"/>
          <w:sz w:val="20"/>
          <w:szCs w:val="20"/>
        </w:rPr>
      </w:pPr>
    </w:p>
    <w:p w:rsidR="00971363" w:rsidRDefault="00971363" w:rsidP="00971363">
      <w:pPr>
        <w:ind w:firstLine="402"/>
        <w:jc w:val="center"/>
        <w:outlineLvl w:val="1"/>
        <w:rPr>
          <w:rFonts w:ascii="Times New Roman" w:hAnsi="Times New Roman" w:cs="Times New Roman"/>
          <w:b/>
          <w:bCs/>
          <w:color w:val="000000"/>
          <w:kern w:val="0"/>
          <w:sz w:val="20"/>
          <w:szCs w:val="20"/>
          <w:lang w:bidi="ar"/>
        </w:rPr>
      </w:pPr>
      <w:bookmarkStart w:id="5" w:name="_Toc135599715"/>
      <w:bookmarkStart w:id="6" w:name="_Toc14383"/>
      <w:bookmarkStart w:id="7" w:name="_Toc20298"/>
      <w:r>
        <w:rPr>
          <w:rFonts w:ascii="Times New Roman" w:hAnsi="Times New Roman" w:cs="Times New Roman"/>
          <w:b/>
          <w:bCs/>
          <w:sz w:val="20"/>
          <w:szCs w:val="20"/>
        </w:rPr>
        <w:t xml:space="preserve">Table </w:t>
      </w:r>
      <w:r>
        <w:rPr>
          <w:rFonts w:ascii="Times New Roman" w:hAnsi="Times New Roman" w:cs="Times New Roman" w:hint="eastAsia"/>
          <w:b/>
          <w:bCs/>
          <w:sz w:val="20"/>
          <w:szCs w:val="20"/>
        </w:rPr>
        <w:t xml:space="preserve">S4 | </w:t>
      </w:r>
      <w:r>
        <w:rPr>
          <w:rFonts w:ascii="Times New Roman" w:hAnsi="Times New Roman" w:cs="Times New Roman"/>
          <w:b/>
          <w:bCs/>
          <w:sz w:val="20"/>
          <w:szCs w:val="20"/>
        </w:rPr>
        <w:t>The CO</w:t>
      </w:r>
      <w:r>
        <w:rPr>
          <w:rFonts w:ascii="Times New Roman" w:hAnsi="Times New Roman" w:cs="Times New Roman"/>
          <w:b/>
          <w:bCs/>
          <w:sz w:val="20"/>
          <w:szCs w:val="20"/>
          <w:vertAlign w:val="subscript"/>
        </w:rPr>
        <w:t>2</w:t>
      </w:r>
      <w:r>
        <w:rPr>
          <w:rFonts w:ascii="Times New Roman" w:hAnsi="Times New Roman" w:cs="Times New Roman"/>
          <w:b/>
          <w:bCs/>
          <w:sz w:val="20"/>
          <w:szCs w:val="20"/>
        </w:rPr>
        <w:t xml:space="preserve"> prices for industries and residents</w:t>
      </w:r>
      <w:r>
        <w:rPr>
          <w:rFonts w:ascii="Times New Roman" w:eastAsia="宋体" w:hAnsi="Times New Roman" w:cs="Times New Roman"/>
          <w:b/>
          <w:bCs/>
          <w:color w:val="000000"/>
          <w:kern w:val="0"/>
          <w:sz w:val="20"/>
          <w:szCs w:val="20"/>
          <w:lang w:bidi="ar"/>
        </w:rPr>
        <w:t xml:space="preserve"> in different scenarios</w:t>
      </w:r>
      <w:r>
        <w:rPr>
          <w:rFonts w:ascii="Times New Roman" w:eastAsia="宋体" w:hAnsi="Times New Roman" w:cs="Times New Roman" w:hint="eastAsia"/>
          <w:b/>
          <w:bCs/>
          <w:color w:val="000000"/>
          <w:kern w:val="0"/>
          <w:sz w:val="20"/>
          <w:szCs w:val="20"/>
          <w:lang w:bidi="ar"/>
        </w:rPr>
        <w:t xml:space="preserve"> </w:t>
      </w:r>
      <w:r>
        <w:rPr>
          <w:rFonts w:ascii="Times New Roman" w:eastAsia="宋体" w:hAnsi="Times New Roman" w:cs="Times New Roman"/>
          <w:b/>
          <w:bCs/>
          <w:color w:val="000000"/>
          <w:kern w:val="0"/>
          <w:sz w:val="20"/>
          <w:szCs w:val="20"/>
          <w:lang w:bidi="ar"/>
        </w:rPr>
        <w:t>(</w:t>
      </w:r>
      <w:r>
        <w:rPr>
          <w:rFonts w:ascii="Times New Roman" w:hAnsi="Times New Roman" w:cs="Times New Roman"/>
          <w:b/>
          <w:bCs/>
          <w:sz w:val="20"/>
          <w:szCs w:val="20"/>
        </w:rPr>
        <w:t>US$ per tCO</w:t>
      </w:r>
      <w:r>
        <w:rPr>
          <w:rFonts w:ascii="Times New Roman" w:hAnsi="Times New Roman" w:cs="Times New Roman"/>
          <w:b/>
          <w:bCs/>
          <w:sz w:val="20"/>
          <w:szCs w:val="20"/>
          <w:vertAlign w:val="subscript"/>
        </w:rPr>
        <w:t>2</w:t>
      </w:r>
      <w:r>
        <w:rPr>
          <w:rFonts w:ascii="Times New Roman" w:hAnsi="Times New Roman" w:cs="Times New Roman"/>
          <w:b/>
          <w:bCs/>
          <w:sz w:val="20"/>
          <w:szCs w:val="20"/>
        </w:rPr>
        <w:t>)</w:t>
      </w:r>
      <w:bookmarkEnd w:id="5"/>
      <w:bookmarkEnd w:id="6"/>
      <w:bookmarkEnd w:id="7"/>
    </w:p>
    <w:tbl>
      <w:tblPr>
        <w:tblW w:w="8363" w:type="dxa"/>
        <w:jc w:val="center"/>
        <w:tblBorders>
          <w:top w:val="single" w:sz="12" w:space="0" w:color="000000" w:themeColor="text1"/>
          <w:bottom w:val="single" w:sz="12" w:space="0" w:color="000000" w:themeColor="text1"/>
        </w:tblBorders>
        <w:tblLook w:val="04A0" w:firstRow="1" w:lastRow="0" w:firstColumn="1" w:lastColumn="0" w:noHBand="0" w:noVBand="1"/>
      </w:tblPr>
      <w:tblGrid>
        <w:gridCol w:w="1559"/>
        <w:gridCol w:w="1701"/>
        <w:gridCol w:w="1701"/>
        <w:gridCol w:w="1701"/>
        <w:gridCol w:w="1701"/>
      </w:tblGrid>
      <w:tr w:rsidR="00971363" w:rsidTr="00D201A6">
        <w:trPr>
          <w:trHeight w:val="415"/>
          <w:jc w:val="center"/>
        </w:trPr>
        <w:tc>
          <w:tcPr>
            <w:tcW w:w="1559" w:type="dxa"/>
            <w:tcBorders>
              <w:bottom w:val="single" w:sz="6" w:space="0" w:color="000000" w:themeColor="text1"/>
            </w:tcBorders>
            <w:shd w:val="clear" w:color="auto" w:fill="auto"/>
            <w:noWrap/>
            <w:vAlign w:val="center"/>
          </w:tcPr>
          <w:p w:rsidR="00971363" w:rsidRDefault="00971363" w:rsidP="00D201A6">
            <w:pPr>
              <w:ind w:firstLine="402"/>
              <w:jc w:val="center"/>
              <w:rPr>
                <w:rFonts w:ascii="Times New Roman" w:eastAsia="宋体" w:hAnsi="Times New Roman" w:cs="Times New Roman"/>
                <w:b/>
                <w:bCs/>
                <w:color w:val="000000"/>
                <w:sz w:val="20"/>
                <w:szCs w:val="20"/>
              </w:rPr>
            </w:pPr>
          </w:p>
        </w:tc>
        <w:tc>
          <w:tcPr>
            <w:tcW w:w="1701" w:type="dxa"/>
            <w:tcBorders>
              <w:bottom w:val="single" w:sz="6" w:space="0" w:color="000000" w:themeColor="text1"/>
            </w:tcBorders>
            <w:shd w:val="clear" w:color="auto" w:fill="auto"/>
            <w:noWrap/>
            <w:vAlign w:val="center"/>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2030</w:t>
            </w:r>
          </w:p>
        </w:tc>
        <w:tc>
          <w:tcPr>
            <w:tcW w:w="1701" w:type="dxa"/>
            <w:tcBorders>
              <w:bottom w:val="single" w:sz="6" w:space="0" w:color="000000" w:themeColor="text1"/>
            </w:tcBorders>
            <w:shd w:val="clear" w:color="auto" w:fill="auto"/>
            <w:noWrap/>
            <w:vAlign w:val="center"/>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2040</w:t>
            </w:r>
          </w:p>
        </w:tc>
        <w:tc>
          <w:tcPr>
            <w:tcW w:w="1701" w:type="dxa"/>
            <w:tcBorders>
              <w:bottom w:val="single" w:sz="6" w:space="0" w:color="000000" w:themeColor="text1"/>
            </w:tcBorders>
            <w:shd w:val="clear" w:color="auto" w:fill="auto"/>
            <w:noWrap/>
            <w:vAlign w:val="center"/>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2050</w:t>
            </w:r>
          </w:p>
        </w:tc>
        <w:tc>
          <w:tcPr>
            <w:tcW w:w="1701" w:type="dxa"/>
            <w:tcBorders>
              <w:bottom w:val="single" w:sz="6" w:space="0" w:color="000000" w:themeColor="text1"/>
            </w:tcBorders>
            <w:shd w:val="clear" w:color="auto" w:fill="auto"/>
            <w:noWrap/>
            <w:vAlign w:val="center"/>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2060</w:t>
            </w:r>
          </w:p>
        </w:tc>
      </w:tr>
      <w:tr w:rsidR="00971363" w:rsidTr="00D201A6">
        <w:trPr>
          <w:trHeight w:val="415"/>
          <w:jc w:val="center"/>
        </w:trPr>
        <w:tc>
          <w:tcPr>
            <w:tcW w:w="1559" w:type="dxa"/>
            <w:tcBorders>
              <w:top w:val="single" w:sz="6" w:space="0" w:color="000000" w:themeColor="text1"/>
              <w:tl2br w:val="nil"/>
              <w:tr2bl w:val="nil"/>
            </w:tcBorders>
            <w:shd w:val="clear" w:color="auto" w:fill="auto"/>
            <w:noWrap/>
            <w:vAlign w:val="center"/>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NDC</w:t>
            </w:r>
          </w:p>
        </w:tc>
        <w:tc>
          <w:tcPr>
            <w:tcW w:w="1701" w:type="dxa"/>
            <w:tcBorders>
              <w:top w:val="single" w:sz="6" w:space="0" w:color="000000" w:themeColor="text1"/>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15 </w:t>
            </w:r>
          </w:p>
        </w:tc>
        <w:tc>
          <w:tcPr>
            <w:tcW w:w="1701" w:type="dxa"/>
            <w:tcBorders>
              <w:top w:val="single" w:sz="6" w:space="0" w:color="000000" w:themeColor="text1"/>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23 </w:t>
            </w:r>
          </w:p>
        </w:tc>
        <w:tc>
          <w:tcPr>
            <w:tcW w:w="1701" w:type="dxa"/>
            <w:tcBorders>
              <w:top w:val="single" w:sz="6" w:space="0" w:color="000000" w:themeColor="text1"/>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34 </w:t>
            </w:r>
          </w:p>
        </w:tc>
        <w:tc>
          <w:tcPr>
            <w:tcW w:w="1701" w:type="dxa"/>
            <w:tcBorders>
              <w:top w:val="single" w:sz="6" w:space="0" w:color="000000" w:themeColor="text1"/>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50 </w:t>
            </w:r>
          </w:p>
        </w:tc>
      </w:tr>
      <w:tr w:rsidR="00971363" w:rsidTr="00D201A6">
        <w:trPr>
          <w:trHeight w:val="402"/>
          <w:jc w:val="center"/>
        </w:trPr>
        <w:tc>
          <w:tcPr>
            <w:tcW w:w="1559" w:type="dxa"/>
            <w:tcBorders>
              <w:tl2br w:val="nil"/>
              <w:tr2bl w:val="nil"/>
            </w:tcBorders>
            <w:shd w:val="clear" w:color="auto" w:fill="auto"/>
            <w:noWrap/>
            <w:vAlign w:val="bottom"/>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C1</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16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30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55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100 </w:t>
            </w:r>
          </w:p>
        </w:tc>
      </w:tr>
      <w:tr w:rsidR="00971363" w:rsidTr="00D201A6">
        <w:trPr>
          <w:trHeight w:val="402"/>
          <w:jc w:val="center"/>
        </w:trPr>
        <w:tc>
          <w:tcPr>
            <w:tcW w:w="1559" w:type="dxa"/>
            <w:tcBorders>
              <w:tl2br w:val="nil"/>
              <w:tr2bl w:val="nil"/>
            </w:tcBorders>
            <w:shd w:val="clear" w:color="auto" w:fill="auto"/>
            <w:noWrap/>
            <w:vAlign w:val="bottom"/>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C2</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17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35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73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150 </w:t>
            </w:r>
          </w:p>
        </w:tc>
      </w:tr>
      <w:tr w:rsidR="00971363" w:rsidTr="00D201A6">
        <w:trPr>
          <w:trHeight w:val="402"/>
          <w:jc w:val="center"/>
        </w:trPr>
        <w:tc>
          <w:tcPr>
            <w:tcW w:w="1559" w:type="dxa"/>
            <w:tcBorders>
              <w:tl2br w:val="nil"/>
              <w:tr2bl w:val="nil"/>
            </w:tcBorders>
            <w:shd w:val="clear" w:color="auto" w:fill="auto"/>
            <w:noWrap/>
            <w:vAlign w:val="bottom"/>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C3</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18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40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90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200 </w:t>
            </w:r>
          </w:p>
        </w:tc>
      </w:tr>
      <w:tr w:rsidR="00971363" w:rsidTr="00D201A6">
        <w:trPr>
          <w:trHeight w:val="402"/>
          <w:jc w:val="center"/>
        </w:trPr>
        <w:tc>
          <w:tcPr>
            <w:tcW w:w="1559" w:type="dxa"/>
            <w:tcBorders>
              <w:tl2br w:val="nil"/>
              <w:tr2bl w:val="nil"/>
            </w:tcBorders>
            <w:shd w:val="clear" w:color="auto" w:fill="auto"/>
            <w:noWrap/>
            <w:vAlign w:val="bottom"/>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C4</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19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45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106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250 </w:t>
            </w:r>
          </w:p>
        </w:tc>
      </w:tr>
      <w:tr w:rsidR="00971363" w:rsidTr="00D201A6">
        <w:trPr>
          <w:trHeight w:val="415"/>
          <w:jc w:val="center"/>
        </w:trPr>
        <w:tc>
          <w:tcPr>
            <w:tcW w:w="1559" w:type="dxa"/>
            <w:tcBorders>
              <w:tl2br w:val="nil"/>
              <w:tr2bl w:val="nil"/>
            </w:tcBorders>
            <w:shd w:val="clear" w:color="auto" w:fill="auto"/>
            <w:noWrap/>
            <w:vAlign w:val="bottom"/>
          </w:tcPr>
          <w:p w:rsidR="00971363" w:rsidRDefault="00971363" w:rsidP="00D201A6">
            <w:pPr>
              <w:ind w:firstLine="402"/>
              <w:jc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sz w:val="20"/>
                <w:szCs w:val="20"/>
              </w:rPr>
              <w:t>C5</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20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49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122 </w:t>
            </w:r>
          </w:p>
        </w:tc>
        <w:tc>
          <w:tcPr>
            <w:tcW w:w="1701" w:type="dxa"/>
            <w:tcBorders>
              <w:tl2br w:val="nil"/>
              <w:tr2bl w:val="nil"/>
            </w:tcBorders>
            <w:shd w:val="clear" w:color="auto" w:fill="auto"/>
            <w:noWrap/>
            <w:vAlign w:val="bottom"/>
          </w:tcPr>
          <w:p w:rsidR="00971363" w:rsidRDefault="00971363" w:rsidP="00D201A6">
            <w:pPr>
              <w:ind w:firstLine="400"/>
              <w:jc w:val="center"/>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300 </w:t>
            </w:r>
          </w:p>
        </w:tc>
      </w:tr>
    </w:tbl>
    <w:p w:rsidR="003B6F37" w:rsidRDefault="003B6F37">
      <w:pPr>
        <w:ind w:firstLine="480"/>
      </w:pP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Qi, T. Y. et al. An analysis of China's climate policy using the China-in-Global Energy Model. </w:t>
      </w:r>
      <w:r>
        <w:rPr>
          <w:rFonts w:ascii="Times New Roman" w:eastAsia="等线" w:hAnsi="Times New Roman" w:cs="Times New Roman"/>
          <w:i/>
          <w:iCs/>
          <w:sz w:val="20"/>
          <w:szCs w:val="20"/>
        </w:rPr>
        <w:t>Econ. Model.</w:t>
      </w:r>
      <w:r>
        <w:rPr>
          <w:rFonts w:ascii="Times New Roman" w:eastAsia="等线" w:hAnsi="Times New Roman" w:cs="Times New Roman"/>
          <w:sz w:val="20"/>
          <w:szCs w:val="20"/>
        </w:rPr>
        <w:t xml:space="preserve"> </w:t>
      </w:r>
      <w:proofErr w:type="gramStart"/>
      <w:r>
        <w:rPr>
          <w:rFonts w:ascii="Times New Roman" w:eastAsia="等线" w:hAnsi="Times New Roman" w:cs="Times New Roman"/>
          <w:b/>
          <w:bCs/>
          <w:sz w:val="20"/>
          <w:szCs w:val="20"/>
        </w:rPr>
        <w:t>52</w:t>
      </w:r>
      <w:proofErr w:type="gramEnd"/>
      <w:r>
        <w:rPr>
          <w:rFonts w:ascii="Times New Roman" w:eastAsia="等线" w:hAnsi="Times New Roman" w:cs="Times New Roman"/>
          <w:sz w:val="20"/>
          <w:szCs w:val="20"/>
        </w:rPr>
        <w:t>, 650–660 (2016).</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Gallagher, K.S., Zhang, F., Orvis, R., </w:t>
      </w:r>
      <w:proofErr w:type="spellStart"/>
      <w:r>
        <w:rPr>
          <w:rFonts w:ascii="Times New Roman" w:eastAsia="等线" w:hAnsi="Times New Roman" w:cs="Times New Roman"/>
          <w:sz w:val="20"/>
          <w:szCs w:val="20"/>
        </w:rPr>
        <w:t>Rissman</w:t>
      </w:r>
      <w:proofErr w:type="spellEnd"/>
      <w:r>
        <w:rPr>
          <w:rFonts w:ascii="Times New Roman" w:eastAsia="等线" w:hAnsi="Times New Roman" w:cs="Times New Roman"/>
          <w:sz w:val="20"/>
          <w:szCs w:val="20"/>
        </w:rPr>
        <w:t xml:space="preserve">, J. &amp; Liu, Q. Assessing the Policy gaps for achieving China’s climate targets in the Paris Agreement. </w:t>
      </w:r>
      <w:r>
        <w:rPr>
          <w:rFonts w:ascii="Times New Roman" w:eastAsia="等线" w:hAnsi="Times New Roman" w:cs="Times New Roman"/>
          <w:i/>
          <w:iCs/>
          <w:sz w:val="20"/>
          <w:szCs w:val="20"/>
        </w:rPr>
        <w:t xml:space="preserve">Nat. </w:t>
      </w:r>
      <w:proofErr w:type="spellStart"/>
      <w:r>
        <w:rPr>
          <w:rFonts w:ascii="Times New Roman" w:eastAsia="等线" w:hAnsi="Times New Roman" w:cs="Times New Roman"/>
          <w:i/>
          <w:iCs/>
          <w:sz w:val="20"/>
          <w:szCs w:val="20"/>
        </w:rPr>
        <w:t>Commun</w:t>
      </w:r>
      <w:proofErr w:type="spellEnd"/>
      <w:r>
        <w:rPr>
          <w:rFonts w:ascii="Times New Roman" w:eastAsia="等线" w:hAnsi="Times New Roman" w:cs="Times New Roman"/>
          <w:i/>
          <w:iCs/>
          <w:sz w:val="20"/>
          <w:szCs w:val="20"/>
        </w:rPr>
        <w:t>.</w:t>
      </w:r>
      <w:r>
        <w:rPr>
          <w:rFonts w:ascii="Times New Roman" w:eastAsia="等线" w:hAnsi="Times New Roman" w:cs="Times New Roman"/>
          <w:sz w:val="20"/>
          <w:szCs w:val="20"/>
        </w:rPr>
        <w:t xml:space="preserve"> </w:t>
      </w:r>
      <w:r>
        <w:rPr>
          <w:rFonts w:ascii="Times New Roman" w:eastAsia="等线" w:hAnsi="Times New Roman" w:cs="Times New Roman"/>
          <w:b/>
          <w:bCs/>
          <w:sz w:val="20"/>
          <w:szCs w:val="20"/>
        </w:rPr>
        <w:t>10</w:t>
      </w:r>
      <w:r>
        <w:rPr>
          <w:rFonts w:ascii="Times New Roman" w:eastAsia="等线" w:hAnsi="Times New Roman" w:cs="Times New Roman"/>
          <w:sz w:val="20"/>
          <w:szCs w:val="20"/>
        </w:rPr>
        <w:t>, 1256 (2019).</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Institute of Climate Change and Sustainable Development of Tsinghua University et al. </w:t>
      </w:r>
      <w:r>
        <w:rPr>
          <w:rFonts w:ascii="Times New Roman" w:eastAsia="等线" w:hAnsi="Times New Roman" w:cs="Times New Roman"/>
          <w:i/>
          <w:iCs/>
          <w:sz w:val="20"/>
          <w:szCs w:val="20"/>
        </w:rPr>
        <w:t>China’s Long-Term Low-Carbon Development Strategies and Pathways</w:t>
      </w:r>
      <w:r>
        <w:rPr>
          <w:rFonts w:ascii="Times New Roman" w:eastAsia="等线" w:hAnsi="Times New Roman" w:cs="Times New Roman"/>
          <w:sz w:val="20"/>
          <w:szCs w:val="20"/>
        </w:rPr>
        <w:t xml:space="preserve">. </w:t>
      </w:r>
      <w:r>
        <w:rPr>
          <w:rFonts w:ascii="等线" w:eastAsia="等线" w:hAnsi="等线" w:cs="Times New Roman"/>
        </w:rPr>
        <w:t xml:space="preserve"> </w:t>
      </w:r>
      <w:hyperlink r:id="rId7" w:history="1">
        <w:r>
          <w:rPr>
            <w:rStyle w:val="af"/>
            <w:rFonts w:ascii="Times New Roman" w:eastAsia="等线" w:hAnsi="Times New Roman" w:cs="Times New Roman"/>
            <w:sz w:val="20"/>
            <w:szCs w:val="20"/>
          </w:rPr>
          <w:t>https://link.springer.com/book/10.1007/978-981-16-2524-4</w:t>
        </w:r>
      </w:hyperlink>
      <w:r>
        <w:rPr>
          <w:rFonts w:ascii="Times New Roman" w:eastAsia="等线" w:hAnsi="Times New Roman" w:cs="Times New Roman"/>
          <w:sz w:val="20"/>
          <w:szCs w:val="20"/>
        </w:rPr>
        <w:t xml:space="preserve"> (2022).</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Feng, S. H., Peng, X. J. &amp; Adams P. Energy and Economic Implications of Carbon Neutrality in China–A Dynamic General Equilibrium Analysis. </w:t>
      </w:r>
      <w:proofErr w:type="spellStart"/>
      <w:r>
        <w:rPr>
          <w:rFonts w:ascii="Times New Roman" w:eastAsia="等线" w:hAnsi="Times New Roman" w:cs="Times New Roman"/>
          <w:i/>
          <w:iCs/>
          <w:sz w:val="20"/>
          <w:szCs w:val="20"/>
        </w:rPr>
        <w:t>CoPS</w:t>
      </w:r>
      <w:proofErr w:type="spellEnd"/>
      <w:r>
        <w:rPr>
          <w:rFonts w:ascii="Times New Roman" w:eastAsia="等线" w:hAnsi="Times New Roman" w:cs="Times New Roman"/>
          <w:i/>
          <w:iCs/>
          <w:sz w:val="20"/>
          <w:szCs w:val="20"/>
        </w:rPr>
        <w:t xml:space="preserve"> documentation.</w:t>
      </w:r>
      <w:r>
        <w:rPr>
          <w:rFonts w:ascii="Times New Roman" w:eastAsia="等线" w:hAnsi="Times New Roman" w:cs="Times New Roman"/>
          <w:sz w:val="20"/>
          <w:szCs w:val="20"/>
        </w:rPr>
        <w:t xml:space="preserve"> </w:t>
      </w:r>
      <w:hyperlink r:id="rId8" w:history="1">
        <w:r>
          <w:rPr>
            <w:rStyle w:val="af"/>
            <w:rFonts w:ascii="Times New Roman" w:eastAsia="等线" w:hAnsi="Times New Roman" w:cs="Times New Roman"/>
            <w:sz w:val="20"/>
            <w:szCs w:val="20"/>
          </w:rPr>
          <w:t>https://www.copsmodels.com/elecpapr/g-318.htm</w:t>
        </w:r>
      </w:hyperlink>
      <w:r>
        <w:rPr>
          <w:rFonts w:ascii="Times New Roman" w:eastAsia="等线" w:hAnsi="Times New Roman" w:cs="Times New Roman"/>
          <w:sz w:val="20"/>
          <w:szCs w:val="20"/>
        </w:rPr>
        <w:t xml:space="preserve"> (2021).</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Fuhrman, J. et al. The role of negative emissions in meeting China’s 2060 carbon neutrality goal. </w:t>
      </w:r>
      <w:proofErr w:type="spellStart"/>
      <w:r>
        <w:rPr>
          <w:rFonts w:ascii="Times New Roman" w:eastAsia="等线" w:hAnsi="Times New Roman" w:cs="Times New Roman"/>
          <w:i/>
          <w:iCs/>
          <w:sz w:val="20"/>
          <w:szCs w:val="20"/>
        </w:rPr>
        <w:t>Oxf</w:t>
      </w:r>
      <w:proofErr w:type="spellEnd"/>
      <w:r>
        <w:rPr>
          <w:rFonts w:ascii="Times New Roman" w:eastAsia="等线" w:hAnsi="Times New Roman" w:cs="Times New Roman"/>
          <w:i/>
          <w:iCs/>
          <w:sz w:val="20"/>
          <w:szCs w:val="20"/>
        </w:rPr>
        <w:t xml:space="preserve">. Open </w:t>
      </w:r>
      <w:proofErr w:type="spellStart"/>
      <w:r>
        <w:rPr>
          <w:rFonts w:ascii="Times New Roman" w:eastAsia="等线" w:hAnsi="Times New Roman" w:cs="Times New Roman"/>
          <w:i/>
          <w:iCs/>
          <w:sz w:val="20"/>
          <w:szCs w:val="20"/>
        </w:rPr>
        <w:t>Clim</w:t>
      </w:r>
      <w:proofErr w:type="spellEnd"/>
      <w:r>
        <w:rPr>
          <w:rFonts w:ascii="Times New Roman" w:eastAsia="等线" w:hAnsi="Times New Roman" w:cs="Times New Roman"/>
          <w:i/>
          <w:iCs/>
          <w:sz w:val="20"/>
          <w:szCs w:val="20"/>
        </w:rPr>
        <w:t>. Change</w:t>
      </w:r>
      <w:r>
        <w:rPr>
          <w:rFonts w:ascii="Times New Roman" w:eastAsia="等线" w:hAnsi="Times New Roman" w:cs="Times New Roman"/>
          <w:sz w:val="20"/>
          <w:szCs w:val="20"/>
        </w:rPr>
        <w:t xml:space="preserve"> </w:t>
      </w:r>
      <w:proofErr w:type="gramStart"/>
      <w:r>
        <w:rPr>
          <w:rFonts w:ascii="Times New Roman" w:eastAsia="等线" w:hAnsi="Times New Roman" w:cs="Times New Roman"/>
          <w:b/>
          <w:bCs/>
          <w:sz w:val="20"/>
          <w:szCs w:val="20"/>
        </w:rPr>
        <w:t>1</w:t>
      </w:r>
      <w:proofErr w:type="gramEnd"/>
      <w:r>
        <w:rPr>
          <w:rFonts w:ascii="Times New Roman" w:eastAsia="等线" w:hAnsi="Times New Roman" w:cs="Times New Roman"/>
          <w:sz w:val="20"/>
          <w:szCs w:val="20"/>
        </w:rPr>
        <w:t>, kgab004 (2021).</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IEA. </w:t>
      </w:r>
      <w:r>
        <w:rPr>
          <w:rFonts w:ascii="Times New Roman" w:eastAsia="等线" w:hAnsi="Times New Roman" w:cs="Times New Roman"/>
          <w:i/>
          <w:iCs/>
          <w:sz w:val="20"/>
          <w:szCs w:val="20"/>
        </w:rPr>
        <w:t>World Energy Outlook 2021.</w:t>
      </w:r>
      <w:r>
        <w:rPr>
          <w:rFonts w:ascii="Times New Roman" w:eastAsia="等线" w:hAnsi="Times New Roman" w:cs="Times New Roman"/>
          <w:sz w:val="20"/>
          <w:szCs w:val="20"/>
        </w:rPr>
        <w:t xml:space="preserve"> </w:t>
      </w:r>
      <w:hyperlink r:id="rId9" w:history="1">
        <w:r>
          <w:rPr>
            <w:rFonts w:ascii="Times New Roman" w:eastAsia="等线" w:hAnsi="Times New Roman" w:cs="Times New Roman"/>
            <w:color w:val="0563C1"/>
            <w:sz w:val="20"/>
            <w:szCs w:val="20"/>
            <w:u w:val="single"/>
          </w:rPr>
          <w:t>https://www.iea.org/reports/world-energy-outlook-2021</w:t>
        </w:r>
      </w:hyperlink>
      <w:r>
        <w:rPr>
          <w:rFonts w:ascii="Times New Roman" w:eastAsia="等线" w:hAnsi="Times New Roman" w:cs="Times New Roman"/>
          <w:sz w:val="20"/>
          <w:szCs w:val="20"/>
        </w:rPr>
        <w:t xml:space="preserve"> (2021).</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Nieto, Maria J. Whatever it </w:t>
      </w:r>
      <w:proofErr w:type="gramStart"/>
      <w:r>
        <w:rPr>
          <w:rFonts w:ascii="Times New Roman" w:eastAsia="等线" w:hAnsi="Times New Roman" w:cs="Times New Roman"/>
          <w:sz w:val="20"/>
          <w:szCs w:val="20"/>
        </w:rPr>
        <w:t>Takes</w:t>
      </w:r>
      <w:proofErr w:type="gramEnd"/>
      <w:r>
        <w:rPr>
          <w:rFonts w:ascii="Times New Roman" w:eastAsia="等线" w:hAnsi="Times New Roman" w:cs="Times New Roman"/>
          <w:sz w:val="20"/>
          <w:szCs w:val="20"/>
        </w:rPr>
        <w:t xml:space="preserve"> to Reach Net Zero Emissions Around 2050 and Limit Global Warming to 1.5c: The Cases of United States, China, European Union and Japan. </w:t>
      </w:r>
      <w:r>
        <w:rPr>
          <w:rFonts w:ascii="Times New Roman" w:eastAsia="等线" w:hAnsi="Times New Roman" w:cs="Times New Roman"/>
          <w:i/>
          <w:iCs/>
          <w:sz w:val="20"/>
          <w:szCs w:val="20"/>
        </w:rPr>
        <w:t>BAFFI CAREFIN Centre Research Paper</w:t>
      </w:r>
      <w:r>
        <w:rPr>
          <w:rFonts w:ascii="Times New Roman" w:eastAsia="等线" w:hAnsi="Times New Roman" w:cs="Times New Roman"/>
          <w:sz w:val="20"/>
          <w:szCs w:val="20"/>
        </w:rPr>
        <w:t xml:space="preserve">. </w:t>
      </w:r>
      <w:hyperlink r:id="rId10" w:history="1">
        <w:r>
          <w:rPr>
            <w:rFonts w:ascii="Times New Roman" w:eastAsia="等线" w:hAnsi="Times New Roman" w:cs="Times New Roman"/>
            <w:color w:val="0563C1"/>
            <w:sz w:val="20"/>
            <w:szCs w:val="20"/>
            <w:u w:val="single"/>
          </w:rPr>
          <w:t>https://ssrn.com/abstract=4007974</w:t>
        </w:r>
      </w:hyperlink>
      <w:r>
        <w:rPr>
          <w:rFonts w:ascii="Times New Roman" w:eastAsia="等线" w:hAnsi="Times New Roman" w:cs="Times New Roman"/>
          <w:sz w:val="20"/>
          <w:szCs w:val="20"/>
        </w:rPr>
        <w:t xml:space="preserve"> (2022).</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Qi, S. Z., Cheng, S. H., Tan, X. J., Feng, S. H. &amp; Zhou, Q. Predicting China's carbon price based on a multi-scale integrated model. </w:t>
      </w:r>
      <w:r>
        <w:rPr>
          <w:rFonts w:ascii="Times New Roman" w:eastAsia="等线" w:hAnsi="Times New Roman" w:cs="Times New Roman"/>
          <w:i/>
          <w:iCs/>
          <w:sz w:val="20"/>
          <w:szCs w:val="20"/>
        </w:rPr>
        <w:t>Appl. Energy</w:t>
      </w:r>
      <w:r>
        <w:rPr>
          <w:rFonts w:ascii="Times New Roman" w:eastAsia="等线" w:hAnsi="Times New Roman" w:cs="Times New Roman"/>
          <w:sz w:val="20"/>
          <w:szCs w:val="20"/>
        </w:rPr>
        <w:t xml:space="preserve"> </w:t>
      </w:r>
      <w:r>
        <w:rPr>
          <w:rFonts w:ascii="Times New Roman" w:eastAsia="等线" w:hAnsi="Times New Roman" w:cs="Times New Roman"/>
          <w:b/>
          <w:bCs/>
          <w:sz w:val="20"/>
          <w:szCs w:val="20"/>
        </w:rPr>
        <w:t>324</w:t>
      </w:r>
      <w:r>
        <w:rPr>
          <w:rFonts w:ascii="Times New Roman" w:eastAsia="等线" w:hAnsi="Times New Roman" w:cs="Times New Roman"/>
          <w:sz w:val="20"/>
          <w:szCs w:val="20"/>
        </w:rPr>
        <w:t>, 119784 (2022).</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sz w:val="20"/>
          <w:szCs w:val="20"/>
        </w:rPr>
        <w:t xml:space="preserve">Zhang, X. L. et al. Energy-economic transformation pathways and policies for carbon neutrality targets. </w:t>
      </w:r>
      <w:r>
        <w:rPr>
          <w:rFonts w:ascii="Times New Roman" w:eastAsia="等线" w:hAnsi="Times New Roman" w:cs="Times New Roman"/>
          <w:i/>
          <w:iCs/>
          <w:sz w:val="20"/>
          <w:szCs w:val="20"/>
        </w:rPr>
        <w:t>Management World</w:t>
      </w:r>
      <w:r>
        <w:rPr>
          <w:rFonts w:ascii="Times New Roman" w:eastAsia="等线" w:hAnsi="Times New Roman" w:cs="Times New Roman"/>
          <w:sz w:val="20"/>
          <w:szCs w:val="20"/>
        </w:rPr>
        <w:t xml:space="preserve"> </w:t>
      </w:r>
      <w:r>
        <w:rPr>
          <w:rFonts w:ascii="Times New Roman" w:eastAsia="等线" w:hAnsi="Times New Roman" w:cs="Times New Roman"/>
          <w:b/>
          <w:bCs/>
          <w:sz w:val="20"/>
          <w:szCs w:val="20"/>
        </w:rPr>
        <w:t>38</w:t>
      </w:r>
      <w:r>
        <w:rPr>
          <w:rFonts w:ascii="Times New Roman" w:eastAsia="等线" w:hAnsi="Times New Roman" w:cs="Times New Roman"/>
          <w:sz w:val="20"/>
          <w:szCs w:val="20"/>
        </w:rPr>
        <w:t>, 35-66 (2022).</w:t>
      </w:r>
    </w:p>
    <w:p w:rsidR="00971363" w:rsidRDefault="00971363" w:rsidP="00971363">
      <w:pPr>
        <w:numPr>
          <w:ilvl w:val="0"/>
          <w:numId w:val="6"/>
        </w:numPr>
        <w:rPr>
          <w:rFonts w:ascii="Times New Roman" w:eastAsia="等线" w:hAnsi="Times New Roman" w:cs="Times New Roman"/>
          <w:sz w:val="20"/>
          <w:szCs w:val="20"/>
        </w:rPr>
      </w:pPr>
      <w:proofErr w:type="spellStart"/>
      <w:r>
        <w:rPr>
          <w:rFonts w:ascii="Times New Roman" w:eastAsia="等线" w:hAnsi="Times New Roman" w:cs="Times New Roman" w:hint="eastAsia"/>
          <w:sz w:val="20"/>
          <w:szCs w:val="20"/>
        </w:rPr>
        <w:t>Guivarch</w:t>
      </w:r>
      <w:proofErr w:type="spellEnd"/>
      <w:r>
        <w:rPr>
          <w:rFonts w:ascii="Times New Roman" w:eastAsia="等线" w:hAnsi="Times New Roman" w:cs="Times New Roman"/>
          <w:sz w:val="20"/>
          <w:szCs w:val="20"/>
        </w:rPr>
        <w:t>,</w:t>
      </w:r>
      <w:r>
        <w:rPr>
          <w:rFonts w:ascii="Times New Roman" w:eastAsia="等线" w:hAnsi="Times New Roman" w:cs="Times New Roman" w:hint="eastAsia"/>
          <w:sz w:val="20"/>
          <w:szCs w:val="20"/>
        </w:rPr>
        <w:t xml:space="preserve"> C</w:t>
      </w:r>
      <w:r>
        <w:rPr>
          <w:rFonts w:ascii="Times New Roman" w:eastAsia="等线" w:hAnsi="Times New Roman" w:cs="Times New Roman"/>
          <w:sz w:val="20"/>
          <w:szCs w:val="20"/>
        </w:rPr>
        <w:t>. &amp;</w:t>
      </w:r>
      <w:r>
        <w:rPr>
          <w:rFonts w:ascii="Times New Roman" w:eastAsia="等线" w:hAnsi="Times New Roman" w:cs="Times New Roman" w:hint="eastAsia"/>
          <w:sz w:val="20"/>
          <w:szCs w:val="20"/>
        </w:rPr>
        <w:t xml:space="preserve"> </w:t>
      </w:r>
      <w:proofErr w:type="spellStart"/>
      <w:r>
        <w:rPr>
          <w:rFonts w:ascii="Times New Roman" w:eastAsia="等线" w:hAnsi="Times New Roman" w:cs="Times New Roman" w:hint="eastAsia"/>
          <w:sz w:val="20"/>
          <w:szCs w:val="20"/>
        </w:rPr>
        <w:t>Rogelj</w:t>
      </w:r>
      <w:proofErr w:type="spellEnd"/>
      <w:r>
        <w:rPr>
          <w:rFonts w:ascii="Times New Roman" w:eastAsia="等线" w:hAnsi="Times New Roman" w:cs="Times New Roman"/>
          <w:sz w:val="20"/>
          <w:szCs w:val="20"/>
        </w:rPr>
        <w:t>,</w:t>
      </w:r>
      <w:r>
        <w:rPr>
          <w:rFonts w:ascii="Times New Roman" w:eastAsia="等线" w:hAnsi="Times New Roman" w:cs="Times New Roman" w:hint="eastAsia"/>
          <w:sz w:val="20"/>
          <w:szCs w:val="20"/>
        </w:rPr>
        <w:t xml:space="preserve"> J. </w:t>
      </w:r>
      <w:r>
        <w:rPr>
          <w:rFonts w:ascii="Times New Roman" w:eastAsia="等线" w:hAnsi="Times New Roman" w:cs="Times New Roman"/>
          <w:sz w:val="20"/>
          <w:szCs w:val="20"/>
        </w:rPr>
        <w:t xml:space="preserve">Carbon price variations in 2°C scenarios explored. </w:t>
      </w:r>
      <w:r>
        <w:rPr>
          <w:rFonts w:ascii="Times New Roman" w:eastAsia="等线" w:hAnsi="Times New Roman" w:cs="Times New Roman"/>
          <w:i/>
          <w:iCs/>
          <w:sz w:val="20"/>
          <w:szCs w:val="20"/>
        </w:rPr>
        <w:t>Carbon Pricing Leadership Coalition</w:t>
      </w:r>
      <w:r>
        <w:rPr>
          <w:rFonts w:ascii="Times New Roman" w:eastAsia="等线" w:hAnsi="Times New Roman" w:cs="Times New Roman"/>
          <w:sz w:val="20"/>
          <w:szCs w:val="20"/>
        </w:rPr>
        <w:t xml:space="preserve">. </w:t>
      </w:r>
      <w:hyperlink r:id="rId11" w:history="1">
        <w:r>
          <w:rPr>
            <w:rFonts w:ascii="Times New Roman" w:eastAsia="等线" w:hAnsi="Times New Roman" w:cs="Times New Roman"/>
            <w:color w:val="0563C1"/>
            <w:sz w:val="20"/>
            <w:szCs w:val="20"/>
            <w:u w:val="single"/>
          </w:rPr>
          <w:t>https://pure.iiasa.ac.at/id/eprint/14685/</w:t>
        </w:r>
      </w:hyperlink>
      <w:r>
        <w:rPr>
          <w:rFonts w:ascii="Times New Roman" w:eastAsia="等线" w:hAnsi="Times New Roman" w:cs="Times New Roman"/>
          <w:sz w:val="20"/>
          <w:szCs w:val="20"/>
        </w:rPr>
        <w:t xml:space="preserve"> (2017).</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hint="eastAsia"/>
          <w:sz w:val="20"/>
          <w:szCs w:val="20"/>
        </w:rPr>
        <w:t>IPCC</w:t>
      </w:r>
      <w:r>
        <w:rPr>
          <w:rFonts w:ascii="Times New Roman" w:eastAsia="等线" w:hAnsi="Times New Roman" w:cs="Times New Roman"/>
          <w:sz w:val="20"/>
          <w:szCs w:val="20"/>
        </w:rPr>
        <w:t>.</w:t>
      </w:r>
      <w:r>
        <w:rPr>
          <w:rFonts w:ascii="Times New Roman" w:eastAsia="等线" w:hAnsi="Times New Roman" w:cs="Times New Roman" w:hint="eastAsia"/>
          <w:sz w:val="20"/>
          <w:szCs w:val="20"/>
        </w:rPr>
        <w:t xml:space="preserve"> </w:t>
      </w:r>
      <w:r>
        <w:rPr>
          <w:rFonts w:ascii="Times New Roman" w:eastAsia="等线" w:hAnsi="Times New Roman" w:cs="Times New Roman" w:hint="eastAsia"/>
          <w:i/>
          <w:iCs/>
          <w:sz w:val="20"/>
          <w:szCs w:val="20"/>
        </w:rPr>
        <w:t>Global Warming of 1.5</w:t>
      </w:r>
      <w:r>
        <w:rPr>
          <w:rFonts w:ascii="Times New Roman" w:eastAsia="等线" w:hAnsi="Times New Roman" w:cs="Times New Roman" w:hint="eastAsia"/>
          <w:i/>
          <w:iCs/>
          <w:sz w:val="20"/>
          <w:szCs w:val="20"/>
        </w:rPr>
        <w:t>°</w:t>
      </w:r>
      <w:r>
        <w:rPr>
          <w:rFonts w:ascii="Times New Roman" w:eastAsia="等线" w:hAnsi="Times New Roman" w:cs="Times New Roman" w:hint="eastAsia"/>
          <w:i/>
          <w:iCs/>
          <w:sz w:val="20"/>
          <w:szCs w:val="20"/>
        </w:rPr>
        <w:t>C</w:t>
      </w:r>
      <w:r>
        <w:rPr>
          <w:rFonts w:ascii="Times New Roman" w:eastAsia="等线" w:hAnsi="Times New Roman" w:cs="Times New Roman" w:hint="eastAsia"/>
          <w:sz w:val="20"/>
          <w:szCs w:val="20"/>
        </w:rPr>
        <w:t>.</w:t>
      </w:r>
      <w:r>
        <w:rPr>
          <w:rFonts w:ascii="等线" w:eastAsia="等线" w:hAnsi="等线" w:cs="Times New Roman"/>
        </w:rPr>
        <w:t xml:space="preserve"> </w:t>
      </w:r>
      <w:hyperlink r:id="rId12" w:history="1">
        <w:r>
          <w:rPr>
            <w:rFonts w:ascii="Times New Roman" w:eastAsia="等线" w:hAnsi="Times New Roman" w:cs="Times New Roman"/>
            <w:color w:val="0563C1"/>
            <w:sz w:val="20"/>
            <w:szCs w:val="20"/>
            <w:u w:val="single"/>
          </w:rPr>
          <w:t>https://www.ipcc.ch/sr15/</w:t>
        </w:r>
      </w:hyperlink>
      <w:r>
        <w:rPr>
          <w:rFonts w:ascii="Times New Roman" w:eastAsia="等线" w:hAnsi="Times New Roman" w:cs="Times New Roman"/>
          <w:sz w:val="20"/>
          <w:szCs w:val="20"/>
        </w:rPr>
        <w:t xml:space="preserve"> (2018).</w:t>
      </w:r>
    </w:p>
    <w:p w:rsidR="00971363" w:rsidRDefault="00971363" w:rsidP="00971363">
      <w:pPr>
        <w:numPr>
          <w:ilvl w:val="0"/>
          <w:numId w:val="6"/>
        </w:numPr>
        <w:rPr>
          <w:rFonts w:ascii="Times New Roman" w:eastAsia="等线" w:hAnsi="Times New Roman" w:cs="Times New Roman"/>
          <w:sz w:val="20"/>
          <w:szCs w:val="20"/>
        </w:rPr>
      </w:pPr>
      <w:r>
        <w:rPr>
          <w:rFonts w:ascii="Times New Roman" w:eastAsia="等线" w:hAnsi="Times New Roman" w:cs="Times New Roman" w:hint="eastAsia"/>
          <w:sz w:val="20"/>
          <w:szCs w:val="20"/>
        </w:rPr>
        <w:t>NGFS</w:t>
      </w:r>
      <w:r>
        <w:rPr>
          <w:rFonts w:ascii="Times New Roman" w:eastAsia="等线" w:hAnsi="Times New Roman" w:cs="Times New Roman"/>
          <w:sz w:val="20"/>
          <w:szCs w:val="20"/>
        </w:rPr>
        <w:t>.</w:t>
      </w:r>
      <w:r>
        <w:rPr>
          <w:rFonts w:ascii="Times New Roman" w:eastAsia="等线" w:hAnsi="Times New Roman" w:cs="Times New Roman" w:hint="eastAsia"/>
          <w:sz w:val="20"/>
          <w:szCs w:val="20"/>
        </w:rPr>
        <w:t xml:space="preserve"> </w:t>
      </w:r>
      <w:r>
        <w:rPr>
          <w:rFonts w:ascii="Times New Roman" w:eastAsia="等线" w:hAnsi="Times New Roman" w:cs="Times New Roman" w:hint="eastAsia"/>
          <w:i/>
          <w:iCs/>
          <w:sz w:val="20"/>
          <w:szCs w:val="20"/>
        </w:rPr>
        <w:t>Technical Documentation V2.2</w:t>
      </w:r>
      <w:r>
        <w:rPr>
          <w:rFonts w:ascii="Times New Roman" w:eastAsia="等线" w:hAnsi="Times New Roman" w:cs="Times New Roman"/>
          <w:sz w:val="20"/>
          <w:szCs w:val="20"/>
        </w:rPr>
        <w:t>.</w:t>
      </w:r>
      <w:r>
        <w:rPr>
          <w:rFonts w:ascii="Times New Roman" w:eastAsia="等线" w:hAnsi="Times New Roman" w:cs="Times New Roman" w:hint="eastAsia"/>
          <w:sz w:val="20"/>
          <w:szCs w:val="20"/>
        </w:rPr>
        <w:t xml:space="preserve"> </w:t>
      </w:r>
      <w:hyperlink r:id="rId13" w:history="1">
        <w:r>
          <w:rPr>
            <w:rStyle w:val="af"/>
            <w:rFonts w:ascii="Times New Roman" w:eastAsia="等线" w:hAnsi="Times New Roman" w:cs="Times New Roman"/>
            <w:sz w:val="20"/>
            <w:szCs w:val="20"/>
          </w:rPr>
          <w:t>https://www.ngfs.net/sites/default/files/ngfs_climate_scenarios_technical_documentation__phase2_june2021.pdf</w:t>
        </w:r>
      </w:hyperlink>
      <w:r>
        <w:rPr>
          <w:rFonts w:ascii="Times New Roman" w:eastAsia="等线" w:hAnsi="Times New Roman" w:cs="Times New Roman"/>
          <w:sz w:val="20"/>
          <w:szCs w:val="20"/>
        </w:rPr>
        <w:t xml:space="preserve"> (2021).</w:t>
      </w:r>
    </w:p>
    <w:p w:rsidR="00971363" w:rsidRDefault="00971363" w:rsidP="00971363">
      <w:pPr>
        <w:numPr>
          <w:ilvl w:val="0"/>
          <w:numId w:val="6"/>
        </w:numPr>
        <w:rPr>
          <w:rFonts w:ascii="Times New Roman" w:eastAsia="等线" w:hAnsi="Times New Roman" w:cs="Times New Roman"/>
          <w:sz w:val="20"/>
          <w:szCs w:val="20"/>
        </w:rPr>
      </w:pPr>
      <w:proofErr w:type="spellStart"/>
      <w:r>
        <w:rPr>
          <w:rFonts w:ascii="Times New Roman" w:eastAsia="等线" w:hAnsi="Times New Roman" w:cs="Times New Roman" w:hint="eastAsia"/>
          <w:sz w:val="20"/>
          <w:szCs w:val="20"/>
        </w:rPr>
        <w:t>Gambhir</w:t>
      </w:r>
      <w:proofErr w:type="spellEnd"/>
      <w:r>
        <w:rPr>
          <w:rFonts w:ascii="Times New Roman" w:eastAsia="等线" w:hAnsi="Times New Roman" w:cs="Times New Roman" w:hint="eastAsia"/>
          <w:sz w:val="20"/>
          <w:szCs w:val="20"/>
        </w:rPr>
        <w:t>, A. et al. Near-term transition and longer-term physical climate risks of greenhouse gas emissions pathways.</w:t>
      </w:r>
      <w:r>
        <w:rPr>
          <w:rFonts w:ascii="Times New Roman" w:eastAsia="等线" w:hAnsi="Times New Roman" w:cs="Times New Roman" w:hint="eastAsia"/>
          <w:i/>
          <w:iCs/>
          <w:sz w:val="20"/>
          <w:szCs w:val="20"/>
        </w:rPr>
        <w:t xml:space="preserve"> Nat. </w:t>
      </w:r>
      <w:proofErr w:type="spellStart"/>
      <w:r>
        <w:rPr>
          <w:rFonts w:ascii="Times New Roman" w:eastAsia="等线" w:hAnsi="Times New Roman" w:cs="Times New Roman" w:hint="eastAsia"/>
          <w:i/>
          <w:iCs/>
          <w:sz w:val="20"/>
          <w:szCs w:val="20"/>
        </w:rPr>
        <w:t>Clim</w:t>
      </w:r>
      <w:proofErr w:type="spellEnd"/>
      <w:r>
        <w:rPr>
          <w:rFonts w:ascii="Times New Roman" w:eastAsia="等线" w:hAnsi="Times New Roman" w:cs="Times New Roman" w:hint="eastAsia"/>
          <w:i/>
          <w:iCs/>
          <w:sz w:val="20"/>
          <w:szCs w:val="20"/>
        </w:rPr>
        <w:t>. Chang.</w:t>
      </w:r>
      <w:r>
        <w:rPr>
          <w:rFonts w:ascii="Times New Roman" w:eastAsia="等线" w:hAnsi="Times New Roman" w:cs="Times New Roman" w:hint="eastAsia"/>
          <w:sz w:val="20"/>
          <w:szCs w:val="20"/>
        </w:rPr>
        <w:t xml:space="preserve"> </w:t>
      </w:r>
      <w:r>
        <w:rPr>
          <w:rFonts w:ascii="Times New Roman" w:eastAsia="等线" w:hAnsi="Times New Roman" w:cs="Times New Roman" w:hint="eastAsia"/>
          <w:b/>
          <w:bCs/>
          <w:sz w:val="20"/>
          <w:szCs w:val="20"/>
        </w:rPr>
        <w:t>12</w:t>
      </w:r>
      <w:r>
        <w:rPr>
          <w:rFonts w:ascii="Times New Roman" w:eastAsia="等线" w:hAnsi="Times New Roman" w:cs="Times New Roman" w:hint="eastAsia"/>
          <w:sz w:val="20"/>
          <w:szCs w:val="20"/>
        </w:rPr>
        <w:t>, 88</w:t>
      </w:r>
      <w:r>
        <w:rPr>
          <w:rFonts w:ascii="Times New Roman" w:eastAsia="等线" w:hAnsi="Times New Roman" w:cs="Times New Roman" w:hint="eastAsia"/>
          <w:sz w:val="20"/>
          <w:szCs w:val="20"/>
        </w:rPr>
        <w:t>–</w:t>
      </w:r>
      <w:r>
        <w:rPr>
          <w:rFonts w:ascii="Times New Roman" w:eastAsia="等线" w:hAnsi="Times New Roman" w:cs="Times New Roman" w:hint="eastAsia"/>
          <w:sz w:val="20"/>
          <w:szCs w:val="20"/>
        </w:rPr>
        <w:t>96 (2022).</w:t>
      </w:r>
    </w:p>
    <w:p w:rsidR="00971363" w:rsidRDefault="00971363">
      <w:pPr>
        <w:ind w:firstLine="480"/>
        <w:rPr>
          <w:rFonts w:hint="eastAsia"/>
        </w:rPr>
      </w:pPr>
    </w:p>
    <w:sectPr w:rsidR="00971363">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2ADE" w:rsidRDefault="00AD2ADE" w:rsidP="00971363">
      <w:pPr>
        <w:ind w:firstLine="480"/>
      </w:pPr>
      <w:r>
        <w:separator/>
      </w:r>
    </w:p>
  </w:endnote>
  <w:endnote w:type="continuationSeparator" w:id="0">
    <w:p w:rsidR="00AD2ADE" w:rsidRDefault="00AD2ADE" w:rsidP="0097136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363" w:rsidRDefault="00971363">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363" w:rsidRDefault="00971363">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363" w:rsidRDefault="00971363">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2ADE" w:rsidRDefault="00AD2ADE" w:rsidP="00971363">
      <w:pPr>
        <w:ind w:firstLine="480"/>
      </w:pPr>
      <w:r>
        <w:separator/>
      </w:r>
    </w:p>
  </w:footnote>
  <w:footnote w:type="continuationSeparator" w:id="0">
    <w:p w:rsidR="00AD2ADE" w:rsidRDefault="00AD2ADE" w:rsidP="0097136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363" w:rsidRDefault="0097136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363" w:rsidRDefault="0097136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363" w:rsidRDefault="0097136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FE742"/>
    <w:multiLevelType w:val="singleLevel"/>
    <w:tmpl w:val="35240B80"/>
    <w:lvl w:ilvl="0">
      <w:start w:val="6"/>
      <w:numFmt w:val="decimal"/>
      <w:lvlText w:val="%1."/>
      <w:lvlJc w:val="left"/>
      <w:pPr>
        <w:ind w:left="425" w:hanging="425"/>
      </w:pPr>
      <w:rPr>
        <w:rFonts w:hint="default"/>
      </w:rPr>
    </w:lvl>
  </w:abstractNum>
  <w:abstractNum w:abstractNumId="1" w15:restartNumberingAfterBreak="0">
    <w:nsid w:val="45CE4550"/>
    <w:multiLevelType w:val="multilevel"/>
    <w:tmpl w:val="AD0C5A9C"/>
    <w:lvl w:ilvl="0">
      <w:start w:val="1"/>
      <w:numFmt w:val="decimal"/>
      <w:lvlText w:val="%1"/>
      <w:lvlJc w:val="left"/>
      <w:pPr>
        <w:ind w:left="425" w:hanging="425"/>
      </w:pPr>
      <w:rPr>
        <w:lang w:val="de-DE"/>
      </w:rPr>
    </w:lvl>
    <w:lvl w:ilvl="1">
      <w:start w:val="1"/>
      <w:numFmt w:val="decimal"/>
      <w:lvlText w:val="%1.%2"/>
      <w:lvlJc w:val="left"/>
      <w:pPr>
        <w:ind w:left="8506"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4EA5C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7B165574"/>
    <w:multiLevelType w:val="multilevel"/>
    <w:tmpl w:val="1B9463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1"/>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A22"/>
    <w:rsid w:val="00042E7D"/>
    <w:rsid w:val="000D7F8F"/>
    <w:rsid w:val="00152468"/>
    <w:rsid w:val="00214F9B"/>
    <w:rsid w:val="002A15B8"/>
    <w:rsid w:val="002D000E"/>
    <w:rsid w:val="00326D94"/>
    <w:rsid w:val="00350F00"/>
    <w:rsid w:val="003B6F37"/>
    <w:rsid w:val="003C10E5"/>
    <w:rsid w:val="004374CB"/>
    <w:rsid w:val="00474031"/>
    <w:rsid w:val="004A019F"/>
    <w:rsid w:val="004A34B2"/>
    <w:rsid w:val="004B6D4D"/>
    <w:rsid w:val="00513D70"/>
    <w:rsid w:val="006E37D5"/>
    <w:rsid w:val="007E583A"/>
    <w:rsid w:val="00835912"/>
    <w:rsid w:val="00866E2D"/>
    <w:rsid w:val="008E2F0A"/>
    <w:rsid w:val="00971363"/>
    <w:rsid w:val="009A6A4D"/>
    <w:rsid w:val="00A04C41"/>
    <w:rsid w:val="00A42A22"/>
    <w:rsid w:val="00AD2ADE"/>
    <w:rsid w:val="00B10F55"/>
    <w:rsid w:val="00C40EAF"/>
    <w:rsid w:val="00CD46A7"/>
    <w:rsid w:val="00CF0BD5"/>
    <w:rsid w:val="00D20D02"/>
    <w:rsid w:val="00EC4ADC"/>
    <w:rsid w:val="00F30308"/>
    <w:rsid w:val="00F3270B"/>
    <w:rsid w:val="00F7320C"/>
    <w:rsid w:val="00F758B3"/>
    <w:rsid w:val="00FD3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9BDB1"/>
  <w15:chartTrackingRefBased/>
  <w15:docId w15:val="{A4FCC540-8A94-4212-87E7-0E77B0D8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rsid w:val="00971363"/>
    <w:pPr>
      <w:widowControl w:val="0"/>
      <w:jc w:val="both"/>
    </w:pPr>
    <w:rPr>
      <w:szCs w:val="22"/>
    </w:rPr>
  </w:style>
  <w:style w:type="paragraph" w:styleId="1">
    <w:name w:val="heading 1"/>
    <w:basedOn w:val="a"/>
    <w:next w:val="a"/>
    <w:link w:val="10"/>
    <w:qFormat/>
    <w:rsid w:val="006E37D5"/>
    <w:pPr>
      <w:outlineLvl w:val="0"/>
    </w:pPr>
    <w:rPr>
      <w:sz w:val="28"/>
    </w:rPr>
  </w:style>
  <w:style w:type="paragraph" w:styleId="2">
    <w:name w:val="heading 2"/>
    <w:basedOn w:val="a"/>
    <w:next w:val="a"/>
    <w:link w:val="20"/>
    <w:qFormat/>
    <w:rsid w:val="006E37D5"/>
    <w:pPr>
      <w:spacing w:line="480" w:lineRule="auto"/>
      <w:outlineLvl w:val="1"/>
    </w:pPr>
  </w:style>
  <w:style w:type="paragraph" w:styleId="3">
    <w:name w:val="heading 3"/>
    <w:basedOn w:val="1"/>
    <w:next w:val="a"/>
    <w:link w:val="30"/>
    <w:qFormat/>
    <w:rsid w:val="00F758B3"/>
    <w:pPr>
      <w:numPr>
        <w:ilvl w:val="2"/>
      </w:numPr>
      <w:outlineLvl w:val="2"/>
    </w:pPr>
    <w:rPr>
      <w:b/>
    </w:rPr>
  </w:style>
  <w:style w:type="paragraph" w:styleId="4">
    <w:name w:val="heading 4"/>
    <w:next w:val="a"/>
    <w:link w:val="40"/>
    <w:uiPriority w:val="9"/>
    <w:unhideWhenUsed/>
    <w:qFormat/>
    <w:rsid w:val="00513D70"/>
    <w:pPr>
      <w:keepNext/>
      <w:keepLines/>
      <w:numPr>
        <w:ilvl w:val="3"/>
        <w:numId w:val="4"/>
      </w:numPr>
      <w:outlineLvl w:val="3"/>
    </w:pPr>
    <w:rPr>
      <w:rFonts w:ascii="Times New Roman" w:eastAsia="宋体" w:hAnsi="Times New Roman" w:cstheme="majorBidi"/>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标题3"/>
    <w:next w:val="a"/>
    <w:link w:val="a4"/>
    <w:uiPriority w:val="10"/>
    <w:qFormat/>
    <w:rsid w:val="00835912"/>
    <w:pPr>
      <w:spacing w:beforeLines="50" w:before="50" w:afterLines="50" w:after="50"/>
      <w:ind w:firstLineChars="200" w:firstLine="200"/>
      <w:jc w:val="center"/>
      <w:outlineLvl w:val="0"/>
    </w:pPr>
    <w:rPr>
      <w:rFonts w:ascii="Times New Roman" w:eastAsia="黑体" w:hAnsi="Times New Roman" w:cstheme="majorBidi"/>
      <w:b/>
      <w:bCs/>
      <w:sz w:val="24"/>
      <w:szCs w:val="32"/>
    </w:rPr>
  </w:style>
  <w:style w:type="character" w:customStyle="1" w:styleId="a4">
    <w:name w:val="标题 字符"/>
    <w:aliases w:val="标题3 字符"/>
    <w:basedOn w:val="a0"/>
    <w:link w:val="a3"/>
    <w:uiPriority w:val="10"/>
    <w:rsid w:val="00835912"/>
    <w:rPr>
      <w:rFonts w:ascii="Times New Roman" w:eastAsia="黑体" w:hAnsi="Times New Roman" w:cstheme="majorBidi"/>
      <w:b/>
      <w:bCs/>
      <w:sz w:val="24"/>
      <w:szCs w:val="32"/>
    </w:rPr>
  </w:style>
  <w:style w:type="character" w:customStyle="1" w:styleId="10">
    <w:name w:val="标题 1 字符"/>
    <w:basedOn w:val="a0"/>
    <w:link w:val="1"/>
    <w:qFormat/>
    <w:rsid w:val="006E37D5"/>
    <w:rPr>
      <w:rFonts w:ascii="Times New Roman" w:eastAsia="宋体" w:hAnsi="Times New Roman" w:cs="Times New Roman"/>
      <w:kern w:val="0"/>
      <w:sz w:val="28"/>
      <w:szCs w:val="24"/>
    </w:rPr>
  </w:style>
  <w:style w:type="character" w:customStyle="1" w:styleId="20">
    <w:name w:val="标题 2 字符"/>
    <w:basedOn w:val="a0"/>
    <w:link w:val="2"/>
    <w:qFormat/>
    <w:rsid w:val="006E37D5"/>
    <w:rPr>
      <w:rFonts w:ascii="Times New Roman" w:eastAsia="宋体" w:hAnsi="Times New Roman" w:cs="Times New Roman"/>
      <w:kern w:val="0"/>
      <w:sz w:val="24"/>
      <w:szCs w:val="24"/>
    </w:rPr>
  </w:style>
  <w:style w:type="character" w:customStyle="1" w:styleId="30">
    <w:name w:val="标题 3 字符"/>
    <w:basedOn w:val="a0"/>
    <w:link w:val="3"/>
    <w:qFormat/>
    <w:rsid w:val="00F758B3"/>
    <w:rPr>
      <w:kern w:val="0"/>
    </w:rPr>
  </w:style>
  <w:style w:type="paragraph" w:customStyle="1" w:styleId="a5">
    <w:name w:val="图片"/>
    <w:basedOn w:val="a"/>
    <w:link w:val="a6"/>
    <w:qFormat/>
    <w:rsid w:val="002A15B8"/>
    <w:pPr>
      <w:jc w:val="center"/>
    </w:pPr>
  </w:style>
  <w:style w:type="character" w:customStyle="1" w:styleId="a6">
    <w:name w:val="图片 字符"/>
    <w:basedOn w:val="a0"/>
    <w:link w:val="a5"/>
    <w:rsid w:val="002A15B8"/>
    <w:rPr>
      <w:rFonts w:ascii="Times New Roman" w:eastAsia="宋体" w:hAnsi="Times New Roman"/>
    </w:rPr>
  </w:style>
  <w:style w:type="character" w:customStyle="1" w:styleId="40">
    <w:name w:val="标题 4 字符"/>
    <w:basedOn w:val="a0"/>
    <w:link w:val="4"/>
    <w:uiPriority w:val="9"/>
    <w:rsid w:val="00513D70"/>
    <w:rPr>
      <w:rFonts w:ascii="Times New Roman" w:eastAsia="宋体" w:hAnsi="Times New Roman" w:cstheme="majorBidi"/>
      <w:b/>
      <w:bCs/>
      <w:sz w:val="24"/>
      <w:szCs w:val="28"/>
    </w:rPr>
  </w:style>
  <w:style w:type="paragraph" w:customStyle="1" w:styleId="a7">
    <w:name w:val="公式"/>
    <w:basedOn w:val="a8"/>
    <w:next w:val="a"/>
    <w:link w:val="a9"/>
    <w:uiPriority w:val="1"/>
    <w:qFormat/>
    <w:rsid w:val="00F758B3"/>
    <w:pPr>
      <w:widowControl w:val="0"/>
      <w:tabs>
        <w:tab w:val="center" w:pos="5103"/>
      </w:tabs>
      <w:spacing w:beforeLines="50" w:before="163" w:afterLines="50" w:after="163"/>
      <w:jc w:val="both"/>
    </w:pPr>
    <w:rPr>
      <w:rFonts w:cs="Times New Roman"/>
      <w:kern w:val="0"/>
      <w:sz w:val="24"/>
      <w:szCs w:val="24"/>
    </w:rPr>
  </w:style>
  <w:style w:type="character" w:customStyle="1" w:styleId="a9">
    <w:name w:val="公式 字符"/>
    <w:basedOn w:val="a0"/>
    <w:link w:val="a7"/>
    <w:uiPriority w:val="1"/>
    <w:rsid w:val="00F758B3"/>
    <w:rPr>
      <w:rFonts w:ascii="Times New Roman" w:eastAsia="黑体" w:hAnsi="Times New Roman" w:cs="Times New Roman"/>
      <w:kern w:val="0"/>
      <w:sz w:val="24"/>
      <w:szCs w:val="24"/>
    </w:rPr>
  </w:style>
  <w:style w:type="paragraph" w:styleId="a8">
    <w:name w:val="caption"/>
    <w:next w:val="a"/>
    <w:uiPriority w:val="35"/>
    <w:unhideWhenUsed/>
    <w:qFormat/>
    <w:rsid w:val="00042E7D"/>
    <w:pPr>
      <w:jc w:val="center"/>
    </w:pPr>
    <w:rPr>
      <w:rFonts w:ascii="Times New Roman" w:eastAsia="黑体" w:hAnsi="Times New Roman" w:cstheme="majorBidi"/>
      <w:sz w:val="20"/>
      <w:szCs w:val="20"/>
    </w:rPr>
  </w:style>
  <w:style w:type="paragraph" w:customStyle="1" w:styleId="Notes">
    <w:name w:val="Notes"/>
    <w:basedOn w:val="a"/>
    <w:next w:val="a"/>
    <w:link w:val="Notes0"/>
    <w:uiPriority w:val="1"/>
    <w:qFormat/>
    <w:rsid w:val="00F758B3"/>
    <w:pPr>
      <w:spacing w:afterLines="50" w:after="120"/>
    </w:pPr>
    <w:rPr>
      <w:szCs w:val="21"/>
      <w:lang w:val="de-DE" w:bidi="en-US"/>
    </w:rPr>
  </w:style>
  <w:style w:type="character" w:customStyle="1" w:styleId="Notes0">
    <w:name w:val="Notes 字符"/>
    <w:link w:val="Notes"/>
    <w:uiPriority w:val="1"/>
    <w:qFormat/>
    <w:rsid w:val="00F758B3"/>
    <w:rPr>
      <w:kern w:val="0"/>
      <w:lang w:val="de-DE" w:bidi="en-US"/>
    </w:rPr>
  </w:style>
  <w:style w:type="paragraph" w:customStyle="1" w:styleId="formula">
    <w:name w:val="formula"/>
    <w:basedOn w:val="a"/>
    <w:next w:val="a"/>
    <w:link w:val="formula0"/>
    <w:qFormat/>
    <w:rsid w:val="002D000E"/>
    <w:pPr>
      <w:tabs>
        <w:tab w:val="center" w:pos="4150"/>
        <w:tab w:val="right" w:pos="10104"/>
      </w:tabs>
      <w:spacing w:line="300" w:lineRule="auto"/>
    </w:pPr>
  </w:style>
  <w:style w:type="character" w:customStyle="1" w:styleId="formula0">
    <w:name w:val="formula 字符"/>
    <w:basedOn w:val="a0"/>
    <w:link w:val="formula"/>
    <w:rsid w:val="002D000E"/>
    <w:rPr>
      <w:szCs w:val="22"/>
    </w:rPr>
  </w:style>
  <w:style w:type="paragraph" w:customStyle="1" w:styleId="Fig">
    <w:name w:val="Fig"/>
    <w:basedOn w:val="a"/>
    <w:next w:val="a"/>
    <w:link w:val="Fig0"/>
    <w:qFormat/>
    <w:rsid w:val="00F758B3"/>
    <w:pPr>
      <w:spacing w:beforeLines="50" w:before="50"/>
      <w:jc w:val="center"/>
    </w:pPr>
    <w:rPr>
      <w:rFonts w:eastAsia="Times New Roman"/>
      <w:szCs w:val="21"/>
    </w:rPr>
  </w:style>
  <w:style w:type="character" w:customStyle="1" w:styleId="Fig0">
    <w:name w:val="Fig 字符"/>
    <w:link w:val="Fig"/>
    <w:qFormat/>
    <w:rsid w:val="00F758B3"/>
    <w:rPr>
      <w:rFonts w:eastAsia="Times New Roman"/>
      <w:kern w:val="0"/>
    </w:rPr>
  </w:style>
  <w:style w:type="paragraph" w:customStyle="1" w:styleId="FigX">
    <w:name w:val="FigX"/>
    <w:basedOn w:val="a"/>
    <w:next w:val="a"/>
    <w:link w:val="FigXChar"/>
    <w:qFormat/>
    <w:rsid w:val="00F758B3"/>
    <w:pPr>
      <w:spacing w:afterLines="100" w:after="100" w:line="360" w:lineRule="auto"/>
      <w:jc w:val="center"/>
      <w:outlineLvl w:val="4"/>
    </w:pPr>
    <w:rPr>
      <w:rFonts w:eastAsia="Times New Roman"/>
      <w:snapToGrid w:val="0"/>
      <w:szCs w:val="21"/>
      <w:lang w:val="de-DE" w:bidi="en-US"/>
    </w:rPr>
  </w:style>
  <w:style w:type="character" w:customStyle="1" w:styleId="FigXChar">
    <w:name w:val="FigX Char"/>
    <w:link w:val="FigX"/>
    <w:qFormat/>
    <w:rsid w:val="00F758B3"/>
    <w:rPr>
      <w:rFonts w:eastAsia="Times New Roman"/>
      <w:snapToGrid w:val="0"/>
      <w:kern w:val="0"/>
      <w:lang w:val="de-DE" w:bidi="en-US"/>
    </w:rPr>
  </w:style>
  <w:style w:type="paragraph" w:customStyle="1" w:styleId="table">
    <w:name w:val="table"/>
    <w:basedOn w:val="a"/>
    <w:next w:val="a"/>
    <w:link w:val="table0"/>
    <w:qFormat/>
    <w:rsid w:val="00F758B3"/>
    <w:rPr>
      <w:snapToGrid w:val="0"/>
      <w:szCs w:val="21"/>
      <w:lang w:val="de-DE" w:bidi="en-US"/>
    </w:rPr>
  </w:style>
  <w:style w:type="character" w:customStyle="1" w:styleId="table0">
    <w:name w:val="table 字符"/>
    <w:link w:val="table"/>
    <w:qFormat/>
    <w:rsid w:val="00F758B3"/>
    <w:rPr>
      <w:snapToGrid w:val="0"/>
      <w:kern w:val="0"/>
      <w:lang w:val="de-DE" w:bidi="en-US"/>
    </w:rPr>
  </w:style>
  <w:style w:type="paragraph" w:customStyle="1" w:styleId="TableX">
    <w:name w:val="TableX"/>
    <w:basedOn w:val="Fig"/>
    <w:next w:val="a"/>
    <w:link w:val="TableX0"/>
    <w:qFormat/>
    <w:rsid w:val="00F758B3"/>
    <w:pPr>
      <w:outlineLvl w:val="4"/>
    </w:pPr>
  </w:style>
  <w:style w:type="character" w:customStyle="1" w:styleId="TableX0">
    <w:name w:val="TableX 字符"/>
    <w:link w:val="TableX"/>
    <w:qFormat/>
    <w:rsid w:val="00F758B3"/>
    <w:rPr>
      <w:rFonts w:eastAsia="Times New Roman"/>
      <w:kern w:val="0"/>
    </w:rPr>
  </w:style>
  <w:style w:type="table" w:customStyle="1" w:styleId="11">
    <w:name w:val="样式1"/>
    <w:basedOn w:val="a1"/>
    <w:uiPriority w:val="99"/>
    <w:rsid w:val="006E37D5"/>
    <w:rPr>
      <w:color w:val="000000" w:themeColor="text1"/>
    </w:rPr>
    <w:tblPr/>
  </w:style>
  <w:style w:type="table" w:customStyle="1" w:styleId="21">
    <w:name w:val="样式2"/>
    <w:basedOn w:val="a1"/>
    <w:uiPriority w:val="99"/>
    <w:rsid w:val="00152468"/>
    <w:rPr>
      <w:rFonts w:ascii="Times New Roman" w:eastAsia="宋体" w:hAnsi="Times New Roman"/>
    </w:r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aa">
    <w:name w:val="header"/>
    <w:basedOn w:val="a"/>
    <w:link w:val="ab"/>
    <w:uiPriority w:val="99"/>
    <w:unhideWhenUsed/>
    <w:rsid w:val="00971363"/>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971363"/>
    <w:rPr>
      <w:rFonts w:ascii="Times New Roman" w:eastAsia="宋体" w:hAnsi="Times New Roman" w:cs="Times New Roman"/>
      <w:kern w:val="0"/>
      <w:sz w:val="18"/>
      <w:szCs w:val="18"/>
    </w:rPr>
  </w:style>
  <w:style w:type="paragraph" w:styleId="ac">
    <w:name w:val="footer"/>
    <w:basedOn w:val="a"/>
    <w:link w:val="ad"/>
    <w:uiPriority w:val="99"/>
    <w:unhideWhenUsed/>
    <w:rsid w:val="00971363"/>
    <w:pPr>
      <w:tabs>
        <w:tab w:val="center" w:pos="4153"/>
        <w:tab w:val="right" w:pos="8306"/>
      </w:tabs>
      <w:snapToGrid w:val="0"/>
      <w:jc w:val="left"/>
    </w:pPr>
    <w:rPr>
      <w:sz w:val="18"/>
      <w:szCs w:val="18"/>
    </w:rPr>
  </w:style>
  <w:style w:type="character" w:customStyle="1" w:styleId="ad">
    <w:name w:val="页脚 字符"/>
    <w:basedOn w:val="a0"/>
    <w:link w:val="ac"/>
    <w:uiPriority w:val="99"/>
    <w:rsid w:val="00971363"/>
    <w:rPr>
      <w:rFonts w:ascii="Times New Roman" w:eastAsia="宋体" w:hAnsi="Times New Roman" w:cs="Times New Roman"/>
      <w:kern w:val="0"/>
      <w:sz w:val="18"/>
      <w:szCs w:val="18"/>
    </w:rPr>
  </w:style>
  <w:style w:type="table" w:styleId="ae">
    <w:name w:val="Table Grid"/>
    <w:basedOn w:val="a1"/>
    <w:autoRedefine/>
    <w:uiPriority w:val="39"/>
    <w:qFormat/>
    <w:rsid w:val="00971363"/>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autoRedefine/>
    <w:uiPriority w:val="99"/>
    <w:qFormat/>
    <w:rsid w:val="009713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psmodels.com/elecpapr/g-318.htm" TargetMode="External"/><Relationship Id="rId13" Type="http://schemas.openxmlformats.org/officeDocument/2006/relationships/hyperlink" Target="https://www.ngfs.net/sites/default/files/ngfs_climate_scenarios_technical_documentation__phase2_june2021.pdf"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ink.springer.com/book/10.1007/978-981-16-2524-4" TargetMode="External"/><Relationship Id="rId12" Type="http://schemas.openxmlformats.org/officeDocument/2006/relationships/hyperlink" Target="https://www.ipcc.ch/sr15/"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re.iiasa.ac.at/id/eprint/14685/"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ssrn.com/abstract=4007974"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iea.org/reports/world-energy-outlook-2021"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Nenggao Zhu</dc:creator>
  <cp:keywords/>
  <dc:description/>
  <cp:lastModifiedBy>Nenggao Zhu</cp:lastModifiedBy>
  <cp:revision>2</cp:revision>
  <dcterms:created xsi:type="dcterms:W3CDTF">2024-08-27T07:24:00Z</dcterms:created>
  <dcterms:modified xsi:type="dcterms:W3CDTF">2024-08-27T07:26:00Z</dcterms:modified>
</cp:coreProperties>
</file>