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6.jpg" ContentType="image/jpeg"/>
  <Override PartName="/word/media/rId27.png" ContentType="image/pn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Materials</w:t>
      </w:r>
    </w:p>
    <w:bookmarkStart w:id="30" w:name="supplementary-materials"/>
    <w:p>
      <w:pPr>
        <w:pStyle w:val="Heading1"/>
      </w:pPr>
      <w:r>
        <w:t xml:space="preserve">Supplementary Materials</w:t>
      </w:r>
    </w:p>
    <w:bookmarkStart w:id="20" w:name="s1.-dataset-construction-and-annotation"/>
    <w:p>
      <w:pPr>
        <w:pStyle w:val="Heading2"/>
      </w:pPr>
      <w:r>
        <w:t xml:space="preserve">S1. Dataset construction and annotation</w:t>
      </w:r>
    </w:p>
    <w:p>
      <w:pPr>
        <w:pStyle w:val="FirstParagraph"/>
      </w:pPr>
      <w:r>
        <w:t xml:space="preserve">Field images were collected from two vineyard sites in Guangxi, China</w:t>
      </w:r>
      <w:r>
        <w:t xml:space="preserve"> </w:t>
      </w:r>
      <w:r>
        <w:t xml:space="preserve">between April and August 2024. Images were captured using two consumer</w:t>
      </w:r>
      <w:r>
        <w:t xml:space="preserve"> </w:t>
      </w:r>
      <w:r>
        <w:t xml:space="preserve">smartphones at a distance of approximately 15–20 cm. Each image focused</w:t>
      </w:r>
      <w:r>
        <w:t xml:space="preserve"> </w:t>
      </w:r>
      <w:r>
        <w:t xml:space="preserve">on a single leaf. Images with severe blur, strong direct sunlight,</w:t>
      </w:r>
      <w:r>
        <w:t xml:space="preserve"> </w:t>
      </w:r>
      <w:r>
        <w:t xml:space="preserve">incomplete leaves, or heavy occlusion were excluded before annotation.</w:t>
      </w:r>
    </w:p>
    <w:p>
      <w:pPr>
        <w:pStyle w:val="BodyText"/>
      </w:pPr>
      <w:r>
        <w:t xml:space="preserve">Leaf and lesion regions were annotated using LabelMe. Two binary masks</w:t>
      </w:r>
      <w:r>
        <w:t xml:space="preserve"> </w:t>
      </w:r>
      <w:r>
        <w:t xml:space="preserve">were generated for each image: a leaf mask for leaf/background</w:t>
      </w:r>
      <w:r>
        <w:t xml:space="preserve"> </w:t>
      </w:r>
      <w:r>
        <w:t xml:space="preserve">segmentation and a lesion mask for lesion/non-lesion segmentation. Three</w:t>
      </w:r>
      <w:r>
        <w:t xml:space="preserve"> </w:t>
      </w:r>
      <w:r>
        <w:t xml:space="preserve">datasets were then constructed: the original full-field images for leaf</w:t>
      </w:r>
      <w:r>
        <w:t xml:space="preserve"> </w:t>
      </w:r>
      <w:r>
        <w:t xml:space="preserve">segmentation, cropped leaf regions for lesion segmentation, and original</w:t>
      </w:r>
      <w:r>
        <w:t xml:space="preserve"> </w:t>
      </w:r>
      <w:r>
        <w:t xml:space="preserve">images paired with lesion masks for single-stage comparison.</w:t>
      </w:r>
    </w:p>
    <w:bookmarkEnd w:id="20"/>
    <w:bookmarkStart w:id="21" w:name="s2.-additional-model-design-details"/>
    <w:p>
      <w:pPr>
        <w:pStyle w:val="Heading2"/>
      </w:pPr>
      <w:r>
        <w:t xml:space="preserve">S2. Additional model design details</w:t>
      </w:r>
    </w:p>
    <w:p>
      <w:pPr>
        <w:pStyle w:val="FirstParagraph"/>
      </w:pPr>
      <w:r>
        <w:t xml:space="preserve">The first stage uses DeepLabV3+ because its multi-scale context</w:t>
      </w:r>
      <w:r>
        <w:t xml:space="preserve"> </w:t>
      </w:r>
      <w:r>
        <w:t xml:space="preserve">aggregation is suitable for complete leaf extraction under complex</w:t>
      </w:r>
      <w:r>
        <w:t xml:space="preserve"> </w:t>
      </w:r>
      <w:r>
        <w:t xml:space="preserve">backgrounds. MobileNetV3 was selected as a compact backbone, and its SE</w:t>
      </w:r>
      <w:r>
        <w:t xml:space="preserve"> </w:t>
      </w:r>
      <w:r>
        <w:t xml:space="preserve">attention was replaced by SimAM to improve spatial sensitivity without</w:t>
      </w:r>
      <w:r>
        <w:t xml:space="preserve"> </w:t>
      </w:r>
      <w:r>
        <w:t xml:space="preserve">adding learnable parameters.</w:t>
      </w:r>
    </w:p>
    <w:p>
      <w:pPr>
        <w:pStyle w:val="BodyText"/>
      </w:pPr>
      <w:r>
        <w:t xml:space="preserve">The second stage uses a U-Net framework because skip connections and</w:t>
      </w:r>
      <w:r>
        <w:t xml:space="preserve"> </w:t>
      </w:r>
      <w:r>
        <w:t xml:space="preserve">decoder reconstruction are effective for small lesion regions.</w:t>
      </w:r>
      <w:r>
        <w:t xml:space="preserve"> </w:t>
      </w:r>
      <w:r>
        <w:t xml:space="preserve">EfficientNet-B0 replaces the heavier VGG16 encoder to reduce parameter</w:t>
      </w:r>
      <w:r>
        <w:t xml:space="preserve"> </w:t>
      </w:r>
      <w:r>
        <w:t xml:space="preserve">cost while retaining multi-scale feature extraction. RepConv is used in</w:t>
      </w:r>
      <w:r>
        <w:t xml:space="preserve"> </w:t>
      </w:r>
      <w:r>
        <w:t xml:space="preserve">the decoder because it provides multi-branch representation during</w:t>
      </w:r>
      <w:r>
        <w:t xml:space="preserve"> </w:t>
      </w:r>
      <w:r>
        <w:t xml:space="preserve">training and can be re-parameterized into a single convolution during</w:t>
      </w:r>
      <w:r>
        <w:t xml:space="preserve"> </w:t>
      </w:r>
      <w:r>
        <w:t xml:space="preserve">inference.</w:t>
      </w:r>
    </w:p>
    <w:bookmarkEnd w:id="21"/>
    <w:bookmarkStart w:id="22" w:name="s3.-additional-ablation-settings"/>
    <w:p>
      <w:pPr>
        <w:pStyle w:val="Heading2"/>
      </w:pPr>
      <w:r>
        <w:t xml:space="preserve">S3. Additional ablation settings</w:t>
      </w:r>
    </w:p>
    <w:p>
      <w:pPr>
        <w:pStyle w:val="FirstParagraph"/>
      </w:pPr>
      <w:r>
        <w:t xml:space="preserve">For leaf segmentation, the compared segmentation architectures included</w:t>
      </w:r>
      <w:r>
        <w:t xml:space="preserve"> </w:t>
      </w:r>
      <w:r>
        <w:t xml:space="preserve">U-Net, DeepLabV3+, PSPNet, HRNet, and SegFormer. Backbone comparison was</w:t>
      </w:r>
      <w:r>
        <w:t xml:space="preserve"> </w:t>
      </w:r>
      <w:r>
        <w:t xml:space="preserve">conducted within DeepLabV3+ using MobileNetV2, MobileNetV3, MobileNetV4,</w:t>
      </w:r>
      <w:r>
        <w:t xml:space="preserve"> </w:t>
      </w:r>
      <w:r>
        <w:t xml:space="preserve">StarNetS1, and EfficientNet-B0. The effect of attention was evaluated by</w:t>
      </w:r>
      <w:r>
        <w:t xml:space="preserve"> </w:t>
      </w:r>
      <w:r>
        <w:t xml:space="preserve">comparing MobileNetV3-SE with SimAM-enhanced MobileNetV3.</w:t>
      </w:r>
    </w:p>
    <w:p>
      <w:pPr>
        <w:pStyle w:val="BodyText"/>
      </w:pPr>
      <w:r>
        <w:t xml:space="preserve">For lesion segmentation, the compared backbones included VGG16,</w:t>
      </w:r>
      <w:r>
        <w:t xml:space="preserve"> </w:t>
      </w:r>
      <w:r>
        <w:t xml:space="preserve">ResNet50, ResNetRS50, MobileNetV2, MobileNetV3, and EfficientNet-B0.</w:t>
      </w:r>
      <w:r>
        <w:t xml:space="preserve"> </w:t>
      </w:r>
      <w:r>
        <w:t xml:space="preserve">Attention modules included SE, ECA, CBAM, and SimAM. Decoder convolution</w:t>
      </w:r>
      <w:r>
        <w:t xml:space="preserve"> </w:t>
      </w:r>
      <w:r>
        <w:t xml:space="preserve">variants included Conv, Convx2, RepConv, ODConv, PConv, and</w:t>
      </w:r>
      <w:r>
        <w:t xml:space="preserve"> </w:t>
      </w:r>
      <w:r>
        <w:t xml:space="preserve">CondConv2D.</w:t>
      </w:r>
    </w:p>
    <w:bookmarkEnd w:id="22"/>
    <w:bookmarkStart w:id="23" w:name="s4.-expert-visual-evaluation"/>
    <w:p>
      <w:pPr>
        <w:pStyle w:val="Heading2"/>
      </w:pPr>
      <w:r>
        <w:t xml:space="preserve">S4. Expert visual evaluation</w:t>
      </w:r>
    </w:p>
    <w:p>
      <w:pPr>
        <w:pStyle w:val="FirstParagraph"/>
      </w:pPr>
      <w:r>
        <w:t xml:space="preserve">Fifteen trained technicians independently estimated disease severity</w:t>
      </w:r>
      <w:r>
        <w:t xml:space="preserve"> </w:t>
      </w:r>
      <w:r>
        <w:t xml:space="preserve">from representative leaf images without quantitative tools. Their</w:t>
      </w:r>
      <w:r>
        <w:t xml:space="preserve"> </w:t>
      </w:r>
      <w:r>
        <w:t xml:space="preserve">estimates were compared with model predictions to evaluate consistency</w:t>
      </w:r>
      <w:r>
        <w:t xml:space="preserve"> </w:t>
      </w:r>
      <w:r>
        <w:t xml:space="preserve">between visual assessment and automated severity quantification. Expert</w:t>
      </w:r>
      <w:r>
        <w:t xml:space="preserve"> </w:t>
      </w:r>
      <w:r>
        <w:t xml:space="preserve">estimates showed greater variability under mild disease symptoms,</w:t>
      </w:r>
      <w:r>
        <w:t xml:space="preserve"> </w:t>
      </w:r>
      <w:r>
        <w:t xml:space="preserve">indicating that model-based pixel-level quantification can reduce</w:t>
      </w:r>
      <w:r>
        <w:t xml:space="preserve"> </w:t>
      </w:r>
      <w:r>
        <w:t xml:space="preserve">subjectivity in early-stage disease assessment.</w:t>
      </w:r>
    </w:p>
    <w:bookmarkEnd w:id="23"/>
    <w:bookmarkStart w:id="24" w:name="s5.-deployment-notes"/>
    <w:p>
      <w:pPr>
        <w:pStyle w:val="Heading2"/>
      </w:pPr>
      <w:r>
        <w:t xml:space="preserve">S5. Deployment notes</w:t>
      </w:r>
    </w:p>
    <w:p>
      <w:pPr>
        <w:pStyle w:val="FirstParagraph"/>
      </w:pPr>
      <w:r>
        <w:t xml:space="preserve">The proposed framework was integrated into a Flutter-based Android</w:t>
      </w:r>
      <w:r>
        <w:t xml:space="preserve"> </w:t>
      </w:r>
      <w:r>
        <w:t xml:space="preserve">application. The application supports image input, model inference,</w:t>
      </w:r>
      <w:r>
        <w:t xml:space="preserve"> </w:t>
      </w:r>
      <w:r>
        <w:t xml:space="preserve">segmentation visualization, and disease severity output. This deployment</w:t>
      </w:r>
      <w:r>
        <w:t xml:space="preserve"> </w:t>
      </w:r>
      <w:r>
        <w:t xml:space="preserve">demonstrates the feasibility of using DSLL-Net for portable field</w:t>
      </w:r>
      <w:r>
        <w:t xml:space="preserve"> </w:t>
      </w:r>
      <w:r>
        <w:t xml:space="preserve">monitoring, although further optimization is needed for faster inference</w:t>
      </w:r>
      <w:r>
        <w:t xml:space="preserve"> </w:t>
      </w:r>
      <w:r>
        <w:t xml:space="preserve">on edge devices.</w:t>
      </w:r>
    </w:p>
    <w:bookmarkEnd w:id="24"/>
    <w:bookmarkStart w:id="29" w:name="supplementary-figures"/>
    <w:p>
      <w:pPr>
        <w:pStyle w:val="Heading2"/>
      </w:pPr>
      <w:r>
        <w:t xml:space="preserve">Supplementary Figures</w:t>
      </w:r>
    </w:p>
    <w:p>
      <w:pPr>
        <w:pStyle w:val="CaptionedFigure"/>
      </w:pPr>
      <w:r>
        <w:drawing>
          <wp:inline>
            <wp:extent cx="4501019" cy="4041731"/>
            <wp:effectExtent b="0" l="0" r="0" t="0"/>
            <wp:docPr descr="Fig. S1. Regression analysis of disease severity predicted by the proposed SimEffB0-RepUNet model against the ground truth values. The x-axis represents the ground truth, while the y-axis denotes the predicted values. Each scatter point reflects the deviation between the predicted result and the actual label for an individual sample." title="" id="1" name="Picture"/>
            <a:graphic>
              <a:graphicData uri="http://schemas.openxmlformats.org/drawingml/2006/picture">
                <pic:pic>
                  <pic:nvPicPr>
                    <pic:cNvPr descr="Supplementary_Materials_media/media/image1.png" id="0" name="Picture"/>
                    <pic:cNvPicPr>
                      <a:picLocks noChangeArrowheads="1" noChangeAspect="1"/>
                    </pic:cNvPicPr>
                  </pic:nvPicPr>
                  <pic:blipFill>
                    <a:blip r:embed="rId25"/>
                    <a:stretch>
                      <a:fillRect/>
                    </a:stretch>
                  </pic:blipFill>
                  <pic:spPr bwMode="auto">
                    <a:xfrm>
                      <a:off x="0" y="0"/>
                      <a:ext cx="4501019" cy="4041731"/>
                    </a:xfrm>
                    <a:prstGeom prst="rect">
                      <a:avLst/>
                    </a:prstGeom>
                    <a:noFill/>
                    <a:ln w="9525">
                      <a:noFill/>
                      <a:headEnd/>
                      <a:tailEnd/>
                    </a:ln>
                  </pic:spPr>
                </pic:pic>
              </a:graphicData>
            </a:graphic>
          </wp:inline>
        </w:drawing>
      </w:r>
    </w:p>
    <w:p>
      <w:pPr>
        <w:pStyle w:val="ImageCaption"/>
      </w:pPr>
      <w:r>
        <w:t xml:space="preserve">Fig. S1. Regression analysis of disease severity predicted by the</w:t>
      </w:r>
      <w:r>
        <w:t xml:space="preserve"> </w:t>
      </w:r>
      <w:r>
        <w:t xml:space="preserve">proposed SimEffB0-RepUNet model against the ground truth values. The</w:t>
      </w:r>
      <w:r>
        <w:t xml:space="preserve"> </w:t>
      </w:r>
      <w:r>
        <w:t xml:space="preserve">x-axis represents the ground truth, while the y-axis denotes the</w:t>
      </w:r>
      <w:r>
        <w:t xml:space="preserve"> </w:t>
      </w:r>
      <w:r>
        <w:t xml:space="preserve">predicted values. Each scatter point reflects the deviation between the</w:t>
      </w:r>
      <w:r>
        <w:t xml:space="preserve"> </w:t>
      </w:r>
      <w:r>
        <w:t xml:space="preserve">predicted result and the actual label for an individual sample.</w:t>
      </w:r>
    </w:p>
    <w:p>
      <w:pPr>
        <w:pStyle w:val="CaptionedFigure"/>
      </w:pPr>
      <w:r>
        <w:drawing>
          <wp:inline>
            <wp:extent cx="5278581" cy="7772400"/>
            <wp:effectExtent b="0" l="0" r="0" t="0"/>
            <wp:docPr descr="Fig. S2. The actual segmentation results on three images generated by the five single-stage models and the dual-stage models, including U-Net, HRNet, PSPNet, DeepLabV3+, SegFormer, DeepLabV3+U-Net, and SimV3-DL3+SimEffB0-RepUNet." title="" id="1" name="Picture"/>
            <a:graphic>
              <a:graphicData uri="http://schemas.openxmlformats.org/drawingml/2006/picture">
                <pic:pic>
                  <pic:nvPicPr>
                    <pic:cNvPr descr="Supplementary_Materials_media/media/image2.jpeg" id="0" name="Picture"/>
                    <pic:cNvPicPr>
                      <a:picLocks noChangeArrowheads="1" noChangeAspect="1"/>
                    </pic:cNvPicPr>
                  </pic:nvPicPr>
                  <pic:blipFill>
                    <a:blip r:embed="rId26"/>
                    <a:stretch>
                      <a:fillRect/>
                    </a:stretch>
                  </pic:blipFill>
                  <pic:spPr bwMode="auto">
                    <a:xfrm>
                      <a:off x="0" y="0"/>
                      <a:ext cx="5278581" cy="7772400"/>
                    </a:xfrm>
                    <a:prstGeom prst="rect">
                      <a:avLst/>
                    </a:prstGeom>
                    <a:noFill/>
                    <a:ln w="9525">
                      <a:noFill/>
                      <a:headEnd/>
                      <a:tailEnd/>
                    </a:ln>
                  </pic:spPr>
                </pic:pic>
              </a:graphicData>
            </a:graphic>
          </wp:inline>
        </w:drawing>
      </w:r>
    </w:p>
    <w:p>
      <w:pPr>
        <w:pStyle w:val="ImageCaption"/>
      </w:pPr>
      <w:r>
        <w:t xml:space="preserve">Fig. S2. The actual segmentation results on three images generated by</w:t>
      </w:r>
      <w:r>
        <w:t xml:space="preserve"> </w:t>
      </w:r>
      <w:r>
        <w:t xml:space="preserve">the five single-stage models and the dual-stage models, including U-Net,</w:t>
      </w:r>
      <w:r>
        <w:t xml:space="preserve"> </w:t>
      </w:r>
      <w:r>
        <w:t xml:space="preserve">HRNet, PSPNet, DeepLabV3+, SegFormer, DeepLabV3+U-Net, and</w:t>
      </w:r>
      <w:r>
        <w:t xml:space="preserve"> </w:t>
      </w:r>
      <w:r>
        <w:t xml:space="preserve">SimV3-DL3+SimEffB0-RepUNet.</w:t>
      </w:r>
    </w:p>
    <w:p>
      <w:pPr>
        <w:pStyle w:val="CaptionedFigure"/>
      </w:pPr>
      <w:r>
        <w:drawing>
          <wp:inline>
            <wp:extent cx="5002060" cy="4701435"/>
            <wp:effectExtent b="0" l="0" r="0" t="0"/>
            <wp:docPr descr="Fig. S3. Illustrative comparison of predicted severity with expert visual estimates, where S1–S15 represent the expert visual estimate, average for the average value of the total 15 expert estimates, and predicted for predicted severity with our model." title="" id="1" name="Picture"/>
            <a:graphic>
              <a:graphicData uri="http://schemas.openxmlformats.org/drawingml/2006/picture">
                <pic:pic>
                  <pic:nvPicPr>
                    <pic:cNvPr descr="Supplementary_Materials_media/media/image3.png" id="0" name="Picture"/>
                    <pic:cNvPicPr>
                      <a:picLocks noChangeArrowheads="1" noChangeAspect="1"/>
                    </pic:cNvPicPr>
                  </pic:nvPicPr>
                  <pic:blipFill>
                    <a:blip r:embed="rId27"/>
                    <a:stretch>
                      <a:fillRect/>
                    </a:stretch>
                  </pic:blipFill>
                  <pic:spPr bwMode="auto">
                    <a:xfrm>
                      <a:off x="0" y="0"/>
                      <a:ext cx="5002060" cy="4701435"/>
                    </a:xfrm>
                    <a:prstGeom prst="rect">
                      <a:avLst/>
                    </a:prstGeom>
                    <a:noFill/>
                    <a:ln w="9525">
                      <a:noFill/>
                      <a:headEnd/>
                      <a:tailEnd/>
                    </a:ln>
                  </pic:spPr>
                </pic:pic>
              </a:graphicData>
            </a:graphic>
          </wp:inline>
        </w:drawing>
      </w:r>
    </w:p>
    <w:p>
      <w:pPr>
        <w:pStyle w:val="ImageCaption"/>
      </w:pPr>
      <w:r>
        <w:t xml:space="preserve">Fig. S3. Illustrative comparison of predicted severity with expert</w:t>
      </w:r>
      <w:r>
        <w:t xml:space="preserve"> </w:t>
      </w:r>
      <w:r>
        <w:t xml:space="preserve">visual estimates, where S1–S15 represent the expert visual estimate,</w:t>
      </w:r>
      <w:r>
        <w:t xml:space="preserve"> </w:t>
      </w:r>
      <w:r>
        <w:t xml:space="preserve">average for the average value of the total 15 expert estimates, and</w:t>
      </w:r>
      <w:r>
        <w:t xml:space="preserve"> </w:t>
      </w:r>
      <w:r>
        <w:t xml:space="preserve">predicted for predicted severity with our model.</w:t>
      </w:r>
    </w:p>
    <w:p>
      <w:pPr>
        <w:pStyle w:val="CaptionedFigure"/>
      </w:pPr>
      <w:r>
        <w:drawing>
          <wp:inline>
            <wp:extent cx="5274425" cy="3374967"/>
            <wp:effectExtent b="0" l="0" r="0" t="0"/>
            <wp:docPr descr="Fig. S4. The mobile application and its pipeline for leaf disease severity estimation." title="" id="1" name="Picture"/>
            <a:graphic>
              <a:graphicData uri="http://schemas.openxmlformats.org/drawingml/2006/picture">
                <pic:pic>
                  <pic:nvPicPr>
                    <pic:cNvPr descr="Supplementary_Materials_media/media/image4.jpeg" id="0" name="Picture"/>
                    <pic:cNvPicPr>
                      <a:picLocks noChangeArrowheads="1" noChangeAspect="1"/>
                    </pic:cNvPicPr>
                  </pic:nvPicPr>
                  <pic:blipFill>
                    <a:blip r:embed="rId28"/>
                    <a:stretch>
                      <a:fillRect/>
                    </a:stretch>
                  </pic:blipFill>
                  <pic:spPr bwMode="auto">
                    <a:xfrm>
                      <a:off x="0" y="0"/>
                      <a:ext cx="5274425" cy="3374967"/>
                    </a:xfrm>
                    <a:prstGeom prst="rect">
                      <a:avLst/>
                    </a:prstGeom>
                    <a:noFill/>
                    <a:ln w="9525">
                      <a:noFill/>
                      <a:headEnd/>
                      <a:tailEnd/>
                    </a:ln>
                  </pic:spPr>
                </pic:pic>
              </a:graphicData>
            </a:graphic>
          </wp:inline>
        </w:drawing>
      </w:r>
    </w:p>
    <w:p>
      <w:pPr>
        <w:pStyle w:val="ImageCaption"/>
      </w:pPr>
      <w:r>
        <w:t xml:space="preserve">Fig. S4. The mobile application and its pipeline for leaf disease</w:t>
      </w:r>
      <w:r>
        <w:t xml:space="preserve"> </w:t>
      </w:r>
      <w:r>
        <w:t xml:space="preserve">severity estimation.</w:t>
      </w:r>
    </w:p>
    <w:bookmarkEnd w:id="29"/>
    <w:bookmarkEnd w:id="30"/>
    <w:sectPr>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panose1 w:val="02020603050405020304"/>
    <w:charset w:val="00"/>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rPr>
    </w:rPrDefault>
    <w:pPrDefault>
      <w:pPr>
        <w:jc w:val="both"/>
        <w:spacing w:after="120" w:line="360" w:lineRule="auto"/>
      </w:pPr>
    </w:pPrDefault>
  </w:docDefaults>
  <w:style w:styleId="Normal" w:type="paragraph">
    <w:name w:val="Normal"/>
    <w:next w:val="Normal"/>
    <w:qFormat/>
    <w:pPr>
      <w:jc w:val="both"/>
      <w:spacing w:after="120" w:line="360" w:lineRule="auto"/>
    </w:pPr>
    <w:rPr>
      <w:rFonts w:ascii="Times New Roman" w:cs="Times New Roman" w:eastAsia="Times New Roman" w:hAnsi="Times New Roman"/>
      <w:sz w:val="24"/>
      <w:szCs w:val="24"/>
    </w:rPr>
  </w:style>
  <w:style w:styleId="Title" w:type="paragraph">
    <w:name w:val="Title"/>
    <w:basedOn w:val="Normal"/>
    <w:next w:val="Authors"/>
    <w:qFormat/>
    <w:pPr>
      <w:jc w:val="center"/>
      <w:spacing w:after="160" w:line="360" w:lineRule="auto"/>
    </w:pPr>
    <w:rPr>
      <w:b/>
      <w:bCs/>
      <w:rFonts w:ascii="Times New Roman" w:cs="Times New Roman" w:eastAsia="Times New Roman" w:hAnsi="Times New Roman"/>
      <w:sz w:val="36"/>
      <w:szCs w:val="36"/>
    </w:rPr>
  </w:style>
  <w:style w:styleId="Authors" w:type="paragraph">
    <w:name w:val="Authors"/>
    <w:basedOn w:val="Normal"/>
    <w:next w:val="Affiliations"/>
    <w:qFormat/>
    <w:pPr>
      <w:jc w:val="center"/>
      <w:spacing w:after="80" w:line="360" w:lineRule="auto"/>
    </w:pPr>
    <w:rPr>
      <w:rFonts w:ascii="Times New Roman" w:cs="Times New Roman" w:eastAsia="Times New Roman" w:hAnsi="Times New Roman"/>
      <w:sz w:val="24"/>
      <w:szCs w:val="24"/>
    </w:rPr>
  </w:style>
  <w:style w:styleId="Affiliations" w:type="paragraph">
    <w:name w:val="Affiliations"/>
    <w:basedOn w:val="Normal"/>
    <w:next w:val="CorrespondingAuthor"/>
    <w:qFormat/>
    <w:pPr>
      <w:jc w:val="center"/>
      <w:spacing w:after="80" w:line="360" w:lineRule="auto"/>
    </w:pPr>
    <w:rPr>
      <w:rFonts w:ascii="Times New Roman" w:cs="Times New Roman" w:eastAsia="Times New Roman" w:hAnsi="Times New Roman"/>
      <w:sz w:val="22"/>
      <w:szCs w:val="22"/>
    </w:rPr>
  </w:style>
  <w:style w:styleId="CorrespondingAuthor" w:type="paragraph">
    <w:name w:val="Corresponding Author"/>
    <w:basedOn w:val="Normal"/>
    <w:next w:val="Normal"/>
    <w:qFormat/>
    <w:pPr>
      <w:jc w:val="center"/>
      <w:spacing w:after="160" w:line="360" w:lineRule="auto"/>
    </w:pPr>
    <w:rPr>
      <w:i/>
      <w:iCs/>
      <w:rFonts w:ascii="Times New Roman" w:cs="Times New Roman" w:eastAsia="Times New Roman" w:hAnsi="Times New Roman"/>
      <w:sz w:val="22"/>
      <w:szCs w:val="22"/>
    </w:rPr>
  </w:style>
  <w:style w:styleId="FirstParagraph" w:type="paragraph">
    <w:name w:val="First Paragraph"/>
    <w:basedOn w:val="Normal"/>
    <w:next w:val="Normal"/>
    <w:qFormat/>
    <w:pPr>
      <w:jc w:val="both"/>
      <w:spacing w:after="120" w:line="360" w:lineRule="auto"/>
    </w:pPr>
    <w:rPr>
      <w:rFonts w:ascii="Times New Roman" w:cs="Times New Roman" w:eastAsia="Times New Roman" w:hAnsi="Times New Roman"/>
      <w:sz w:val="24"/>
      <w:szCs w:val="24"/>
    </w:rPr>
  </w:style>
  <w:style w:styleId="Abstract" w:type="paragraph">
    <w:name w:val="Abstract"/>
    <w:basedOn w:val="Normal"/>
    <w:next w:val="Keywords"/>
    <w:qFormat/>
    <w:pPr>
      <w:jc w:val="both"/>
      <w:spacing w:after="120" w:line="360" w:lineRule="auto"/>
    </w:pPr>
    <w:rPr>
      <w:rFonts w:ascii="Times New Roman" w:cs="Times New Roman" w:eastAsia="Times New Roman" w:hAnsi="Times New Roman"/>
      <w:sz w:val="24"/>
      <w:szCs w:val="24"/>
    </w:rPr>
  </w:style>
  <w:style w:styleId="Keywords" w:type="paragraph">
    <w:name w:val="Keywords"/>
    <w:basedOn w:val="Normal"/>
    <w:next w:val="Normal"/>
    <w:qFormat/>
    <w:pPr>
      <w:jc w:val="both"/>
      <w:spacing w:after="160" w:line="360" w:lineRule="auto"/>
    </w:pPr>
    <w:rPr>
      <w:rFonts w:ascii="Times New Roman" w:cs="Times New Roman" w:eastAsia="Times New Roman" w:hAnsi="Times New Roman"/>
      <w:sz w:val="24"/>
      <w:szCs w:val="24"/>
    </w:rPr>
  </w:style>
  <w:style w:styleId="Heading1" w:type="paragraph">
    <w:name w:val="Heading 1"/>
    <w:basedOn w:val="Normal"/>
    <w:next w:val="Normal"/>
    <w:qFormat/>
    <w:pPr>
      <w:jc w:val="left"/>
      <w:spacing w:after="160" w:line="360" w:lineRule="auto"/>
    </w:pPr>
    <w:rPr>
      <w:b/>
      <w:bCs/>
      <w:rFonts w:ascii="Times New Roman" w:cs="Times New Roman" w:eastAsia="Times New Roman" w:hAnsi="Times New Roman"/>
      <w:sz w:val="32"/>
      <w:szCs w:val="32"/>
    </w:rPr>
  </w:style>
  <w:style w:styleId="Heading2" w:type="paragraph">
    <w:name w:val="Heading 2"/>
    <w:basedOn w:val="Normal"/>
    <w:next w:val="Normal"/>
    <w:qFormat/>
    <w:pPr>
      <w:jc w:val="left"/>
      <w:spacing w:after="140" w:line="360" w:lineRule="auto"/>
    </w:pPr>
    <w:rPr>
      <w:b/>
      <w:bCs/>
      <w:rFonts w:ascii="Times New Roman" w:cs="Times New Roman" w:eastAsia="Times New Roman" w:hAnsi="Times New Roman"/>
      <w:sz w:val="28"/>
      <w:szCs w:val="28"/>
    </w:rPr>
  </w:style>
  <w:style w:styleId="Heading3" w:type="paragraph">
    <w:name w:val="Heading 3"/>
    <w:basedOn w:val="Normal"/>
    <w:next w:val="Normal"/>
    <w:qFormat/>
    <w:pPr>
      <w:jc w:val="left"/>
      <w:spacing w:after="120" w:line="360" w:lineRule="auto"/>
    </w:pPr>
    <w:rPr>
      <w:b/>
      <w:bCs/>
      <w:rFonts w:ascii="Times New Roman" w:cs="Times New Roman" w:eastAsia="Times New Roman" w:hAnsi="Times New Roman"/>
      <w:sz w:val="24"/>
      <w:szCs w:val="24"/>
    </w:rPr>
  </w:style>
  <w:style w:styleId="Heading4" w:type="paragraph">
    <w:name w:val="Heading 4"/>
    <w:basedOn w:val="Normal"/>
    <w:next w:val="Normal"/>
    <w:qFormat/>
    <w:pPr>
      <w:jc w:val="left"/>
      <w:spacing w:after="120" w:line="360" w:lineRule="auto"/>
    </w:pPr>
    <w:rPr>
      <w:i/>
      <w:iCs/>
      <w:rFonts w:ascii="Times New Roman" w:cs="Times New Roman" w:eastAsia="Times New Roman" w:hAnsi="Times New Roman"/>
      <w:sz w:val="24"/>
      <w:szCs w:val="24"/>
    </w:rPr>
  </w:style>
  <w:style w:styleId="Caption" w:type="paragraph">
    <w:name w:val="Caption"/>
    <w:basedOn w:val="Normal"/>
    <w:next w:val="Normal"/>
    <w:qFormat/>
    <w:pPr>
      <w:jc w:val="center"/>
      <w:spacing w:after="120" w:line="360" w:lineRule="auto"/>
    </w:pPr>
    <w:rPr>
      <w:rFonts w:ascii="Times New Roman" w:cs="Times New Roman" w:eastAsia="Times New Roman" w:hAnsi="Times New Roman"/>
      <w:sz w:val="22"/>
      <w:szCs w:val="22"/>
    </w:rPr>
  </w:style>
  <w:style w:styleId="FigureCaption" w:type="paragraph">
    <w:name w:val="Figure Caption"/>
    <w:basedOn w:val="Caption"/>
    <w:next w:val="Normal"/>
    <w:qFormat/>
    <w:pPr>
      <w:jc w:val="center"/>
      <w:spacing w:after="120" w:line="360" w:lineRule="auto"/>
    </w:pPr>
    <w:rPr>
      <w:rFonts w:ascii="Times New Roman" w:cs="Times New Roman" w:eastAsia="Times New Roman" w:hAnsi="Times New Roman"/>
      <w:sz w:val="22"/>
      <w:szCs w:val="22"/>
    </w:rPr>
  </w:style>
  <w:style w:styleId="TableCaption" w:type="paragraph">
    <w:name w:val="Table Caption"/>
    <w:basedOn w:val="Caption"/>
    <w:next w:val="TableText"/>
    <w:qFormat/>
    <w:pPr>
      <w:jc w:val="center"/>
      <w:spacing w:after="120" w:line="360" w:lineRule="auto"/>
    </w:pPr>
    <w:rPr>
      <w:rFonts w:ascii="Times New Roman" w:cs="Times New Roman" w:eastAsia="Times New Roman" w:hAnsi="Times New Roman"/>
      <w:sz w:val="22"/>
      <w:szCs w:val="22"/>
    </w:rPr>
  </w:style>
  <w:style w:styleId="TableText" w:type="paragraph">
    <w:name w:val="Table Text"/>
    <w:basedOn w:val="Normal"/>
    <w:next w:val="TableText"/>
    <w:qFormat/>
    <w:pPr>
      <w:jc w:val="both"/>
      <w:spacing w:after="60" w:line="240" w:lineRule="auto"/>
    </w:pPr>
    <w:rPr>
      <w:rFonts w:ascii="Times New Roman" w:cs="Times New Roman" w:eastAsia="Times New Roman" w:hAnsi="Times New Roman"/>
      <w:sz w:val="18"/>
      <w:szCs w:val="18"/>
    </w:rPr>
  </w:style>
  <w:style w:styleId="Equation" w:type="paragraph">
    <w:name w:val="Equation"/>
    <w:basedOn w:val="Normal"/>
    <w:next w:val="Normal"/>
    <w:qFormat/>
    <w:pPr>
      <w:jc w:val="center"/>
      <w:spacing w:after="120" w:line="360" w:lineRule="auto"/>
    </w:pPr>
    <w:rPr>
      <w:rFonts w:ascii="Times New Roman" w:cs="Times New Roman" w:eastAsia="Times New Roman" w:hAnsi="Times New Roman"/>
      <w:sz w:val="24"/>
      <w:szCs w:val="24"/>
    </w:rPr>
  </w:style>
  <w:style w:styleId="EquationNumber" w:type="paragraph">
    <w:name w:val="Equation Number"/>
    <w:basedOn w:val="Normal"/>
    <w:next w:val="Normal"/>
    <w:qFormat/>
    <w:pPr>
      <w:jc w:val="right"/>
      <w:spacing w:after="120" w:line="360" w:lineRule="auto"/>
    </w:pPr>
    <w:rPr>
      <w:rFonts w:ascii="Times New Roman" w:cs="Times New Roman" w:eastAsia="Times New Roman" w:hAnsi="Times New Roman"/>
      <w:sz w:val="24"/>
      <w:szCs w:val="24"/>
    </w:rPr>
  </w:style>
  <w:style w:styleId="References" w:type="paragraph">
    <w:name w:val="References"/>
    <w:basedOn w:val="Heading1"/>
    <w:next w:val="Bibliography"/>
    <w:qFormat/>
    <w:pPr>
      <w:jc w:val="left"/>
      <w:spacing w:after="160" w:line="360" w:lineRule="auto"/>
    </w:pPr>
    <w:rPr>
      <w:b/>
      <w:bCs/>
      <w:rFonts w:ascii="Times New Roman" w:cs="Times New Roman" w:eastAsia="Times New Roman" w:hAnsi="Times New Roman"/>
      <w:sz w:val="32"/>
      <w:szCs w:val="32"/>
    </w:rPr>
  </w:style>
  <w:style w:styleId="Bibliography" w:type="paragraph">
    <w:name w:val="Bibliography"/>
    <w:basedOn w:val="Normal"/>
    <w:next w:val="Bibliography"/>
    <w:qFormat/>
    <w:pPr>
      <w:spacing w:after="120" w:line="240" w:lineRule="auto"/>
      <w:ind w:hanging="36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6" Target="media/rId26.jpg" /><Relationship Type="http://schemas.openxmlformats.org/officeDocument/2006/relationships/image" Id="rId27" Target="media/rId27.pn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docx_pipeline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2026-05-17T08:56:11Z</dcterms:created>
  <dcterms:modified xsi:type="dcterms:W3CDTF">2026-05-17T08:56:11Z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