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ED35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陈帝伊</w:t>
      </w:r>
    </w:p>
    <w:p w14:paraId="33D55A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总数量：1</w:t>
      </w:r>
    </w:p>
    <w:p w14:paraId="5054C9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"https://hydro.ncepu.edu.cn/xyxw/73e50df0c1e24c1fb795eecd80385dda.htm"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华北电力大学水利与水电工程学院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56EBC9D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23232"/>
          <w:spacing w:val="0"/>
          <w:sz w:val="19"/>
          <w:szCs w:val="19"/>
          <w:shd w:val="clear" w:fill="FFFFFF"/>
        </w:rPr>
        <w:t>华北电力大学中央高校基本科研业务费学科交叉创新专项项目“水风光抽蓄多能互补调度关键技术研究”学术论坛——碳达峰碳中和交叉科学论坛</w:t>
      </w:r>
      <w:bookmarkStart w:id="0" w:name="_GoBack"/>
      <w:bookmarkEnd w:id="0"/>
    </w:p>
    <w:p w14:paraId="7A6DCA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23232"/>
          <w:spacing w:val="0"/>
          <w:sz w:val="19"/>
          <w:szCs w:val="19"/>
          <w:shd w:val="clear" w:fill="FFFFFF"/>
        </w:rPr>
        <w:t>论坛期间，西北农林科技大学陈帝伊教授围绕智慧水利建设、梯级水库优化调度、水电机组优化控制、水风光多能协同发展等热点、前沿问题进行了精彩报告</w:t>
      </w:r>
    </w:p>
    <w:p w14:paraId="217A8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7005" cy="3046095"/>
            <wp:effectExtent l="0" t="0" r="1079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86092"/>
    <w:rsid w:val="09724FC5"/>
    <w:rsid w:val="2D086092"/>
    <w:rsid w:val="33B9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2704</Words>
  <Characters>2841</Characters>
  <Lines>0</Lines>
  <Paragraphs>0</Paragraphs>
  <TotalTime>311</TotalTime>
  <ScaleCrop>false</ScaleCrop>
  <LinksUpToDate>false</LinksUpToDate>
  <CharactersWithSpaces>2856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2026-05-26T03:19:00Z</dcterms:created>
  <dc:creator>PB</dc:creator>
  <cp:lastModifiedBy>PB</cp:lastModifiedBy>
  <dcterms:modified xsi:type="dcterms:W3CDTF">2026-05-26T10:02:52Z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A80655E4130B4751B898B8138C507A3A_11</vt:lpwstr>
  </property>
  <property fmtid="{D5CDD505-2E9C-101B-9397-08002B2CF9AE}" pid="4" name="KSOTemplateDocerSaveRecord">
    <vt:lpwstr>eyJoZGlkIjoiNGQ4NDE0NWE4NTQwMTkwMzI2NzExMDhmYTdhYmNkNjMiLCJ1c2VySWQiOiI5ODA3ODgyMzEifQ==</vt:lpwstr>
  </property>
</Properties>
</file>