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Irrigation cuts require balancing grain retention, water use and local losses.</w:t>
      </w:r>
    </w:p>
    <w:p>
      <w:pPr>
        <w:pStyle w:val="ListBullet"/>
      </w:pPr>
      <w:r>
        <w:t>Targeting added 0.732 t ha⁻¹ dry grain and 20.76 mm ET yearly over uniform 50% cuts.</w:t>
      </w:r>
    </w:p>
    <w:p>
      <w:pPr>
        <w:pStyle w:val="ListBullet"/>
      </w:pPr>
      <w:r>
        <w:t>At 50% cuts, mean grain was below uniform allocation on 37.60% of the area.</w:t>
      </w:r>
    </w:p>
    <w:p>
      <w:pPr>
        <w:pStyle w:val="ListBullet"/>
      </w:pPr>
      <w:r>
        <w:t>Over nine GRACE years, grain retention was 96.27% (95% target) and 99.63% (98%).</w:t>
      </w:r>
    </w:p>
    <w:p>
      <w:pPr>
        <w:pStyle w:val="ListBullet"/>
      </w:pPr>
      <w:r>
        <w:t>Matched rainfall-only controls differed in grain production by 0% at both targets.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64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/>
    </w:pPr>
    <w:rPr>
      <w:rFonts w:ascii="Times New Roman" w:hAnsi="Times New Roman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>Gang Zhao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