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connects grain production with groundwater availability across the winter wheat–summer maize rotation </w:t>
      </w:r>
      <w:r>
        <w:fldChar w:fldCharType="begin"/>
      </w:r>
      <w:r>
        <w:instrText xml:space="preserve"> ADDIN ZOTERO_ITEM CSL_CITATION {"citationID":"e58bb2d2a6ddbd9b","properties":{"formattedCitation":"(Yang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link their responses to water supply </w:t>
      </w:r>
      <w:r>
        <w:fldChar w:fldCharType="begin"/>
      </w:r>
      <w:r>
        <w:instrText xml:space="preserve"> ADDIN ZOTERO_ITEM CSL_CITATION {"citationID":"0a70bb000d2761b0","properties":{"formattedCitation":"(Yang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{"citationID":"f9e8e3a227abb908","properties":{"formattedCitation":"(Zhang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xml:space="preserve">. Recent aquifer recovery under water transfers, abstraction management and changing climate further emphasizes the connection between agricultural production and regional water-resource objectives </w:t>
      </w:r>
      <w:r>
        <w:fldChar w:fldCharType="begin"/>
      </w:r>
      <w:r>
        <w:instrText xml:space="preserve"> ADDIN ZOTERO_ITEM CSL_CITATION {"citationID":"778f493df99ff4be","properties":{"formattedCitation":"(Long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Irrigation decisions consequently involve the water delivered to fields, the grain it supports and the water consumed over the complete rotation.</w:t>
      </w:r>
    </w:p>
    <w:p>
      <w:pPr>
        <w:spacing w:line="480" w:lineRule="auto"/>
      </w:pPr>
      <w:r>
        <w:t xml:space="preserve">The production return from that delivery depends on rainfall and preceding crop management. A sixteen-year experiment in 2003–2018 compared seven wheat–maize irrigation schedules and found diminishing marginal production gains as irrigation increased </w:t>
      </w:r>
      <w:r>
        <w:fldChar w:fldCharType="begin"/>
      </w:r>
      <w:r>
        <w:instrText xml:space="preserve"> ADDIN ZOTERO_ITEM CSL_CITATION {"citationID":"6b1ddf1c2719752a","properties":{"formattedCitation":"(Yang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showed that precipitation conditions influenced the preferred wheat schedule and grain production in the subsequent maize crop </w:t>
      </w:r>
      <w:r>
        <w:fldChar w:fldCharType="begin"/>
      </w:r>
      <w:r>
        <w:instrText xml:space="preserve"> ADDIN ZOTERO_ITEM CSL_CITATION {"citationID":"622d4aae24895904","properties":{"formattedCitation":"(Yang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Water applied to wheat can support its immediate growth and leave a different soil-water reserve for maize. The annual response to an irrigation reduction therefore depends on the sequence of crop demand, rainfall and storage changes across both seasons </w:t>
      </w:r>
      <w:r>
        <w:fldChar w:fldCharType="begin"/>
      </w:r>
      <w:r>
        <w:instrText xml:space="preserve"> ADDIN ZOTERO_ITEM CSL_CITATION {"citationID":"e3020388af151266","properties":{"formattedCitation":"(Yang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w:t>
      </w:r>
    </w:p>
    <w:p>
      <w:pPr>
        <w:spacing w:line="480" w:lineRule="auto"/>
      </w:pPr>
      <w:r>
        <w:t xml:space="preserve">These temporal dependencies occur within a spatially heterogeneous region. Irrigation requirements vary across the North China Plain and among hydrological years in the broader Huang–Huai–Hai Plain </w:t>
      </w:r>
      <w:r>
        <w:fldChar w:fldCharType="begin"/>
      </w:r>
      <w:r>
        <w:instrText xml:space="preserve"> ADDIN ZOTERO_ITEM CSL_CITATION {"citationID":"867c24fffd53b53a","properties":{"formattedCitation":"(Ren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Regional crop-model optimization and irrigation-allocation studies demonstrate how climate, soil and crop responses can inform management choices </w:t>
      </w:r>
      <w:r>
        <w:fldChar w:fldCharType="begin"/>
      </w:r>
      <w:r>
        <w:instrText xml:space="preserve"> ADDIN ZOTERO_ITEM CSL_CITATION {"citationID":"fce96d9b7b628059","properties":{"formattedCitation":"(Jiang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xml:space="preserve">. Under a limited regional supply, spatial allocation depends on the additional grain obtained from an additional unit of irrigation. An equal-budget comparison with uniform reductions can quantify the production benefit of retaining water in more responsive systems. That benefit also has a water-accounting and distributional dimension: delivery, ET, return flows and storage change represent different boundaries, and a regional grain gain can coexist with losses at particular locations </w:t>
      </w:r>
      <w:r>
        <w:fldChar w:fldCharType="begin"/>
      </w:r>
      <w:r>
        <w:instrText xml:space="preserve"> ADDIN ZOTERO_ITEM CSL_CITATION {"citationID":"f7ca14de5b36abf3","properties":{"formattedCitation":"(Grafton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Quantifying these trade-offs requires crop responses that connect canopy development, grain formation and soil-water depletion through successive seasons. Applications of APSIM and RZ-SHAW in the North China Plain provide process-based assessments of crop water productivity, field water balance and ET </w:t>
      </w:r>
      <w:r>
        <w:fldChar w:fldCharType="begin"/>
      </w:r>
      <w:r>
        <w:instrText xml:space="preserve"> ADDIN ZOTERO_ITEM CSL_CITATION {"citationID":"48c8ed580247865a","properties":{"formattedCitation":"(Chen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Transpiration formulation is a major source of variation in simulated water use among wheat models </w:t>
      </w:r>
      <w:r>
        <w:fldChar w:fldCharType="begin"/>
      </w:r>
      <w:r>
        <w:instrText xml:space="preserve"> ADDIN ZOTERO_ITEM CSL_CITATION {"citationID":"5a794b09ad195f81","properties":{"formattedCitation":"(Cammarano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Yield agreement alone therefore provides incomplete evidence about the water cost of production or the production response to additional irrigation. Phenology, canopy, biomass, grain and ET observations constrain complementary processes, while documented irrigation treatments identify their combined response to water supply. Continuous simulation preserves the soil-water carry-over required to compare complete management histories.</w:t>
      </w:r>
    </w:p>
    <w:p>
      <w:pPr>
        <w:spacing w:line="480" w:lineRule="auto"/>
      </w:pPr>
      <w:r>
        <w:t xml:space="preserve">Spatial allocation determines where a regional irrigation budget is delivered; antecedent environmental information can also determine how large that budget should be in a particular year. Recent rainfall describes water input, whereas GRACE total water storage integrates several terrestrial stores over a regional footprint </w:t>
      </w:r>
      <w:r>
        <w:fldChar w:fldCharType="begin"/>
      </w:r>
      <w:r>
        <w:instrText xml:space="preserve"> ADDIN ZOTERO_ITEM CSL_CITATION {"citationID":"b13abe2fbc51ef0c","properties":{"formattedCitation":"(Save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 storage indicator can thus describe conditions beyond local rainfall, but additional environmental information has management value only when it changes the selected action or its grain–water outcome. Storage–rainfall strategies require comparison with rainfall-only strategies under common selection criteria and monitoring availability. This comparison separates the physical relevance of a hydrological indicator from its incremental value for the available irrigation choices.</w:t>
      </w:r>
    </w:p>
    <w:p>
      <w:pPr>
        <w:spacing w:line="480" w:lineRule="auto"/>
      </w:pPr>
      <w:r>
        <w:t>Spatial irrigation allocation and antecedent rainfall–storage strategies were compared for the North China Plain wheat–maize rotation using Open Crop Model. Multisite observations supplied crop-growth parameter estimates, and documented Wuqiao treatments in 2016–2018 constrained water-response coefficients. The 2019 field observations provided retrospective testing, while station comparisons characterized transfer under their available management information. Continuous regional simulations compared uniform and targeted allocations under identical irrigation budgets and annual storage–rainfall strategies against matched rainfall-only controls. Production retention, consumptive ET, profile drainage and the spatial and annual distribution of grain changes define the management trade-offs.</w:t>
      </w:r>
    </w:p>
    <w:p>
      <w:pPr>
        <w:pStyle w:val="Heading1"/>
        <w:spacing w:line="480" w:lineRule="auto"/>
      </w:pPr>
      <w:r>
        <w:t>2. Materials and methods</w:t>
      </w:r>
    </w:p>
    <w:p>
      <w:pPr>
        <w:pStyle w:val="Heading2"/>
        <w:spacing w:line="480" w:lineRule="auto"/>
      </w:pPr>
      <w:r>
        <w:t>2.1. Overall workflow</w:t>
      </w:r>
    </w:p>
    <w:p>
      <w:pPr>
        <w:spacing w:line="480" w:lineRule="auto"/>
      </w:pPr>
      <w:r>
        <w:t>The framework connects crop-response estimation with spatial allocation and annual irrigation-quota selection (Figure 1). Multisite crop observations support growth-parameter estimates, while documented Wuqiao treatments in 2016–2018 constrain eight water coefficients per crop. Wuqiao 2019 provides retrospective testing; station observations characterize transfer under the recorded management and initialization. Observation coverage and the distinct estimation and evaluation partitions are summarized in Figure 3. Daily weather, mapped rotation area and layered soil profiles define 32 regional representatives.</w:t>
      </w:r>
    </w:p>
    <w:p>
      <w:pPr>
        <w:spacing w:line="480" w:lineRule="auto"/>
      </w:pPr>
      <w:r>
        <w:t>The same crop and water parameters drive continuous crop and fallow histories under five irrigation levels. Spatial allocations selected from 1997–2013 responses share identical regional delivery budgets with uniform reductions. Annual storage–rainfall and rainfall-only strategies are selected from matched 2003–2013 responses and compared with common monitoring availability. Grain production, field irrigation, crop-plus-fallow ET and profile drainage are evaluated during 2014–2025.</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Multisite observations support growth parameters, while documented Wuqiao treatments calibrate water-use parameters and provide retrospective testing. Shared parameters drive continuous regional rotations. Spatial allocation compares uniform and targeted irrigation under identical budgets; annual strategies compare storage–rainfall and rainfall-only selection under matched monitoring availability. Outcomes cover 2014–2025.</w:t>
      </w:r>
    </w:p>
    <w:p>
      <w:pPr>
        <w:pStyle w:val="Heading2"/>
        <w:spacing w:line="480" w:lineRule="auto"/>
      </w:pPr>
      <w:r>
        <w:t>2.2. Study area</w:t>
      </w:r>
    </w:p>
    <w:p>
      <w:pPr>
        <w:spacing w:line="480" w:lineRule="auto"/>
      </w:pPr>
      <w:r>
        <w:t xml:space="preserve">The study area covers the winter-wheat–summer-maize lowlands of the North China Plain within 112–121.5°E and 32–41°N, including the Beijing–Tianjin–Hebei sector and the Henan–Anhui–Jiangsu lowlands (Figure 2). Catchment screening, elevation ≤200 m and slope ≤2° define a connected lowland area of 404,658 km². Terrain was represented at 0.01° resolution using resampled SRTM elevation and derived slope </w:t>
      </w:r>
      <w:r>
        <w:fldChar w:fldCharType="begin"/>
      </w:r>
      <w:r>
        <w:instrText xml:space="preserve"> ADDIN ZOTERO_ITEM CSL_CITATION {"citationID":"02f8cdb3d3bd32ad","properties":{"formattedCitation":"(NASA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The boundary is a reproducible agricultural study-area definition; geographical and terrain-threshold sensitivities are reported in Supplementary Section S3.</w:t>
      </w:r>
    </w:p>
    <w:p>
      <w:pPr>
        <w:spacing w:line="480" w:lineRule="auto"/>
      </w:pPr>
      <w:r>
        <w:t xml:space="preserve">The 2020 ChinaCP winter-wheat–summer-maize class was corrected by the corresponding CPM cropland percentage to reduce full-pixel area inflation </w:t>
      </w:r>
      <w:r>
        <w:fldChar w:fldCharType="begin"/>
      </w:r>
      <w:r>
        <w:instrText xml:space="preserve"> ADDIN ZOTERO_ITEM CSL_CITATION {"citationID":"3324b2bb325045c0","properties":{"formattedCitation":"(Qiu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The resulting rotation footprint was 9,866,733 ha before soil exclusions. Three cells with wholly missing soil profiles, totaling 131 ha, were excluded, leaving 9,866,602 ha in 3,641 AgERA5 cells. A fixed 2020 footprint applies to all climate years, so modeled totals describe climatic and management responses over a common area rather than historical production trends. The 2015–2021 area series, terrain-threshold alternatives and a common-extent comparison with CCD2020 quantify mapping and boundary sensitivity in the supplementary material.</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domain,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{"citationID":"ceeaf6a9144fc00d","properties":{"formattedCitation":"(Natural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Winter-wheat and summer-maize observations were assembled from the National Ecosystem Science Data Center and linked archives at Fengqiu, Gucheng, Luancheng, Shangqiu and Yucheng. The sources contain long-term crop monitoring and the Gucheng maize sowing-date experiment. Archived crop-season groups span 2004–2008 at Fengqiu and Luancheng, 2018–2020 at Gucheng, 2001–2007 at Shangqiu and 1998–2022 at Yucheng. Coverage is intermittent; exact crop-by-site years and dataset identifiers are listed in Tables S1 and S2.</w:t>
      </w:r>
    </w:p>
    <w:p>
      <w:pPr>
        <w:spacing w:line="480" w:lineRule="auto"/>
      </w:pPr>
      <w:r>
        <w:t>The archive retains 132 crop–plot–season trajectories in 71 original calibration and 61 retrospective-evaluation cases (Figure 3). Quality-controlled targets occur in 127 cases. The 7,397 scored records comprise 795 LAI measurements, 543 in-season aboveground-biomass measurements, 5,675 daily ET measurements, 192 grain-yield samples and 192 harvest-biomass samples (Table 1). Daily ET is available at Fengqiu and Yucheng; grain and harvest-biomass samples are confined to Yucheng. Six quadrats within a crop-year characterize sampling variation rather than six independent growing seasons.</w:t>
      </w:r>
    </w:p>
    <w:p>
      <w:pPr>
        <w:spacing w:line="480" w:lineRule="auto"/>
      </w:pPr>
      <w:r>
        <w:t>Observations and predictions share recorded sampling dates or documented averaging windows. Stage-indexed Gucheng LAI measurements use the corresponding observed stage dates as sampling coordinates; those dates do not prescribe simulated development. Fengqiu ET identifies the lysimeter observation plot. Yucheng ET retains the measurement definitions of its source archive. Provider grain and aboveground dry masses in g m⁻² are multiplied by 10 to obtain kg ha⁻¹.</w:t>
      </w:r>
    </w:p>
    <w:p>
      <w:pPr>
        <w:spacing w:line="480" w:lineRule="auto"/>
      </w:pPr>
      <w:r>
        <w:t>Eligibility requires valid dates, compatible crop and plot identities, consistent stage sequences and documented quantity units. Wheat LAI above 7 m² m⁻² is excluded under the study-specific screening rule, with raw values and reasons preserved. The six-replicate maize harvest vectors in Yucheng 2012 and 2017 are identical despite different dates and cultivar labels. Both groups remain excluded because their source authenticity is unresolved; 12 samples account for 24 grain and harvest-biomass records. Other observations and all eligible sites remain available.</w:t>
      </w:r>
    </w:p>
    <w:p>
      <w:pPr>
        <w:spacing w:line="480" w:lineRule="auto"/>
      </w:pPr>
      <w:r>
        <w:t>Complete irrigation histories matched to station plots remain unconfirmed. Station growth and ET consequently supply conditional transfer comparisons; no station observation enters the current water-parameter objective. Twenty-six Fengqiu cases retain complete 0–1.5 m moisture profiles from the preceding calendar month: 11 in the original calibration partition and 15 in retrospective evaluation. Volumetric percentages from fifteen 100-mm source layers are conservatively remapped to the model layers without depth extrapolation or clipping. Their monthly timing and subplot support do not establish a measured sowing-day state. Cases without an eligible profile retain their archived initialization.</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experiment at 37.630°N, 116.444°E contains four wheat irrigation schedules, W0–W3, during the 2015–2019 rotation </w:t>
      </w:r>
      <w:r>
        <w:fldChar w:fldCharType="begin"/>
      </w:r>
      <w:r>
        <w:instrText xml:space="preserve"> ADDIN ZOTERO_ITEM CSL_CITATION {"citationID":"f7292c154b740716","properties":{"formattedCitation":"(Yang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Dated 75-mm events, sowing and harvest dates, nitrogen input of 158.4 kg ha⁻¹ per crop and treatment-specific initial total water storage in 2 m are retained. Maize irrigation is identical among treatments within each year: zero in 2016 and 2018, and 75 mm on 18 June in 2017 and 2019. Its W0–W3 labels therefore identify preceding wheat management. Seasonal initial water distribution among layers is assumed. Field capacity, wilting point and bulk density are transferred from the published Luancheng profile, with its bottom 10 cm extrapolated </w:t>
      </w:r>
      <w:r>
        <w:fldChar w:fldCharType="begin"/>
      </w:r>
      <w:r>
        <w:instrText xml:space="preserve"> ADDIN ZOTERO_ITEM CSL_CITATION {"citationID":"12a5a2b6c29abf47","properties":{"formattedCitation":"(Sun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a separate SoilGrids–Saxton–Rawls prior </w:t>
      </w:r>
      <w:r>
        <w:fldChar w:fldCharType="begin"/>
      </w:r>
      <w:r>
        <w:instrText xml:space="preserve"> ADDIN ZOTERO_ITEM CSL_CITATION {"citationID":"5f2a9bbe8e02b8a8","properties":{"formattedCitation":"(ISRIC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the particle-density prior is 2.75 g cm⁻³.</w:t>
      </w:r>
    </w:p>
    <w:p>
      <w:pPr>
        <w:spacing w:line="480" w:lineRule="auto"/>
      </w:pPr>
      <w:r>
        <w:t xml:space="preserve">Published seasonal ET equals rainfall plus irrigation plus depletion of 0–2 m storage, with runoff and drainage treated as negligible </w:t>
      </w:r>
      <w:r>
        <w:fldChar w:fldCharType="begin"/>
      </w:r>
      <w:r>
        <w:instrText xml:space="preserve"> ADDIN ZOTERO_ITEM CSL_CITATION {"citationID":"5676659163eb2f89","properties":{"formattedCitation":"(Yang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 model represents both outflows. The 2016 maize balance uses 499.1 mm of maize-season rainfall; the 599.6-mm rotation total also contains 100.5 mm during wheat. This period reconciliation reproduces the four printed maize ET values within 0.9 mm of rounding, and all 32 crop–treatment–season ET targets remain eligible. Simulations retain their exact archived weather forcing. Wheat crop-start storage follows the pre-sowing simulation, whereas maize is independently initialized from observed treatment-specific total storage. Reported wheat-straw mulch has no measured cover fraction, so the maize simulations retain the exposed-soil evaporation boundary </w:t>
      </w:r>
      <w:r>
        <w:fldChar w:fldCharType="begin"/>
      </w:r>
      <w:r>
        <w:instrText xml:space="preserve"> ADDIN ZOTERO_ITEM CSL_CITATION {"citationID":"697906e7eb40cf61","properties":{"formattedCitation":"(Yang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w:t>
      </w:r>
    </w:p>
    <w:p>
      <w:pPr>
        <w:spacing w:line="480" w:lineRule="auto"/>
      </w:pPr>
      <w:r>
        <w:t xml:space="preserve">Harvest aboveground biomass includes grain and residues cut at ground level and oven-dried to constant mass. Its dry-matter basis requires no moisture adjustment. Published grain yields are standardized to 13% moisture </w:t>
      </w:r>
      <w:r>
        <w:fldChar w:fldCharType="begin"/>
      </w:r>
      <w:r>
        <w:instrText xml:space="preserve"> ADDIN ZOTERO_ITEM CSL_CITATION {"citationID":"6094ec4690f3e569","properties":{"formattedCitation":"(Yang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Annual 2016–2019 means and standard errors are digitized from the source Supplementary Figure S2 and reconciled with its eight printed four-year means. Pixel tolerances are approximately 0.043 t ha⁻¹ for wheat and 0.056 t ha⁻¹ for maize. Observed grain is multiplied by 0.87 for dry-matter fitting; model dry grain is divided by 0.87 for comparisons reported at 13% moisture. Annual and four-year means overlap and do not provide separate independent observations.</w:t>
      </w:r>
    </w:p>
    <w:p>
      <w:pPr>
        <w:spacing w:line="480" w:lineRule="auto"/>
      </w:pPr>
      <w:r>
        <w:t>The 2016–2018 harvest years contribute 12 treatment seasons per crop to the water fit, with seasonal ET, dry grain, dry aboveground biomass and annual W3−W0 ET contrasts as targets. The four 2019 treatment means per crop are excluded from fitting and parameter selection. Their prior inspection during model development makes this test retrospective (Figure 3).</w:t>
      </w:r>
    </w:p>
    <w:p>
      <w:pPr>
        <w:pStyle w:val="Heading2"/>
        <w:spacing w:line="480" w:lineRule="auto"/>
      </w:pPr>
      <w:r>
        <w:t>2.3.3. Meteorological, soil and spatial data</w:t>
      </w:r>
    </w:p>
    <w:p>
      <w:pPr>
        <w:spacing w:line="480" w:lineRule="auto"/>
      </w:pPr>
      <w:r>
        <w:t xml:space="preserve">Daily AgERA5 v2.0 weather data for 1996–2025 supplied minimum and maximum air temperature, precipitation, solar radiation, reference evapotranspiration, vapor pressure and 10-m wind speed </w:t>
      </w:r>
      <w:r>
        <w:fldChar w:fldCharType="begin"/>
      </w:r>
      <w:r>
        <w:instrText xml:space="preserve"> ADDIN ZOTERO_ITEM CSL_CITATION {"citationID":"a34c1d1a2cb63236","properties":{"formattedCitation":"(Copernicus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{"citationID":"fdd594d1513bf56a","properties":{"formattedCitation":"(ISRIC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{"citationID":"74d86275bc059be9","properties":{"formattedCitation":"(Saxton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2020 ChinaCP wheat–maize class and its CPM cropland fractions defined rotation-area weights </w:t>
      </w:r>
      <w:r>
        <w:fldChar w:fldCharType="begin"/>
      </w:r>
      <w:r>
        <w:instrText xml:space="preserve"> ADDIN ZOTERO_ITEM CSL_CITATION {"citationID":"c2cd3fbeda29b4da","properties":{"formattedCitation":"(Qiu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SRTM elevation supported the terrain screen and slope calculation </w:t>
      </w:r>
      <w:r>
        <w:fldChar w:fldCharType="begin"/>
      </w:r>
      <w:r>
        <w:instrText xml:space="preserve"> ADDIN ZOTERO_ITEM CSL_CITATION {"citationID":"73b3166704f67787","properties":{"formattedCitation":"(NASA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Regional aggregation retained the common 0.1° meteorological grid and the study-area definition in Section 2.2.</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{"citationID":"065564011b38496c","properties":{"formattedCitation":"(Save,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{"citationID":"31d1d001e79fb548","properties":{"formattedCitation":"(Save,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{"citationID":"be5af55ff6de6126","properties":{"formattedCitation":"(Long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Open Crop Model (OCM) couples crop growth and a layered soil-water balance at a daily time step.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{"citationID":"d3785037821da966","properties":{"formattedCitation":"(Kiniry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{"citationID":"bf93be2e62ed156d","properties":{"formattedCitation":"(de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{"citationID":"dc163655a832a400","properties":{"formattedCitation":"(Tan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{"citationID":"18f57b6b60fa2d6b","properties":{"formattedCitation":"(Allen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{"citationID":"6c2a93bbd2251741","properties":{"formattedCitation":"(Mualem,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 xml:space="preserve">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 </w:t>
      </w:r>
      <w:r>
        <w:fldChar w:fldCharType="begin"/>
      </w:r>
      <w:r>
        <w:instrText xml:space="preserve"> ADDIN ZOTERO_ITEM CSL_CITATION {"citationID":"a2c0320fee5a4fc6","properties":{"formattedCitation":"(APSIM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7; Table S9).</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{"citationID":"f923e0bebf83f225","properties":{"formattedCitation":"(Nash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4).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4). ET summed over matched measurement days had evaluation RMSE of 51.29 mm for wheat and 74.17 mm for maize, biases of +25.94 and −55.58 mm, and NSE of 0.826 and 0.118 (Table 2). These sums exclude days without ET measurements.</w:t>
      </w:r>
    </w:p>
    <w:p>
      <w:pPr>
        <w:keepNext/>
        <w:spacing w:after="60" w:line="480" w:lineRule="auto"/>
        <w:jc w:val="center"/>
      </w:pPr>
      <w:r>
        <w:drawing>
          <wp:inline xmlns:a="http://schemas.openxmlformats.org/drawingml/2006/main" xmlns:pic="http://schemas.openxmlformats.org/drawingml/2006/picture">
            <wp:extent cx="5715000" cy="4005558"/>
            <wp:docPr id="4" name="Picture 4"/>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3"/>
                    <a:stretch>
                      <a:fillRect/>
                    </a:stretch>
                  </pic:blipFill>
                  <pic:spPr>
                    <a:xfrm>
                      <a:off x="0" y="0"/>
                      <a:ext cx="5715000" cy="4005558"/>
                    </a:xfrm>
                    <a:prstGeom prst="rect"/>
                  </pic:spPr>
                </pic:pic>
              </a:graphicData>
            </a:graphic>
          </wp:inline>
        </w:drawing>
      </w:r>
    </w:p>
    <w:p>
      <w:pPr>
        <w:pStyle w:val="Caption"/>
        <w:keepLines/>
        <w:spacing w:line="480" w:lineRule="auto"/>
      </w:pPr>
      <w:r>
        <w:t>Figure 4.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pStyle w:val="Caption"/>
        <w:keepNext/>
        <w:spacing w:line="480" w:lineRule="auto"/>
      </w:pPr>
      <w:r>
        <w:t>Table 2. Conditional station ET sums on matched measurement days.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spacing w:line="480" w:lineRule="auto"/>
      </w:pPr>
      <w:r>
        <w:t>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5). Across the four 2019 testing means per crop, ET RMSE was 73.80 and 55.64 mm, bias was +48.93 and −35.90 mm, nRMSE was 21.98% and 14.13%, and NSE was 0.503 and −0.346, respectively.</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5).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keepNext/>
        <w:spacing w:after="60" w:line="480" w:lineRule="auto"/>
        <w:jc w:val="center"/>
      </w:pPr>
      <w:r>
        <w:drawing>
          <wp:inline xmlns:a="http://schemas.openxmlformats.org/drawingml/2006/main" xmlns:pic="http://schemas.openxmlformats.org/drawingml/2006/picture">
            <wp:extent cx="5715000" cy="5458871"/>
            <wp:docPr id="5" name="Picture 5"/>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4"/>
                    <a:stretch>
                      <a:fillRect/>
                    </a:stretch>
                  </pic:blipFill>
                  <pic:spPr>
                    <a:xfrm>
                      <a:off x="0" y="0"/>
                      <a:ext cx="5715000" cy="5458871"/>
                    </a:xfrm>
                    <a:prstGeom prst="rect"/>
                  </pic:spPr>
                </pic:pic>
              </a:graphicData>
            </a:graphic>
          </wp:inline>
        </w:drawing>
      </w:r>
    </w:p>
    <w:p>
      <w:pPr>
        <w:pStyle w:val="Caption"/>
        <w:keepLines/>
        <w:spacing w:line="480" w:lineRule="auto"/>
      </w:pPr>
      <w:r>
        <w:t>Figure 5.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6). Targeted production remained 9.813 million t yr⁻¹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6c).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keepNext/>
        <w:spacing w:after="60" w:line="480" w:lineRule="auto"/>
        <w:jc w:val="center"/>
      </w:pPr>
      <w:r>
        <w:drawing>
          <wp:inline xmlns:a="http://schemas.openxmlformats.org/drawingml/2006/main" xmlns:pic="http://schemas.openxmlformats.org/drawingml/2006/picture">
            <wp:extent cx="5715000" cy="4366327"/>
            <wp:docPr id="6" name="Picture 6"/>
            <wp:cNvGraphicFramePr>
              <a:graphicFrameLocks noChangeAspect="1"/>
            </wp:cNvGraphicFramePr>
            <a:graphic>
              <a:graphicData uri="http://schemas.openxmlformats.org/drawingml/2006/picture">
                <pic:pic>
                  <pic:nvPicPr>
                    <pic:cNvPr id="0" name="Figure_3_policy_tradeoffs.png"/>
                    <pic:cNvPicPr/>
                  </pic:nvPicPr>
                  <pic:blipFill>
                    <a:blip r:embed="rId15"/>
                    <a:stretch>
                      <a:fillRect/>
                    </a:stretch>
                  </pic:blipFill>
                  <pic:spPr>
                    <a:xfrm>
                      <a:off x="0" y="0"/>
                      <a:ext cx="5715000" cy="4366327"/>
                    </a:xfrm>
                    <a:prstGeom prst="rect"/>
                  </pic:spPr>
                </pic:pic>
              </a:graphicData>
            </a:graphic>
          </wp:inline>
        </w:drawing>
      </w:r>
    </w:p>
    <w:p>
      <w:pPr>
        <w:pStyle w:val="Caption"/>
        <w:keepLines/>
        <w:spacing w:line="480" w:lineRule="auto"/>
      </w:pPr>
      <w:r>
        <w:t>Figure 6.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7;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7d).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keepNext/>
        <w:spacing w:after="60" w:line="480" w:lineRule="auto"/>
        <w:jc w:val="center"/>
      </w:pPr>
      <w:r>
        <w:drawing>
          <wp:inline xmlns:a="http://schemas.openxmlformats.org/drawingml/2006/main" xmlns:pic="http://schemas.openxmlformats.org/drawingml/2006/picture">
            <wp:extent cx="5715000" cy="4914226"/>
            <wp:docPr id="7" name="Picture 7"/>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6"/>
                    <a:stretch>
                      <a:fillRect/>
                    </a:stretch>
                  </pic:blipFill>
                  <pic:spPr>
                    <a:xfrm>
                      <a:off x="0" y="0"/>
                      <a:ext cx="5715000" cy="4914226"/>
                    </a:xfrm>
                    <a:prstGeom prst="rect"/>
                  </pic:spPr>
                </pic:pic>
              </a:graphicData>
            </a:graphic>
          </wp:inline>
        </w:drawing>
      </w:r>
    </w:p>
    <w:p>
      <w:pPr>
        <w:pStyle w:val="Caption"/>
        <w:keepLines/>
        <w:spacing w:line="480" w:lineRule="auto"/>
      </w:pPr>
      <w:r>
        <w:t>Figure 7.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8; Table S7). The 95% strategy retained at least 95% in 8 of nine years, with a minimum of 92.12%.</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keepNext/>
        <w:spacing w:after="60" w:line="480" w:lineRule="auto"/>
        <w:jc w:val="center"/>
      </w:pPr>
      <w:r>
        <w:drawing>
          <wp:inline xmlns:a="http://schemas.openxmlformats.org/drawingml/2006/main" xmlns:pic="http://schemas.openxmlformats.org/drawingml/2006/picture">
            <wp:extent cx="5715000" cy="4342726"/>
            <wp:docPr id="8" name="Picture 8"/>
            <wp:cNvGraphicFramePr>
              <a:graphicFrameLocks noChangeAspect="1"/>
            </wp:cNvGraphicFramePr>
            <a:graphic>
              <a:graphicData uri="http://schemas.openxmlformats.org/drawingml/2006/picture">
                <pic:pic>
                  <pic:nvPicPr>
                    <pic:cNvPr id="0" name="Figure_8_continuous_class_irrigation.png"/>
                    <pic:cNvPicPr/>
                  </pic:nvPicPr>
                  <pic:blipFill>
                    <a:blip r:embed="rId17"/>
                    <a:stretch>
                      <a:fillRect/>
                    </a:stretch>
                  </pic:blipFill>
                  <pic:spPr>
                    <a:xfrm>
                      <a:off x="0" y="0"/>
                      <a:ext cx="5715000" cy="4342726"/>
                    </a:xfrm>
                    <a:prstGeom prst="rect"/>
                  </pic:spPr>
                </pic:pic>
              </a:graphicData>
            </a:graphic>
          </wp:inline>
        </w:drawing>
      </w:r>
    </w:p>
    <w:p>
      <w:pPr>
        <w:pStyle w:val="Caption"/>
        <w:keepLines/>
        <w:spacing w:line="480" w:lineRule="auto"/>
      </w:pPr>
      <w:r>
        <w:t>Figure 8.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pStyle w:val="Heading1"/>
        <w:spacing w:line="480" w:lineRule="auto"/>
      </w:pPr>
      <w:r>
        <w:t>4. Discussion</w:t>
      </w:r>
    </w:p>
    <w:p>
      <w:pPr>
        <w:spacing w:line="480" w:lineRule="auto"/>
      </w:pPr>
      <w:r>
        <w:t>The simulations reveal three linked dimensions of irrigation management: production retained under a delivery constraint, consumptive water use and the distribution of production changes. Spatial targeting improves regional grain production by assigning a fixed budget to more responsive crop–soil–climate systems. Annual rainfall–storage strategies instead change the delivered quota in response to antecedent conditions. Both decisions operate through crop stress and the soil water carried between wheat, maize and fallow periods. Their management value consequently depends on the complete rotation response, the accounting boundary used to define a water saving and the reliability of the crop responses underlying selection.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{"citationID":"7f0bc1098836af1a","properties":{"formattedCitation":"(Yang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{"citationID":"567ddb92a1436bb4","properties":{"formattedCitation":"(Wu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{"citationID":"a98d4cb662dbf936","properties":{"formattedCitation":"(Jiang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6).</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7;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{"citationID":"dc4cf64aeaaf0cc7","properties":{"formattedCitation":"(Yang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{"citationID":"1418ee2584a6c5f8","properties":{"formattedCitation":"(Yang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5;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{"citationID":"e39e292f7df9c519","properties":{"formattedCitation":"(Grafton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{"citationID":"df7b1ea7285d46e2","properties":{"formattedCitation":"(Wu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{"citationID":"808494e49327e318","properties":{"formattedCitation":"(Save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{"citationID":"b2a0ab9a749dc891","properties":{"formattedCitation":"(Long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{"citationID":"13e580d8bf461a9a","properties":{"formattedCitation":"(Save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8).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{"citationID":"543ac6955cfa8c4b","properties":{"formattedCitation":"(Kiniry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{"citationID":"da1eb76b9973b8d3","properties":{"formattedCitation":"(Cammarano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3–5).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{"citationID":"22db29ca2e195c53","properties":{"formattedCitation":"(Ines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8).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{"citationID":"c0b9fb4a389feaa3","properties":{"formattedCitation":"(Roy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Natural Earth, n.d. Natural Earth, 1:10m Admin 1 – States, Provinces (version 5.1.1).</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