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Cover letter</w:t>
      </w:r>
    </w:p>
    <w:p>
      <w:pPr>
        <w:spacing w:line="480" w:lineRule="auto"/>
      </w:pPr>
      <w:r>
        <w:t>Dear Editor,</w:t>
      </w:r>
    </w:p>
    <w:p>
      <w:pPr>
        <w:spacing w:line="480" w:lineRule="auto"/>
      </w:pPr>
      <w:r>
        <w:t>Please consider the research article “Irrigation strategies under contrasting water-storage and rainfall conditions in the North China Plain” for publication in Agricultural Water Management.</w:t>
      </w:r>
    </w:p>
    <w:p>
      <w:pPr>
        <w:spacing w:line="480" w:lineRule="auto"/>
      </w:pPr>
      <w:r>
        <w:t>Reducing irrigation while sustaining grain production requires balancing water consumption and the distribution of production losses. Using a process-based crop model, the study compares uniform and spatially targeted irrigation under equal water budgets and tests whether satellite water-storage information improves rainfall-based irrigation decisions.</w:t>
      </w:r>
    </w:p>
    <w:p>
      <w:pPr>
        <w:spacing w:line="480" w:lineRule="auto"/>
      </w:pPr>
      <w:r>
        <w:t>At the same 50% irrigation reduction, targeting retained 4.87% more simulated grain than uniform cuts, but increased evapotranspiration and reduced grain production in some locations. Adding regional storage information did not change irrigation quotas or outcomes relative to matched rainfall-only strategies within the tested design.</w:t>
      </w:r>
    </w:p>
    <w:p>
      <w:pPr>
        <w:spacing w:line="480" w:lineRule="auto"/>
      </w:pPr>
      <w:r>
        <w:t>These model-based findings support irrigation strategies that combine production goals with limits on consumptive use and safeguards for local production. Their focus on irrigation allocation and crop water use makes the study well suited to Agricultural Water Management.</w:t>
      </w:r>
    </w:p>
    <w:p>
      <w:pPr>
        <w:spacing w:line="480" w:lineRule="auto"/>
      </w:pPr>
      <w:r>
        <w:t>Thank you for considering this manuscript.</w:t>
      </w:r>
    </w:p>
    <w:p>
      <w:pPr>
        <w:spacing w:line="480" w:lineRule="auto"/>
      </w:pPr>
      <w:r>
        <w:t>Sincerely,</w:t>
      </w:r>
    </w:p>
    <w:p>
      <w:pPr>
        <w:spacing w:line="480" w:lineRule="auto"/>
      </w:pPr>
      <w:r>
        <w:t>Qiang Yu and Gang Zhao</w:t>
      </w:r>
    </w:p>
    <w:p>
      <w:pPr>
        <w:spacing w:line="480" w:lineRule="auto"/>
      </w:pPr>
      <w:r>
        <w:t>State Key Laboratory of Soil and Water Conservation and Desertification Control, College of Soil and Water Conservation Science and Engineering, Northwest A&amp;F University, Yangling, Shaanxi 712100, China</w:t>
      </w:r>
    </w:p>
    <w:p>
      <w:pPr>
        <w:spacing w:line="480" w:lineRule="auto"/>
      </w:pPr>
      <w:r>
        <w:t>yuq@nwafu.edu.cn; gang.zhao@nwafu.edu.cn</w:t>
      </w:r>
    </w:p>
    <w:p>
      <w:pPr>
        <w:spacing w:line="480" w:lineRule="auto"/>
      </w:pPr>
      <w:r>
        <w:br w:type="page"/>
      </w:r>
    </w:p>
    <w:p>
      <w:pPr>
        <w:pStyle w:val="Heading1"/>
        <w:spacing w:line="480" w:lineRule="auto"/>
      </w:pPr>
      <w:r>
        <w:t>Highlights</w:t>
      </w:r>
    </w:p>
    <w:p>
      <w:pPr>
        <w:pStyle w:val="ListBullet"/>
        <w:spacing w:line="480" w:lineRule="auto"/>
      </w:pPr>
      <w:r>
        <w:t>Targeting retained 0.732 t ha⁻¹ yr⁻¹ more dry grain than uniform 50% cuts.</w:t>
      </w:r>
    </w:p>
    <w:p>
      <w:pPr>
        <w:pStyle w:val="ListBullet"/>
        <w:spacing w:line="480" w:lineRule="auto"/>
      </w:pPr>
      <w:r>
        <w:t>The same irrigation budget produced 20.76 mm yr⁻¹ more simulated ET.</w:t>
      </w:r>
    </w:p>
    <w:p>
      <w:pPr>
        <w:pStyle w:val="ListBullet"/>
        <w:spacing w:line="480" w:lineRule="auto"/>
      </w:pPr>
      <w:r>
        <w:t>At 50% cuts, mean grain was below uniform allocation on 37.60% of the area.</w:t>
      </w:r>
    </w:p>
    <w:p>
      <w:pPr>
        <w:pStyle w:val="ListBullet"/>
        <w:spacing w:line="480" w:lineRule="auto"/>
      </w:pPr>
      <w:r>
        <w:t>Over nine GRACE years, grain retention was 96.27% (95% target) and 99.63% (98%).</w:t>
      </w:r>
    </w:p>
    <w:p>
      <w:pPr>
        <w:pStyle w:val="ListBullet"/>
        <w:spacing w:line="480" w:lineRule="auto"/>
      </w:pPr>
      <w:r>
        <w:t>Matched rainfall-only controls differed in grain production by 0% at both targets.</w:t>
      </w:r>
    </w:p>
    <w:p>
      <w:pPr>
        <w:spacing w:line="480" w:lineRule="auto"/>
      </w:pPr>
      <w:r>
        <w:br w:type="page"/>
      </w:r>
    </w:p>
    <w:p>
      <w:pPr>
        <w:pStyle w:val="Heading1"/>
        <w:spacing w:line="480" w:lineRule="auto"/>
      </w:pPr>
      <w:r>
        <w:t>Manuscript</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connects grain production with groundwater availability across the winter wheat–summer maize rotation </w:t>
      </w:r>
      <w:r>
        <w:fldChar w:fldCharType="begin"/>
      </w:r>
      <w:r>
        <w:instrText xml:space="preserve"> ADDIN ZOTERO_ITEM CSL_CITATION {"citationID":"e58bb2d2a6ddbd9b","properties":{"formattedCitation":"(Yang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link their responses to water supply </w:t>
      </w:r>
      <w:r>
        <w:fldChar w:fldCharType="begin"/>
      </w:r>
      <w:r>
        <w:instrText xml:space="preserve"> ADDIN ZOTERO_ITEM CSL_CITATION {"citationID":"0a70bb000d2761b0","properties":{"formattedCitation":"(Yang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{"citationID":"f9e8e3a227abb908","properties":{"formattedCitation":"(Zhang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xml:space="preserve">. Recent aquifer recovery under water transfers, abstraction management and changing climate further emphasizes the connection between agricultural production and regional water-resource objectives </w:t>
      </w:r>
      <w:r>
        <w:fldChar w:fldCharType="begin"/>
      </w:r>
      <w:r>
        <w:instrText xml:space="preserve"> ADDIN ZOTERO_ITEM CSL_CITATION {"citationID":"778f493df99ff4be","properties":{"formattedCitation":"(Long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Irrigation decisions consequently involve the water delivered to fields, the grain it supports and the water consumed over the complete rotation.</w:t>
      </w:r>
    </w:p>
    <w:p>
      <w:pPr>
        <w:spacing w:line="480" w:lineRule="auto"/>
      </w:pPr>
      <w:r>
        <w:t xml:space="preserve">The production return from that delivery depends on rainfall and preceding crop management. A sixteen-year experiment in 2003–2018 compared seven wheat–maize irrigation schedules and found diminishing marginal production gains as irrigation increased </w:t>
      </w:r>
      <w:r>
        <w:fldChar w:fldCharType="begin"/>
      </w:r>
      <w:r>
        <w:instrText xml:space="preserve"> ADDIN ZOTERO_ITEM CSL_CITATION {"citationID":"6b1ddf1c2719752a","properties":{"formattedCitation":"(Yang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showed that precipitation conditions influenced the preferred wheat schedule and grain production in the subsequent maize crop </w:t>
      </w:r>
      <w:r>
        <w:fldChar w:fldCharType="begin"/>
      </w:r>
      <w:r>
        <w:instrText xml:space="preserve"> ADDIN ZOTERO_ITEM CSL_CITATION {"citationID":"622d4aae24895904","properties":{"formattedCitation":"(Yang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Water applied to wheat can support its immediate growth and leave a different soil-water reserve for maize. The annual response to an irrigation reduction therefore depends on the sequence of crop demand, rainfall and storage changes across both seasons </w:t>
      </w:r>
      <w:r>
        <w:fldChar w:fldCharType="begin"/>
      </w:r>
      <w:r>
        <w:instrText xml:space="preserve"> ADDIN ZOTERO_ITEM CSL_CITATION {"citationID":"e3020388af151266","properties":{"formattedCitation":"(Yang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w:t>
      </w:r>
    </w:p>
    <w:p>
      <w:pPr>
        <w:spacing w:line="480" w:lineRule="auto"/>
      </w:pPr>
      <w:r>
        <w:t xml:space="preserve">These temporal dependencies occur within a spatially heterogeneous region. Irrigation requirements vary across the North China Plain and among hydrological years in the broader Huang–Huai–Hai Plain </w:t>
      </w:r>
      <w:r>
        <w:fldChar w:fldCharType="begin"/>
      </w:r>
      <w:r>
        <w:instrText xml:space="preserve"> ADDIN ZOTERO_ITEM CSL_CITATION {"citationID":"867c24fffd53b53a","properties":{"formattedCitation":"(Ren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Regional crop-model optimization and irrigation-allocation studies demonstrate how climate, soil and crop responses can inform management choices </w:t>
      </w:r>
      <w:r>
        <w:fldChar w:fldCharType="begin"/>
      </w:r>
      <w:r>
        <w:instrText xml:space="preserve"> ADDIN ZOTERO_ITEM CSL_CITATION {"citationID":"fce96d9b7b628059","properties":{"formattedCitation":"(Jiang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xml:space="preserve">. Under a limited regional supply, spatial allocation depends on the additional grain obtained from an additional unit of irrigation. An equal-budget comparison with uniform reductions can quantify the production benefit of retaining water in more responsive systems. That benefit also has a water-accounting and distributional dimension: delivery, ET, return flows and storage change represent different boundaries, and a regional grain gain can coexist with losses at particular locations </w:t>
      </w:r>
      <w:r>
        <w:fldChar w:fldCharType="begin"/>
      </w:r>
      <w:r>
        <w:instrText xml:space="preserve"> ADDIN ZOTERO_ITEM CSL_CITATION {"citationID":"f7ca14de5b36abf3","properties":{"formattedCitation":"(Grafton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Quantifying these trade-offs requires crop responses that connect canopy development, grain formation and soil-water depletion through successive seasons. Applications of APSIM and RZ-SHAW in the North China Plain provide process-based assessments of crop water productivity, field water balance and ET </w:t>
      </w:r>
      <w:r>
        <w:fldChar w:fldCharType="begin"/>
      </w:r>
      <w:r>
        <w:instrText xml:space="preserve"> ADDIN ZOTERO_ITEM CSL_CITATION {"citationID":"48c8ed580247865a","properties":{"formattedCitation":"(Chen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Transpiration formulation is a major source of variation in simulated water use among wheat models </w:t>
      </w:r>
      <w:r>
        <w:fldChar w:fldCharType="begin"/>
      </w:r>
      <w:r>
        <w:instrText xml:space="preserve"> ADDIN ZOTERO_ITEM CSL_CITATION {"citationID":"5a794b09ad195f81","properties":{"formattedCitation":"(Cammarano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Yield agreement alone therefore provides incomplete evidence about the water cost of production or the production response to additional irrigation. Phenology, canopy, biomass, grain and ET observations constrain complementary processes, while documented irrigation treatments identify their combined response to water supply. Continuous simulation preserves the soil-water carry-over required to compare complete management histories.</w:t>
      </w:r>
    </w:p>
    <w:p>
      <w:pPr>
        <w:spacing w:line="480" w:lineRule="auto"/>
      </w:pPr>
      <w:r>
        <w:t xml:space="preserve">Spatial allocation determines where a regional irrigation budget is delivered; antecedent environmental information can also determine how large that budget should be in a particular year. Recent rainfall describes water input, whereas GRACE total water storage integrates several terrestrial stores over a regional footprint </w:t>
      </w:r>
      <w:r>
        <w:fldChar w:fldCharType="begin"/>
      </w:r>
      <w:r>
        <w:instrText xml:space="preserve"> ADDIN ZOTERO_ITEM CSL_CITATION {"citationID":"b13abe2fbc51ef0c","properties":{"formattedCitation":"(Save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 storage indicator can thus describe conditions beyond local rainfall, but additional environmental information has management value only when it changes the selected action or its grain–water outcome. Storage–rainfall strategies require comparison with rainfall-only strategies under common selection criteria and monitoring availability. This comparison separates the physical relevance of a hydrological indicator from its incremental value for the available irrigation choices.</w:t>
      </w:r>
    </w:p>
    <w:p>
      <w:pPr>
        <w:spacing w:line="480" w:lineRule="auto"/>
      </w:pPr>
      <w:r>
        <w:t>Spatial irrigation allocation and antecedent rainfall–storage strategies were compared for the North China Plain wheat–maize rotation using Open Crop Model. Multisite observations supplied crop-growth parameter estimates, and documented Wuqiao treatments in 2016–2018 constrained water-response coefficients. The 2019 field observations provided retrospective testing, while station comparisons characterized transfer under their available management information. Continuous regional simulations compared uniform and targeted allocations under identical irrigation budgets and annual storage–rainfall strategies against matched rainfall-only controls. Production retention, consumptive ET, profile drainage and the spatial and annual distribution of grain changes define the management trade-offs.</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The simulations reveal three linked dimensions of irrigation management: production retained under a delivery constraint, consumptive water use and the distribution of production changes. Spatial targeting improves regional grain production by assigning a fixed budget to more responsive crop–soil–climate systems. Annual rainfall–storage strategies instead change the delivered quota in response to antecedent conditions. Both decisions operate through crop stress and the soil water carried between wheat, maize and fallow periods. Their management value consequently depends on the complete rotation response, the accounting boundary used to define a water saving and the reliability of the crop responses underlying selection.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spacing w:line="480" w:lineRule="auto"/>
      </w:pPr>
      <w:r>
        <w:br w:type="page"/>
      </w:r>
    </w:p>
    <w:p>
      <w:pPr>
        <w:pStyle w:val="Heading1"/>
        <w:spacing w:line="480" w:lineRule="auto"/>
      </w:pPr>
      <w:r>
        <w:t>Supplementary material</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{"citationID":"b0409c323d3da080","properties":{"formattedCitation":"(Yang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Twenty-six Fengqiu cases retain antecedent moisture initialization from the preceding calendar month. Complete fifteen-layer 0–1.5 m volumetric profiles map conservatively to the represented model layers, preserving depth-integrated storage.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{"citationID":"e787721daf743180","properties":{"formattedCitation":"(Meier,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{"citationID":"9a134bdd3f1a01c4","properties":{"formattedCitation":"(Kiniry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{"citationID":"3a291ef7af4f4309","properties":{"formattedCitation":"(de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{"citationID":"64d8be3d1918db5b","properties":{"formattedCitation":"(Tan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{"citationID":"f5f6e3da175b29d4","properties":{"formattedCitation":"(APSIM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w:t>
      </w:r>
      <w:r>
        <w:fldChar w:fldCharType="begin"/>
      </w:r>
      <w:r>
        <w:instrText xml:space="preserve"> ADDIN ZOTERO_ITEM CSL_CITATION {"citationID":"eaae1ab3930c1e77","properties":{"formattedCitation":"(APSIM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{"citationID":"e5d2e4b724a1789e","properties":{"formattedCitation":"(Allen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{"citationID":"2d61550706b0bab9","properties":{"formattedCitation":"(Allen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{"citationID":"ec03d4566608f3a4","properties":{"formattedCitation":"(van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{"citationID":"db33739e008d67ac","properties":{"formattedCitation":"(Mualem,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{"citationID":"95e36d95b177d8be","properties":{"formattedCitation":"(Wu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{"citationID":"737dbb7db52ef787","properties":{"formattedCitation":"(Saxton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{"citationID":"600f24aa3486f86a","properties":{"formattedCitation":"(ISRIC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{"citationID":"bd34e34e7d80128d","properties":{"formattedCitation":"(NASA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{"citationID":"e955f0758e8bbbe5","properties":{"formattedCitation":"(Qiu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{"citationID":"586b1770b3bb1335","properties":{"formattedCitation":"(Fu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9" name="Picture 9"/>
            <wp:cNvGraphicFramePr>
              <a:graphicFrameLocks noChangeAspect="1"/>
            </wp:cNvGraphicFramePr>
            <a:graphic>
              <a:graphicData uri="http://schemas.openxmlformats.org/drawingml/2006/picture">
                <pic:pic>
                  <pic:nvPicPr>
                    <pic:cNvPr id="0" name="all_quota_spatial_errors.png"/>
                    <pic:cNvPicPr/>
                  </pic:nvPicPr>
                  <pic:blipFill>
                    <a:blip r:embed="rId18"/>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10" name="Picture 10"/>
            <wp:cNvGraphicFramePr>
              <a:graphicFrameLocks noChangeAspect="1"/>
            </wp:cNvGraphicFramePr>
            <a:graphic>
              <a:graphicData uri="http://schemas.openxmlformats.org/drawingml/2006/picture">
                <pic:pic>
                  <pic:nvPicPr>
                    <pic:cNvPr id="0" name="current_annual_field_grain.png"/>
                    <pic:cNvPicPr/>
                  </pic:nvPicPr>
                  <pic:blipFill>
                    <a:blip r:embed="rId19"/>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11" name="Picture 11"/>
            <wp:cNvGraphicFramePr>
              <a:graphicFrameLocks noChangeAspect="1"/>
            </wp:cNvGraphicFramePr>
            <a:graphic>
              <a:graphicData uri="http://schemas.openxmlformats.org/drawingml/2006/picture">
                <pic:pic>
                  <pic:nvPicPr>
                    <pic:cNvPr id="0" name="Figure_S14_continuous_soil_storage.png"/>
                    <pic:cNvPicPr/>
                  </pic:nvPicPr>
                  <pic:blipFill>
                    <a:blip r:embed="rId20"/>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12" name="Picture 12"/>
            <wp:cNvGraphicFramePr>
              <a:graphicFrameLocks noChangeAspect="1"/>
            </wp:cNvGraphicFramePr>
            <a:graphic>
              <a:graphicData uri="http://schemas.openxmlformats.org/drawingml/2006/picture">
                <pic:pic>
                  <pic:nvPicPr>
                    <pic:cNvPr id="0" name="Figure_S20_raw_harvest_quality.png"/>
                    <pic:cNvPicPr/>
                  </pic:nvPicPr>
                  <pic:blipFill>
                    <a:blip r:embed="rId21"/>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13" name="Picture 13"/>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22"/>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14" name="Picture 14"/>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23"/>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5" name="Picture 15"/>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24"/>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6" name="Picture 16"/>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25"/>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5017062"/>
            <wp:docPr id="17" name="Picture 17"/>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26"/>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3499805"/>
            <wp:docPr id="18" name="Picture 18"/>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27"/>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keepNext/>
        <w:spacing w:after="60" w:line="480" w:lineRule="auto"/>
        <w:jc w:val="center"/>
      </w:pPr>
      <w:r>
        <w:drawing>
          <wp:inline xmlns:a="http://schemas.openxmlformats.org/drawingml/2006/main" xmlns:pic="http://schemas.openxmlformats.org/drawingml/2006/picture">
            <wp:extent cx="5715000" cy="1982549"/>
            <wp:docPr id="19" name="Picture 19"/>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8"/>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4.</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