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Supplementary material: Irrigation strategies under contrasting water-storage and rainfall conditions in the North China Plain</w:t>
      </w:r>
    </w:p>
    <w:p>
      <w:pPr>
        <w:keepNext/>
        <w:spacing w:line="480" w:lineRule="auto"/>
      </w:pPr>
      <w:r>
        <w:t>Linjia Yao</w:t>
      </w:r>
      <w:r>
        <w:rPr>
          <w:vertAlign w:val="superscript"/>
        </w:rPr>
        <w:t>1,†</w:t>
      </w:r>
      <w:r>
        <w:t xml:space="preserve">, </w:t>
      </w:r>
      <w:r>
        <w:t>Bin Chen</w:t>
      </w:r>
      <w:r>
        <w:rPr>
          <w:vertAlign w:val="superscript"/>
        </w:rPr>
        <w:t>2,†</w:t>
      </w:r>
      <w:r>
        <w:t xml:space="preserve">, </w:t>
      </w:r>
      <w:r>
        <w:t>Hao Feng</w:t>
      </w:r>
      <w:r>
        <w:rPr>
          <w:vertAlign w:val="superscript"/>
        </w:rPr>
        <w:t>2</w:t>
      </w:r>
      <w:r>
        <w:t xml:space="preserve">, </w:t>
      </w:r>
      <w:r>
        <w:t>Qiang Yu</w:t>
      </w:r>
      <w:r>
        <w:rPr>
          <w:vertAlign w:val="superscript"/>
        </w:rPr>
        <w:t>2,*</w:t>
      </w:r>
      <w:r>
        <w:t xml:space="preserve">, </w:t>
      </w:r>
      <w:r>
        <w:t>Gang Zhao</w:t>
      </w:r>
      <w:r>
        <w:rPr>
          <w:vertAlign w:val="superscript"/>
        </w:rPr>
        <w:t>2,*</w:t>
      </w:r>
    </w:p>
    <w:p>
      <w:pPr>
        <w:keepNext/>
        <w:spacing w:line="480" w:lineRule="auto"/>
      </w:pPr>
      <w:r>
        <w:rPr>
          <w:vertAlign w:val="superscript"/>
        </w:rPr>
        <w:t>1</w:t>
      </w:r>
      <w:r>
        <w:t xml:space="preserve"> College of Natural Resources and Environment, Northwest A&amp;F University, Yangling 712100, China</w:t>
      </w:r>
    </w:p>
    <w:p>
      <w:pPr>
        <w:keepNext/>
        <w:spacing w:line="480" w:lineRule="auto"/>
      </w:pPr>
      <w:r>
        <w:rPr>
          <w:vertAlign w:val="superscript"/>
        </w:rPr>
        <w:t>2</w:t>
      </w:r>
      <w:r>
        <w:t xml:space="preserve"> State Key Laboratory of Soil and Water Conservation and Desertification Control, College of Soil and Water Conservation Science and Engineering, Northwest A&amp;F University, Yangling, Shaanxi 712100, China</w:t>
      </w:r>
    </w:p>
    <w:p>
      <w:pPr>
        <w:keepNext/>
        <w:spacing w:line="480" w:lineRule="auto"/>
      </w:pPr>
      <w:r>
        <w:t>† Linjia Yao and Bin Chen contributed equally to this work and share first authorship.</w:t>
      </w:r>
    </w:p>
    <w:p>
      <w:pPr>
        <w:keepNext w:val="0"/>
        <w:spacing w:line="480" w:lineRule="auto"/>
      </w:pPr>
      <w:r>
        <w:t>* Corresponding authors: Qiang Yu (yuq@nwafu.edu.cn) and Gang Zhao (gang.zhao@nwafu.edu.cn).</w:t>
      </w:r>
    </w:p>
    <w:p>
      <w:pPr>
        <w:pStyle w:val="Heading1"/>
        <w:spacing w:line="480" w:lineRule="auto"/>
      </w:pPr>
      <w:r>
        <w:t>Supplementary methods and results</w:t>
      </w:r>
    </w:p>
    <w:p>
      <w:pPr>
        <w:pStyle w:val="Heading1"/>
        <w:spacing w:line="480" w:lineRule="auto"/>
      </w:pPr>
      <w:r>
        <w:t>S1. Observation sources and eligibility</w:t>
      </w:r>
    </w:p>
    <w:p>
      <w:pPr>
        <w:spacing w:line="480" w:lineRule="auto"/>
      </w:pPr>
      <w:r>
        <w:t>The station archive preserves 132 crop–plot–season trajectories, whole site-year partitions and source metadata. The 7,397 eligible records occur in 127 cases and retain all five observation sites for their available variables. Calibration and retrospective-evaluation trajectory counts remain 71 and 61. Variable-specific availability and missing combinations are retained in the accompanying case and site tables; missing measurements do not become zero observations.</w:t>
      </w:r>
    </w:p>
    <w:p>
      <w:pPr>
        <w:spacing w:line="480" w:lineRule="auto"/>
      </w:pPr>
      <w:r>
        <w:t>Wheat LAI above 7 m² m⁻² remains excluded under the study-specific rule. Duplicated six-replicate maize harvest vectors in Yucheng 2012 and 2017 account for 24 excluded grain and biomass records, divided equally between the original calibration and evaluation partitions. These source-based exclusions retain raw values and do not depend on prediction residuals.</w:t>
      </w:r>
    </w:p>
    <w:p>
      <w:pPr>
        <w:spacing w:line="480" w:lineRule="auto"/>
      </w:pPr>
      <w:r>
        <w:t xml:space="preserve">Earlier multisite growth estimates retain 480 wheat and 433 maize calibration observations. Current station growth and ET comparisons are conditional on archived management whose full irrigation-log completeness is unresolved. They have zero weight in the water-parameter fit. Wuqiao 2016–2018 supplies 12 documented treatment seasons per crop for that fit </w:t>
      </w:r>
      <w:r>
        <w:fldChar w:fldCharType="begin"/>
      </w:r>
      <w:r>
        <w:instrText xml:space="preserve"> ADDIN ZOTERO_ITEM CSL_CITATION {"citationID":"75e61632e3621274","properties":{"formattedCitation":"(Yang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2019 supplies four retrospective testing seasons per crop. Seasonal ET, grain and biomass targets refer to the same treatment-season population, while ET contrasts are derived from those seasonal targets.</w:t>
      </w:r>
    </w:p>
    <w:p>
      <w:pPr>
        <w:spacing w:line="480" w:lineRule="auto"/>
      </w:pPr>
      <w:r>
        <w:t>Twenty-six Fengqiu cases retain antecedent moisture initialization from the preceding calendar month. Complete fifteen-layer 0–1.5 m volumetric profiles map conservatively to the represented model layers, preserving depth-integrated storage. The identical eligibility rule applies to 11 original calibration and 15 evaluation cases. Monthly timing, aggregation and subplot support remain unresolved relative to the exact sowing-day state. Original cases remain available when a measured antecedent profile is absent.</w:t>
      </w:r>
    </w:p>
    <w:p>
      <w:pPr>
        <w:pStyle w:val="Caption"/>
        <w:keepNext/>
        <w:spacing w:line="480" w:lineRule="auto"/>
      </w:pPr>
      <w:r>
        <w:t>Table S1. Crop seasons and calibration/evaluation case counts by site.</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930"/>
        <w:gridCol w:w="1930"/>
        <w:gridCol w:w="1930"/>
        <w:gridCol w:w="1930"/>
        <w:gridCol w:w="1930"/>
      </w:tblGrid>
      <w:tr>
        <w:tc>
          <w:tcPr>
            <w:tcW w:type="dxa" w:w="1930"/>
            <w:tcBorders>
              <w:bottom w:val="single" w:sz="6" w:color="000000"/>
            </w:tcBorders>
          </w:tcPr>
          <w:p>
            <w:pPr>
              <w:keepNext/>
              <w:spacing w:line="480" w:lineRule="auto"/>
            </w:pPr>
            <w:r>
              <w:rPr>
                <w:b/>
                <w:sz w:val="16"/>
              </w:rPr>
              <w:t>Site</w:t>
            </w:r>
          </w:p>
        </w:tc>
        <w:tc>
          <w:tcPr>
            <w:tcW w:type="dxa" w:w="1930"/>
            <w:tcBorders>
              <w:bottom w:val="single" w:sz="6" w:color="000000"/>
            </w:tcBorders>
          </w:tcPr>
          <w:p>
            <w:pPr>
              <w:keepNext/>
              <w:spacing w:line="480" w:lineRule="auto"/>
            </w:pPr>
            <w:r>
              <w:rPr>
                <w:b/>
                <w:sz w:val="16"/>
              </w:rPr>
              <w:t>Crop</w:t>
            </w:r>
          </w:p>
        </w:tc>
        <w:tc>
          <w:tcPr>
            <w:tcW w:type="dxa" w:w="1930"/>
            <w:tcBorders>
              <w:bottom w:val="single" w:sz="6" w:color="000000"/>
            </w:tcBorders>
          </w:tcPr>
          <w:p>
            <w:pPr>
              <w:keepNext/>
              <w:spacing w:line="480" w:lineRule="auto"/>
            </w:pPr>
            <w:r>
              <w:rPr>
                <w:b/>
                <w:sz w:val="16"/>
              </w:rPr>
              <w:t>Years</w:t>
            </w:r>
          </w:p>
        </w:tc>
        <w:tc>
          <w:tcPr>
            <w:tcW w:type="dxa" w:w="1930"/>
            <w:tcBorders>
              <w:bottom w:val="single" w:sz="6" w:color="000000"/>
            </w:tcBorders>
          </w:tcPr>
          <w:p>
            <w:pPr>
              <w:keepNext/>
              <w:spacing w:line="480" w:lineRule="auto"/>
            </w:pPr>
            <w:r>
              <w:rPr>
                <w:b/>
                <w:sz w:val="16"/>
              </w:rPr>
              <w:t>Calibration cases</w:t>
            </w:r>
          </w:p>
        </w:tc>
        <w:tc>
          <w:tcPr>
            <w:tcW w:type="dxa" w:w="1930"/>
            <w:tcBorders>
              <w:bottom w:val="single" w:sz="6" w:color="000000"/>
            </w:tcBorders>
          </w:tcPr>
          <w:p>
            <w:pPr>
              <w:keepNext/>
              <w:spacing w:line="480" w:lineRule="auto"/>
            </w:pPr>
            <w:r>
              <w:rPr>
                <w:b/>
                <w:sz w:val="16"/>
              </w:rPr>
              <w:t>Evaluation cases</w:t>
            </w:r>
          </w:p>
        </w:tc>
      </w:tr>
      <w:tr>
        <w:tc>
          <w:tcPr>
            <w:tcW w:type="dxa" w:w="1930"/>
          </w:tcPr>
          <w:p>
            <w:pPr>
              <w:keepNext/>
              <w:spacing w:line="480" w:lineRule="auto"/>
            </w:pPr>
            <w:r>
              <w:rPr>
                <w:sz w:val="16"/>
              </w:rPr>
              <w:t>Fengqiu</w:t>
            </w:r>
          </w:p>
        </w:tc>
        <w:tc>
          <w:tcPr>
            <w:tcW w:type="dxa" w:w="1930"/>
          </w:tcPr>
          <w:p>
            <w:pPr>
              <w:keepNext/>
              <w:spacing w:line="480" w:lineRule="auto"/>
            </w:pPr>
            <w:r>
              <w:rPr>
                <w:sz w:val="16"/>
              </w:rPr>
              <w:t>Maize</w:t>
            </w:r>
          </w:p>
        </w:tc>
        <w:tc>
          <w:tcPr>
            <w:tcW w:type="dxa" w:w="1930"/>
          </w:tcPr>
          <w:p>
            <w:pPr>
              <w:keepNext/>
              <w:spacing w:line="480" w:lineRule="auto"/>
            </w:pPr>
            <w:r>
              <w:rPr>
                <w:sz w:val="16"/>
              </w:rPr>
              <w:t>2004, 2005, 2006, 2007, 2008</w:t>
            </w:r>
          </w:p>
        </w:tc>
        <w:tc>
          <w:tcPr>
            <w:tcW w:type="dxa" w:w="1930"/>
          </w:tcPr>
          <w:p>
            <w:pPr>
              <w:keepNext/>
              <w:spacing w:line="480" w:lineRule="auto"/>
            </w:pPr>
            <w:r>
              <w:rPr>
                <w:sz w:val="16"/>
              </w:rPr>
              <w:t>11</w:t>
            </w:r>
          </w:p>
        </w:tc>
        <w:tc>
          <w:tcPr>
            <w:tcW w:type="dxa" w:w="1930"/>
          </w:tcPr>
          <w:p>
            <w:pPr>
              <w:keepNext/>
              <w:spacing w:line="480" w:lineRule="auto"/>
            </w:pPr>
            <w:r>
              <w:rPr>
                <w:sz w:val="16"/>
              </w:rPr>
              <w:t>9</w:t>
            </w:r>
          </w:p>
        </w:tc>
      </w:tr>
      <w:tr>
        <w:tc>
          <w:tcPr>
            <w:tcW w:type="dxa" w:w="1930"/>
          </w:tcPr>
          <w:p>
            <w:pPr>
              <w:keepNext/>
              <w:spacing w:line="480" w:lineRule="auto"/>
            </w:pPr>
            <w:r>
              <w:rPr>
                <w:sz w:val="16"/>
              </w:rPr>
              <w:t>Fengqiu</w:t>
            </w:r>
          </w:p>
        </w:tc>
        <w:tc>
          <w:tcPr>
            <w:tcW w:type="dxa" w:w="1930"/>
          </w:tcPr>
          <w:p>
            <w:pPr>
              <w:keepNext/>
              <w:spacing w:line="480" w:lineRule="auto"/>
            </w:pPr>
            <w:r>
              <w:rPr>
                <w:sz w:val="16"/>
              </w:rPr>
              <w:t>Wheat</w:t>
            </w:r>
          </w:p>
        </w:tc>
        <w:tc>
          <w:tcPr>
            <w:tcW w:type="dxa" w:w="1930"/>
          </w:tcPr>
          <w:p>
            <w:pPr>
              <w:keepNext/>
              <w:spacing w:line="480" w:lineRule="auto"/>
            </w:pPr>
            <w:r>
              <w:rPr>
                <w:sz w:val="16"/>
              </w:rPr>
              <w:t>2004, 2005, 2006, 2007, 2008</w:t>
            </w:r>
          </w:p>
        </w:tc>
        <w:tc>
          <w:tcPr>
            <w:tcW w:type="dxa" w:w="1930"/>
          </w:tcPr>
          <w:p>
            <w:pPr>
              <w:keepNext/>
              <w:spacing w:line="480" w:lineRule="auto"/>
            </w:pPr>
            <w:r>
              <w:rPr>
                <w:sz w:val="16"/>
              </w:rPr>
              <w:t>11</w:t>
            </w:r>
          </w:p>
        </w:tc>
        <w:tc>
          <w:tcPr>
            <w:tcW w:type="dxa" w:w="1930"/>
          </w:tcPr>
          <w:p>
            <w:pPr>
              <w:keepNext/>
              <w:spacing w:line="480" w:lineRule="auto"/>
            </w:pPr>
            <w:r>
              <w:rPr>
                <w:sz w:val="16"/>
              </w:rPr>
              <w:t>10</w:t>
            </w:r>
          </w:p>
        </w:tc>
      </w:tr>
      <w:tr>
        <w:tc>
          <w:tcPr>
            <w:tcW w:type="dxa" w:w="1930"/>
          </w:tcPr>
          <w:p>
            <w:pPr>
              <w:keepNext/>
              <w:spacing w:line="480" w:lineRule="auto"/>
            </w:pPr>
            <w:r>
              <w:rPr>
                <w:sz w:val="16"/>
              </w:rPr>
              <w:t>Gucheng</w:t>
            </w:r>
          </w:p>
        </w:tc>
        <w:tc>
          <w:tcPr>
            <w:tcW w:type="dxa" w:w="1930"/>
          </w:tcPr>
          <w:p>
            <w:pPr>
              <w:keepNext/>
              <w:spacing w:line="480" w:lineRule="auto"/>
            </w:pPr>
            <w:r>
              <w:rPr>
                <w:sz w:val="16"/>
              </w:rPr>
              <w:t>Maize</w:t>
            </w:r>
          </w:p>
        </w:tc>
        <w:tc>
          <w:tcPr>
            <w:tcW w:type="dxa" w:w="1930"/>
          </w:tcPr>
          <w:p>
            <w:pPr>
              <w:keepNext/>
              <w:spacing w:line="480" w:lineRule="auto"/>
            </w:pPr>
            <w:r>
              <w:rPr>
                <w:sz w:val="16"/>
              </w:rPr>
              <w:t>2018, 2019, 2020</w:t>
            </w:r>
          </w:p>
        </w:tc>
        <w:tc>
          <w:tcPr>
            <w:tcW w:type="dxa" w:w="1930"/>
          </w:tcPr>
          <w:p>
            <w:pPr>
              <w:keepNext/>
              <w:spacing w:line="480" w:lineRule="auto"/>
            </w:pPr>
            <w:r>
              <w:rPr>
                <w:sz w:val="16"/>
              </w:rPr>
              <w:t>8</w:t>
            </w:r>
          </w:p>
        </w:tc>
        <w:tc>
          <w:tcPr>
            <w:tcW w:type="dxa" w:w="1930"/>
          </w:tcPr>
          <w:p>
            <w:pPr>
              <w:keepNext/>
              <w:spacing w:line="480" w:lineRule="auto"/>
            </w:pPr>
            <w:r>
              <w:rPr>
                <w:sz w:val="16"/>
              </w:rPr>
              <w:t>4</w:t>
            </w:r>
          </w:p>
        </w:tc>
      </w:tr>
      <w:tr>
        <w:tc>
          <w:tcPr>
            <w:tcW w:type="dxa" w:w="1930"/>
          </w:tcPr>
          <w:p>
            <w:pPr>
              <w:keepNext/>
              <w:spacing w:line="480" w:lineRule="auto"/>
            </w:pPr>
            <w:r>
              <w:rPr>
                <w:sz w:val="16"/>
              </w:rPr>
              <w:t>Luancheng</w:t>
            </w:r>
          </w:p>
        </w:tc>
        <w:tc>
          <w:tcPr>
            <w:tcW w:type="dxa" w:w="1930"/>
          </w:tcPr>
          <w:p>
            <w:pPr>
              <w:keepNext/>
              <w:spacing w:line="480" w:lineRule="auto"/>
            </w:pPr>
            <w:r>
              <w:rPr>
                <w:sz w:val="16"/>
              </w:rPr>
              <w:t>Maize</w:t>
            </w:r>
          </w:p>
        </w:tc>
        <w:tc>
          <w:tcPr>
            <w:tcW w:type="dxa" w:w="1930"/>
          </w:tcPr>
          <w:p>
            <w:pPr>
              <w:keepNext/>
              <w:spacing w:line="480" w:lineRule="auto"/>
            </w:pPr>
            <w:r>
              <w:rPr>
                <w:sz w:val="16"/>
              </w:rPr>
              <w:t>2004, 2005, 2006, 2007, 2008</w:t>
            </w:r>
          </w:p>
        </w:tc>
        <w:tc>
          <w:tcPr>
            <w:tcW w:type="dxa" w:w="1930"/>
          </w:tcPr>
          <w:p>
            <w:pPr>
              <w:keepNext/>
              <w:spacing w:line="480" w:lineRule="auto"/>
            </w:pPr>
            <w:r>
              <w:rPr>
                <w:sz w:val="16"/>
              </w:rPr>
              <w:t>2</w:t>
            </w:r>
          </w:p>
        </w:tc>
        <w:tc>
          <w:tcPr>
            <w:tcW w:type="dxa" w:w="1930"/>
          </w:tcPr>
          <w:p>
            <w:pPr>
              <w:keepNext/>
              <w:spacing w:line="480" w:lineRule="auto"/>
            </w:pPr>
            <w:r>
              <w:rPr>
                <w:sz w:val="16"/>
              </w:rPr>
              <w:t>3</w:t>
            </w:r>
          </w:p>
        </w:tc>
      </w:tr>
      <w:tr>
        <w:tc>
          <w:tcPr>
            <w:tcW w:type="dxa" w:w="1930"/>
          </w:tcPr>
          <w:p>
            <w:pPr>
              <w:keepNext/>
              <w:spacing w:line="480" w:lineRule="auto"/>
            </w:pPr>
            <w:r>
              <w:rPr>
                <w:sz w:val="16"/>
              </w:rPr>
              <w:t>Luancheng</w:t>
            </w:r>
          </w:p>
        </w:tc>
        <w:tc>
          <w:tcPr>
            <w:tcW w:type="dxa" w:w="1930"/>
          </w:tcPr>
          <w:p>
            <w:pPr>
              <w:keepNext/>
              <w:spacing w:line="480" w:lineRule="auto"/>
            </w:pPr>
            <w:r>
              <w:rPr>
                <w:sz w:val="16"/>
              </w:rPr>
              <w:t>Wheat</w:t>
            </w:r>
          </w:p>
        </w:tc>
        <w:tc>
          <w:tcPr>
            <w:tcW w:type="dxa" w:w="1930"/>
          </w:tcPr>
          <w:p>
            <w:pPr>
              <w:keepNext/>
              <w:spacing w:line="480" w:lineRule="auto"/>
            </w:pPr>
            <w:r>
              <w:rPr>
                <w:sz w:val="16"/>
              </w:rPr>
              <w:t>2004, 2005, 2006, 2007, 2008</w:t>
            </w:r>
          </w:p>
        </w:tc>
        <w:tc>
          <w:tcPr>
            <w:tcW w:type="dxa" w:w="1930"/>
          </w:tcPr>
          <w:p>
            <w:pPr>
              <w:keepNext/>
              <w:spacing w:line="480" w:lineRule="auto"/>
            </w:pPr>
            <w:r>
              <w:rPr>
                <w:sz w:val="16"/>
              </w:rPr>
              <w:t>2</w:t>
            </w:r>
          </w:p>
        </w:tc>
        <w:tc>
          <w:tcPr>
            <w:tcW w:type="dxa" w:w="1930"/>
          </w:tcPr>
          <w:p>
            <w:pPr>
              <w:keepNext/>
              <w:spacing w:line="480" w:lineRule="auto"/>
            </w:pPr>
            <w:r>
              <w:rPr>
                <w:sz w:val="16"/>
              </w:rPr>
              <w:t>3</w:t>
            </w:r>
          </w:p>
        </w:tc>
      </w:tr>
      <w:tr>
        <w:tc>
          <w:tcPr>
            <w:tcW w:type="dxa" w:w="1930"/>
          </w:tcPr>
          <w:p>
            <w:pPr>
              <w:keepNext/>
              <w:spacing w:line="480" w:lineRule="auto"/>
            </w:pPr>
            <w:r>
              <w:rPr>
                <w:sz w:val="16"/>
              </w:rPr>
              <w:t>Shangqiu</w:t>
            </w:r>
          </w:p>
        </w:tc>
        <w:tc>
          <w:tcPr>
            <w:tcW w:type="dxa" w:w="1930"/>
          </w:tcPr>
          <w:p>
            <w:pPr>
              <w:keepNext/>
              <w:spacing w:line="480" w:lineRule="auto"/>
            </w:pPr>
            <w:r>
              <w:rPr>
                <w:sz w:val="16"/>
              </w:rPr>
              <w:t>Maize</w:t>
            </w:r>
          </w:p>
        </w:tc>
        <w:tc>
          <w:tcPr>
            <w:tcW w:type="dxa" w:w="1930"/>
          </w:tcPr>
          <w:p>
            <w:pPr>
              <w:keepNext/>
              <w:spacing w:line="480" w:lineRule="auto"/>
            </w:pPr>
            <w:r>
              <w:rPr>
                <w:sz w:val="16"/>
              </w:rPr>
              <w:t>2002, 2004, 2005, 2006, 2007</w:t>
            </w:r>
          </w:p>
        </w:tc>
        <w:tc>
          <w:tcPr>
            <w:tcW w:type="dxa" w:w="1930"/>
          </w:tcPr>
          <w:p>
            <w:pPr>
              <w:keepNext/>
              <w:spacing w:line="480" w:lineRule="auto"/>
            </w:pPr>
            <w:r>
              <w:rPr>
                <w:sz w:val="16"/>
              </w:rPr>
              <w:t>2</w:t>
            </w:r>
          </w:p>
        </w:tc>
        <w:tc>
          <w:tcPr>
            <w:tcW w:type="dxa" w:w="1930"/>
          </w:tcPr>
          <w:p>
            <w:pPr>
              <w:keepNext/>
              <w:spacing w:line="480" w:lineRule="auto"/>
            </w:pPr>
            <w:r>
              <w:rPr>
                <w:sz w:val="16"/>
              </w:rPr>
              <w:t>6</w:t>
            </w:r>
          </w:p>
        </w:tc>
      </w:tr>
      <w:tr>
        <w:tc>
          <w:tcPr>
            <w:tcW w:type="dxa" w:w="1930"/>
          </w:tcPr>
          <w:p>
            <w:pPr>
              <w:keepNext/>
              <w:spacing w:line="480" w:lineRule="auto"/>
            </w:pPr>
            <w:r>
              <w:rPr>
                <w:sz w:val="16"/>
              </w:rPr>
              <w:t>Shangqiu</w:t>
            </w:r>
          </w:p>
        </w:tc>
        <w:tc>
          <w:tcPr>
            <w:tcW w:type="dxa" w:w="1930"/>
          </w:tcPr>
          <w:p>
            <w:pPr>
              <w:keepNext/>
              <w:spacing w:line="480" w:lineRule="auto"/>
            </w:pPr>
            <w:r>
              <w:rPr>
                <w:sz w:val="16"/>
              </w:rPr>
              <w:t>Wheat</w:t>
            </w:r>
          </w:p>
        </w:tc>
        <w:tc>
          <w:tcPr>
            <w:tcW w:type="dxa" w:w="1930"/>
          </w:tcPr>
          <w:p>
            <w:pPr>
              <w:keepNext/>
              <w:spacing w:line="480" w:lineRule="auto"/>
            </w:pPr>
            <w:r>
              <w:rPr>
                <w:sz w:val="16"/>
              </w:rPr>
              <w:t>2001, 2002, 2003, 2004, 2005, 2006, 2007</w:t>
            </w:r>
          </w:p>
        </w:tc>
        <w:tc>
          <w:tcPr>
            <w:tcW w:type="dxa" w:w="1930"/>
          </w:tcPr>
          <w:p>
            <w:pPr>
              <w:keepNext/>
              <w:spacing w:line="480" w:lineRule="auto"/>
            </w:pPr>
            <w:r>
              <w:rPr>
                <w:sz w:val="16"/>
              </w:rPr>
              <w:t>9</w:t>
            </w:r>
          </w:p>
        </w:tc>
        <w:tc>
          <w:tcPr>
            <w:tcW w:type="dxa" w:w="1930"/>
          </w:tcPr>
          <w:p>
            <w:pPr>
              <w:keepNext/>
              <w:spacing w:line="480" w:lineRule="auto"/>
            </w:pPr>
            <w:r>
              <w:rPr>
                <w:sz w:val="16"/>
              </w:rPr>
              <w:t>8</w:t>
            </w:r>
          </w:p>
        </w:tc>
      </w:tr>
      <w:tr>
        <w:tc>
          <w:tcPr>
            <w:tcW w:type="dxa" w:w="1930"/>
          </w:tcPr>
          <w:p>
            <w:pPr>
              <w:keepNext/>
              <w:spacing w:line="480" w:lineRule="auto"/>
            </w:pPr>
            <w:r>
              <w:rPr>
                <w:sz w:val="16"/>
              </w:rPr>
              <w:t>Yucheng</w:t>
            </w:r>
          </w:p>
        </w:tc>
        <w:tc>
          <w:tcPr>
            <w:tcW w:type="dxa" w:w="1930"/>
          </w:tcPr>
          <w:p>
            <w:pPr>
              <w:keepNext/>
              <w:spacing w:line="480" w:lineRule="auto"/>
            </w:pPr>
            <w:r>
              <w:rPr>
                <w:sz w:val="16"/>
              </w:rPr>
              <w:t>Maize</w:t>
            </w:r>
          </w:p>
        </w:tc>
        <w:tc>
          <w:tcPr>
            <w:tcW w:type="dxa" w:w="1930"/>
          </w:tcPr>
          <w:p>
            <w:pPr>
              <w:keepNext/>
              <w:spacing w:line="480" w:lineRule="auto"/>
            </w:pPr>
            <w:r>
              <w:rPr>
                <w:sz w:val="16"/>
              </w:rPr>
              <w:t>1998, 2000, 2001, 2002, 2004, 2005, 2006, 2007, 2008, 2009, 2010, 2011, 2012, 2013, 2014, 2015, 2016, 2017, 2018, 2019, 2020, 2021, 2022</w:t>
            </w:r>
          </w:p>
        </w:tc>
        <w:tc>
          <w:tcPr>
            <w:tcW w:type="dxa" w:w="1930"/>
          </w:tcPr>
          <w:p>
            <w:pPr>
              <w:keepNext/>
              <w:spacing w:line="480" w:lineRule="auto"/>
            </w:pPr>
            <w:r>
              <w:rPr>
                <w:sz w:val="16"/>
              </w:rPr>
              <w:t>14</w:t>
            </w:r>
          </w:p>
        </w:tc>
        <w:tc>
          <w:tcPr>
            <w:tcW w:type="dxa" w:w="1930"/>
          </w:tcPr>
          <w:p>
            <w:pPr>
              <w:keepNext/>
              <w:spacing w:line="480" w:lineRule="auto"/>
            </w:pPr>
            <w:r>
              <w:rPr>
                <w:sz w:val="16"/>
              </w:rPr>
              <w:t>9</w:t>
            </w:r>
          </w:p>
        </w:tc>
      </w:tr>
      <w:tr>
        <w:tc>
          <w:tcPr>
            <w:tcW w:type="dxa" w:w="1930"/>
          </w:tcPr>
          <w:p>
            <w:pPr>
              <w:keepNext w:val="0"/>
              <w:spacing w:line="480" w:lineRule="auto"/>
            </w:pPr>
            <w:r>
              <w:rPr>
                <w:sz w:val="16"/>
              </w:rPr>
              <w:t>Yucheng</w:t>
            </w:r>
          </w:p>
        </w:tc>
        <w:tc>
          <w:tcPr>
            <w:tcW w:type="dxa" w:w="1930"/>
          </w:tcPr>
          <w:p>
            <w:pPr>
              <w:keepNext w:val="0"/>
              <w:spacing w:line="480" w:lineRule="auto"/>
            </w:pPr>
            <w:r>
              <w:rPr>
                <w:sz w:val="16"/>
              </w:rPr>
              <w:t>Wheat</w:t>
            </w:r>
          </w:p>
        </w:tc>
        <w:tc>
          <w:tcPr>
            <w:tcW w:type="dxa" w:w="1930"/>
          </w:tcPr>
          <w:p>
            <w:pPr>
              <w:keepNext w:val="0"/>
              <w:spacing w:line="480" w:lineRule="auto"/>
            </w:pPr>
            <w:r>
              <w:rPr>
                <w:sz w:val="16"/>
              </w:rPr>
              <w:t>1999, 2000, 2004, 2005, 2006, 2007, 2008, 2009, 2010, 2011, 2012, 2013, 2014, 2015, 2016, 2017, 2018, 2019, 2020, 2021, 2022</w:t>
            </w:r>
          </w:p>
        </w:tc>
        <w:tc>
          <w:tcPr>
            <w:tcW w:type="dxa" w:w="1930"/>
          </w:tcPr>
          <w:p>
            <w:pPr>
              <w:keepNext w:val="0"/>
              <w:spacing w:line="480" w:lineRule="auto"/>
            </w:pPr>
            <w:r>
              <w:rPr>
                <w:sz w:val="16"/>
              </w:rPr>
              <w:t>12</w:t>
            </w:r>
          </w:p>
        </w:tc>
        <w:tc>
          <w:tcPr>
            <w:tcW w:type="dxa" w:w="1930"/>
          </w:tcPr>
          <w:p>
            <w:pPr>
              <w:keepNext w:val="0"/>
              <w:spacing w:line="480" w:lineRule="auto"/>
            </w:pPr>
            <w:r>
              <w:rPr>
                <w:sz w:val="16"/>
              </w:rPr>
              <w:t>9</w:t>
            </w:r>
          </w:p>
        </w:tc>
      </w:tr>
    </w:tbl>
    <w:p>
      <w:pPr>
        <w:spacing w:line="480" w:lineRule="auto"/>
      </w:pPr>
      <w:r>
        <w:t>Years denote archived crop-season groups, which retain all their plot cases. Coverage is intermittent; years absent from the table are not assumed to have observations.</w:t>
      </w:r>
    </w:p>
    <w:p>
      <w:pPr>
        <w:pStyle w:val="Caption"/>
        <w:keepNext/>
        <w:spacing w:line="480" w:lineRule="auto"/>
      </w:pPr>
      <w:r>
        <w:t>Table S2. Source datasets for evaluated field observations.</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2412"/>
        <w:gridCol w:w="2412"/>
        <w:gridCol w:w="2412"/>
        <w:gridCol w:w="2412"/>
      </w:tblGrid>
      <w:tr>
        <w:tc>
          <w:tcPr>
            <w:tcW w:type="dxa" w:w="2412"/>
            <w:tcBorders>
              <w:bottom w:val="single" w:sz="6" w:color="000000"/>
            </w:tcBorders>
          </w:tcPr>
          <w:p>
            <w:pPr>
              <w:keepNext/>
              <w:spacing w:line="480" w:lineRule="auto"/>
            </w:pPr>
            <w:r>
              <w:rPr>
                <w:b/>
                <w:sz w:val="16"/>
              </w:rPr>
              <w:t>Site</w:t>
            </w:r>
          </w:p>
        </w:tc>
        <w:tc>
          <w:tcPr>
            <w:tcW w:type="dxa" w:w="2412"/>
            <w:tcBorders>
              <w:bottom w:val="single" w:sz="6" w:color="000000"/>
            </w:tcBorders>
          </w:tcPr>
          <w:p>
            <w:pPr>
              <w:keepNext/>
              <w:spacing w:line="480" w:lineRule="auto"/>
            </w:pPr>
            <w:r>
              <w:rPr>
                <w:b/>
                <w:sz w:val="16"/>
              </w:rPr>
              <w:t>Dataset</w:t>
            </w:r>
          </w:p>
        </w:tc>
        <w:tc>
          <w:tcPr>
            <w:tcW w:type="dxa" w:w="2412"/>
            <w:tcBorders>
              <w:bottom w:val="single" w:sz="6" w:color="000000"/>
            </w:tcBorders>
          </w:tcPr>
          <w:p>
            <w:pPr>
              <w:keepNext/>
              <w:spacing w:line="480" w:lineRule="auto"/>
            </w:pPr>
            <w:r>
              <w:rPr>
                <w:b/>
                <w:sz w:val="16"/>
              </w:rPr>
              <w:t>DOI</w:t>
            </w:r>
          </w:p>
        </w:tc>
        <w:tc>
          <w:tcPr>
            <w:tcW w:type="dxa" w:w="2412"/>
            <w:tcBorders>
              <w:bottom w:val="single" w:sz="6" w:color="000000"/>
            </w:tcBorders>
          </w:tcPr>
          <w:p>
            <w:pPr>
              <w:keepNext/>
              <w:spacing w:line="480" w:lineRule="auto"/>
            </w:pPr>
            <w:r>
              <w:rPr>
                <w:b/>
                <w:sz w:val="16"/>
              </w:rPr>
              <w:t>Source</w:t>
            </w:r>
          </w:p>
        </w:tc>
      </w:tr>
      <w:tr>
        <w:tc>
          <w:tcPr>
            <w:tcW w:type="dxa" w:w="2412"/>
          </w:tcPr>
          <w:p>
            <w:pPr>
              <w:keepNext/>
              <w:spacing w:line="480" w:lineRule="auto"/>
            </w:pPr>
            <w:r>
              <w:rPr>
                <w:sz w:val="16"/>
              </w:rPr>
              <w:t>Fengqiu</w:t>
            </w:r>
          </w:p>
        </w:tc>
        <w:tc>
          <w:tcPr>
            <w:tcW w:type="dxa" w:w="2412"/>
          </w:tcPr>
          <w:p>
            <w:pPr>
              <w:keepNext/>
              <w:spacing w:line="480" w:lineRule="auto"/>
            </w:pPr>
            <w:r>
              <w:rPr>
                <w:sz w:val="16"/>
              </w:rPr>
              <w:t>2004-2008年河南封丘站作物生育及生长动态监测数据</w:t>
            </w:r>
          </w:p>
        </w:tc>
        <w:tc>
          <w:tcPr>
            <w:tcW w:type="dxa" w:w="2412"/>
          </w:tcPr>
          <w:p>
            <w:pPr>
              <w:keepNext/>
              <w:spacing w:line="480" w:lineRule="auto"/>
            </w:pPr>
            <w:r>
              <w:rPr>
                <w:sz w:val="16"/>
              </w:rPr>
              <w:t>10.12199/nesdc.ecodb.mon.2020.dp2011.fqa.002</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Fengqiu</w:t>
            </w:r>
          </w:p>
        </w:tc>
        <w:tc>
          <w:tcPr>
            <w:tcW w:type="dxa" w:w="2412"/>
          </w:tcPr>
          <w:p>
            <w:pPr>
              <w:keepNext/>
              <w:spacing w:line="480" w:lineRule="auto"/>
            </w:pPr>
            <w:r>
              <w:rPr>
                <w:sz w:val="16"/>
              </w:rPr>
              <w:t>2005-2008年河南封丘站农田土壤水分物理性质监测数据</w:t>
            </w:r>
          </w:p>
        </w:tc>
        <w:tc>
          <w:tcPr>
            <w:tcW w:type="dxa" w:w="2412"/>
          </w:tcPr>
          <w:p>
            <w:pPr>
              <w:keepNext/>
              <w:spacing w:line="480" w:lineRule="auto"/>
            </w:pPr>
            <w:r>
              <w:rPr>
                <w:sz w:val="16"/>
              </w:rPr>
              <w:t>10.12199/nesdc.ecodb.mon.2020.dp2011.fqa.006</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Gucheng</w:t>
            </w:r>
          </w:p>
        </w:tc>
        <w:tc>
          <w:tcPr>
            <w:tcW w:type="dxa" w:w="2412"/>
          </w:tcPr>
          <w:p>
            <w:pPr>
              <w:keepNext/>
              <w:spacing w:line="480" w:lineRule="auto"/>
            </w:pPr>
            <w:r>
              <w:rPr>
                <w:sz w:val="16"/>
              </w:rPr>
              <w:t>2018–2021年华北北部不同播期对玉米生长发育的影响数据集</w:t>
            </w:r>
          </w:p>
        </w:tc>
        <w:tc>
          <w:tcPr>
            <w:tcW w:type="dxa" w:w="2412"/>
          </w:tcPr>
          <w:p>
            <w:pPr>
              <w:keepNext/>
              <w:spacing w:line="480" w:lineRule="auto"/>
            </w:pPr>
            <w:r>
              <w:rPr>
                <w:sz w:val="16"/>
              </w:rPr>
              <w:t>10.57760/sciencedb.o00119.00017</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Luancheng</w:t>
            </w:r>
          </w:p>
        </w:tc>
        <w:tc>
          <w:tcPr>
            <w:tcW w:type="dxa" w:w="2412"/>
          </w:tcPr>
          <w:p>
            <w:pPr>
              <w:keepNext/>
              <w:spacing w:line="480" w:lineRule="auto"/>
            </w:pPr>
            <w:r>
              <w:rPr>
                <w:sz w:val="16"/>
              </w:rPr>
              <w:t>2000-2008年河北栾城站作物生育及生长动态监测数据</w:t>
            </w:r>
          </w:p>
        </w:tc>
        <w:tc>
          <w:tcPr>
            <w:tcW w:type="dxa" w:w="2412"/>
          </w:tcPr>
          <w:p>
            <w:pPr>
              <w:keepNext/>
              <w:spacing w:line="480" w:lineRule="auto"/>
            </w:pPr>
            <w:r>
              <w:rPr>
                <w:sz w:val="16"/>
              </w:rPr>
              <w:t>10.12199/nesdc.ecodb.mon.2020.dp2011.lca.002</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Shangqiu</w:t>
            </w:r>
          </w:p>
        </w:tc>
        <w:tc>
          <w:tcPr>
            <w:tcW w:type="dxa" w:w="2412"/>
          </w:tcPr>
          <w:p>
            <w:pPr>
              <w:keepNext/>
              <w:spacing w:line="480" w:lineRule="auto"/>
            </w:pPr>
            <w:r>
              <w:rPr>
                <w:sz w:val="16"/>
              </w:rPr>
              <w:t>2000-2007年河南商丘站作物生育及生长动态监测数据</w:t>
            </w:r>
          </w:p>
        </w:tc>
        <w:tc>
          <w:tcPr>
            <w:tcW w:type="dxa" w:w="2412"/>
          </w:tcPr>
          <w:p>
            <w:pPr>
              <w:keepNext/>
              <w:spacing w:line="480" w:lineRule="auto"/>
            </w:pPr>
            <w:r>
              <w:rPr>
                <w:sz w:val="16"/>
              </w:rPr>
              <w:t>10.12199/nesdc.ecodb.mon.2020.dp2011.sqa.003</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Yucheng</w:t>
            </w:r>
          </w:p>
        </w:tc>
        <w:tc>
          <w:tcPr>
            <w:tcW w:type="dxa" w:w="2412"/>
          </w:tcPr>
          <w:p>
            <w:pPr>
              <w:keepNext/>
              <w:spacing w:line="480" w:lineRule="auto"/>
            </w:pPr>
            <w:r>
              <w:rPr>
                <w:sz w:val="16"/>
              </w:rPr>
              <w:t>1998-2006年山东禹城站作物生育及生长动态监测数据</w:t>
            </w:r>
          </w:p>
        </w:tc>
        <w:tc>
          <w:tcPr>
            <w:tcW w:type="dxa" w:w="2412"/>
          </w:tcPr>
          <w:p>
            <w:pPr>
              <w:keepNext/>
              <w:spacing w:line="480" w:lineRule="auto"/>
            </w:pPr>
            <w:r>
              <w:rPr>
                <w:sz w:val="16"/>
              </w:rPr>
              <w:t>10.12199/nesdc.ecodb.mon.2020.dp2011.yca.003</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Yucheng</w:t>
            </w:r>
          </w:p>
        </w:tc>
        <w:tc>
          <w:tcPr>
            <w:tcW w:type="dxa" w:w="2412"/>
          </w:tcPr>
          <w:p>
            <w:pPr>
              <w:keepNext/>
              <w:spacing w:line="480" w:lineRule="auto"/>
            </w:pPr>
            <w:r>
              <w:rPr>
                <w:sz w:val="16"/>
              </w:rPr>
              <w:t>禹城站2005-2022年生物要素观测数据集</w:t>
            </w:r>
          </w:p>
        </w:tc>
        <w:tc>
          <w:tcPr>
            <w:tcW w:type="dxa" w:w="2412"/>
          </w:tcPr>
          <w:p>
            <w:pPr>
              <w:keepNext/>
              <w:spacing w:line="480" w:lineRule="auto"/>
            </w:pPr>
            <w:r>
              <w:rPr>
                <w:sz w:val="16"/>
              </w:rPr>
              <w:t>10.12199/nesdc.ecodb.2021YFF0703900.yca.2025.2</w:t>
            </w:r>
          </w:p>
        </w:tc>
        <w:tc>
          <w:tcPr>
            <w:tcW w:type="dxa" w:w="2412"/>
          </w:tcPr>
          <w:p>
            <w:pPr>
              <w:keepNext/>
              <w:spacing w:line="480" w:lineRule="auto"/>
            </w:pPr>
            <w:r>
              <w:rPr>
                <w:sz w:val="16"/>
              </w:rPr>
              <w:t>National Ecosystem Science Data Center / Science Data Bank</w:t>
            </w:r>
          </w:p>
        </w:tc>
      </w:tr>
      <w:tr>
        <w:tc>
          <w:tcPr>
            <w:tcW w:type="dxa" w:w="2412"/>
          </w:tcPr>
          <w:p>
            <w:pPr>
              <w:keepNext w:val="0"/>
              <w:spacing w:line="480" w:lineRule="auto"/>
            </w:pPr>
            <w:r>
              <w:rPr>
                <w:sz w:val="16"/>
              </w:rPr>
              <w:t>Yucheng</w:t>
            </w:r>
          </w:p>
        </w:tc>
        <w:tc>
          <w:tcPr>
            <w:tcW w:type="dxa" w:w="2412"/>
          </w:tcPr>
          <w:p>
            <w:pPr>
              <w:keepNext w:val="0"/>
              <w:spacing w:line="480" w:lineRule="auto"/>
            </w:pPr>
            <w:r>
              <w:rPr>
                <w:sz w:val="16"/>
              </w:rPr>
              <w:t>禹城站2005-2022年水环境要素观测数据集</w:t>
            </w:r>
          </w:p>
        </w:tc>
        <w:tc>
          <w:tcPr>
            <w:tcW w:type="dxa" w:w="2412"/>
          </w:tcPr>
          <w:p>
            <w:pPr>
              <w:keepNext w:val="0"/>
              <w:spacing w:line="480" w:lineRule="auto"/>
            </w:pPr>
            <w:r>
              <w:rPr>
                <w:sz w:val="16"/>
              </w:rPr>
              <w:t>10.12199/nesdc.ecodb.2021YFF0703900.yca.2025.3</w:t>
            </w:r>
          </w:p>
        </w:tc>
        <w:tc>
          <w:tcPr>
            <w:tcW w:type="dxa" w:w="2412"/>
          </w:tcPr>
          <w:p>
            <w:pPr>
              <w:keepNext w:val="0"/>
              <w:spacing w:line="480" w:lineRule="auto"/>
            </w:pPr>
            <w:r>
              <w:rPr>
                <w:sz w:val="16"/>
              </w:rPr>
              <w:t>National Ecosystem Science Data Center / Science Data Bank</w:t>
            </w:r>
          </w:p>
        </w:tc>
      </w:tr>
    </w:tbl>
    <w:p>
      <w:pPr>
        <w:spacing w:line="480" w:lineRule="auto"/>
      </w:pPr>
      <w:r>
        <w:t>Dataset DOIs identify official source records; original metadata and observation-row provenance are retained in the reproducibility archive.</w:t>
      </w:r>
    </w:p>
    <w:p>
      <w:pPr>
        <w:pStyle w:val="Heading1"/>
        <w:spacing w:line="480" w:lineRule="auto"/>
      </w:pPr>
      <w:r>
        <w:t>S2. Crop processes, parameter definitions and water accounting</w:t>
      </w:r>
    </w:p>
    <w:p>
      <w:pPr>
        <w:pStyle w:val="Heading2"/>
        <w:spacing w:line="480" w:lineRule="auto"/>
      </w:pPr>
      <w:r>
        <w:t>S2.1. Model structure and phenological development</w:t>
      </w:r>
    </w:p>
    <w:p>
      <w:pPr>
        <w:spacing w:line="480" w:lineRule="auto"/>
      </w:pPr>
      <w:r>
        <w:t>Open Crop Model simulates phenology, green leaf area, live and dead aboveground biomass, grain dry matter, rooting depth and layered soil-water storage. Inputs comprise weather, soil profiles, crop parameters, dated sowing and harvest, and irrigation events. Soil water carries continuously between crop and fallow segments in regional histories; Wuqiao crop starts retain their separately specified storage conditioning.</w:t>
      </w:r>
    </w:p>
    <w:p>
      <w:pPr>
        <w:spacing w:line="480" w:lineRule="auto"/>
      </w:pPr>
      <w:r>
        <w:t xml:space="preserve">Wheat stage development combines temperature, vernalization and photoperiod modifiers with inherited stage requirements. Maize uses a subdaily temperature response reconstructed from daily extrema, with base, optimum and maximum temperatures of 6, 30 and 44 °C. The shared medium-maturity maize card requires approximately 1,909 °C d to reach R6. DVS anchors are wheat BBCH 09, 61 and 89 and maize VE, R1 and R6 </w:t>
      </w:r>
      <w:r>
        <w:fldChar w:fldCharType="begin"/>
      </w:r>
      <w:r>
        <w:instrText xml:space="preserve"> ADDIN ZOTERO_ITEM CSL_CITATION {"citationID":"9c3df40893e577b0","properties":{"formattedCitation":"(Meier, 2018)","plainCitation":"(Meier, 2018)","noteIndex":0},"citationItems":[{"id":"meier2018_bbch","itemData":{"id":"meier2018_bbch","type":"book","title":"Growth stages of mono- and dicotyledonous plants: BBCH Monograph","editor":[{"family":"Meier","given":"Uwe"}],"issued":{"date-parts":[[2018]]},"accessed":{"date-parts":[[2026,10,4]]},"publisher":"Julius Kühn-Institut","publisher-place":"Quedlinburg","DOI":"10.5073/20180906-074619","ISBN":"978-3-95547-071-5","URL":"https://www.julius-kuehn.de/media/Veroeffentlichungen/bbch%20epaper%20en/page.pdf","note":"Official English edition; title/editor/year/DOI/ISBN verified on PDF title pages. Cereals p22 visually verifies BBCH83 early dough,85 soft dough,87 hard dough and89 fully ripe. Snapshot JKI_BBCH_English.pdf SHA-256 39d578a19747bfa0a929b1aac7268398e22cdb5e6b2110d61b8fa839145aaee6. The OCM stage-observation mapping and uncertainty range remain application-specific choices."}}],"schema":"https://github.com/citation-style-language/schema/raw/master/csl-citation.json"} </w:instrText>
      </w:r>
      <w:r>
        <w:fldChar w:fldCharType="separate"/>
      </w:r>
      <w:r>
        <w:t>(Meier, 2018)</w:t>
      </w:r>
      <w:r>
        <w:fldChar w:fldCharType="end"/>
      </w:r>
      <w:r>
        <w:t>. Wheat dough stage and full ripeness retain their distinct definitions.</w:t>
      </w:r>
    </w:p>
    <w:p>
      <w:pPr>
        <w:spacing w:line="480" w:lineRule="auto"/>
      </w:pPr>
      <w:r>
        <w:t>Seed-layer water above wilting-point storage permits germination. The represented layer is selected by sowing depth, with a 50-mm prior when no depth is supplied. Thermal development and wheat vernalization begin from the first eligible germination day rather than accumulating during dry-seed days. This layer-average availability is an effective establishment condition, not a measured seed-scale water potential. Fixed stage coefficients therefore do not imply fixed calendar-stage predictions across water states. New biomass production ends at wheat full ripeness or maize physiological maturity; green maize area can persist under the terminal senescence rate until harvest. Harvest is a separate management endpoint and does not substitute for an observed maturity date.</w:t>
      </w:r>
    </w:p>
    <w:p>
      <w:pPr>
        <w:pStyle w:val="Heading2"/>
        <w:spacing w:line="480" w:lineRule="auto"/>
      </w:pPr>
      <w:r>
        <w:t>S2.2. Canopy development, biomass accumulation and grain yield</w:t>
      </w:r>
    </w:p>
    <w:p>
      <w:pPr>
        <w:spacing w:line="480" w:lineRule="auto"/>
      </w:pPr>
      <w:r>
        <w:t xml:space="preserve">Green cover is </w:t>
      </w:r>
      <m:oMath>
        <m:box>
          <m:e>
            <m:sSub>
              <m:e>
                <m:r>
                  <m:rPr>
                    <m:sty m:val="i"/>
                  </m:rPr>
                  <w:rPr>
                    <w:rFonts w:ascii="Cambria Math" w:hAnsi="Cambria Math"/>
                    <w:sz w:val="22"/>
                  </w:rPr>
                  <m:t>f</m:t>
                </m:r>
              </m:e>
              <m:sub>
                <m:r>
                  <m:rPr>
                    <m:sty m:val="i"/>
                  </m:rPr>
                  <w:rPr>
                    <w:rFonts w:ascii="Cambria Math" w:hAnsi="Cambria Math"/>
                    <w:sz w:val="22"/>
                  </w:rPr>
                  <m:t>c</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exp</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k</m:t>
                </m:r>
              </m:e>
              <m:sub>
                <m:r>
                  <m:rPr>
                    <m:sty m:val="i"/>
                  </m:rPr>
                  <w:rPr>
                    <w:rFonts w:ascii="Cambria Math" w:hAnsi="Cambria Math"/>
                    <w:sz w:val="22"/>
                  </w:rPr>
                  <m:t>L</m:t>
                </m:r>
              </m:sub>
            </m:sSub>
            <m:box>
              <m:e>
                <m:r>
                  <m:rPr>
                    <m:sty m:val="p"/>
                  </m:rPr>
                  <w:rPr>
                    <w:rFonts w:ascii="Cambria Math" w:hAnsi="Cambria Math"/>
                    <w:sz w:val="22"/>
                  </w:rPr>
                  <m:t>L</m:t>
                </m:r>
                <m:r>
                  <m:rPr>
                    <m:sty m:val="p"/>
                  </m:rPr>
                  <w:rPr>
                    <w:rFonts w:ascii="Cambria Math" w:hAnsi="Cambria Math"/>
                    <w:sz w:val="22"/>
                  </w:rPr>
                  <m:t>A</m:t>
                </m:r>
                <m:r>
                  <m:rPr>
                    <m:sty m:val="p"/>
                  </m:rPr>
                  <w:rPr>
                    <w:rFonts w:ascii="Cambria Math" w:hAnsi="Cambria Math"/>
                    <w:sz w:val="22"/>
                  </w:rPr>
                  <m:t>I</m:t>
                </m:r>
              </m:e>
            </m:box>
            <m:r>
              <m:rPr>
                <m:sty m:val="p"/>
              </m:rPr>
              <w:rPr>
                <w:rFonts w:ascii="Cambria Math" w:hAnsi="Cambria Math"/>
                <w:sz w:val="22"/>
              </w:rPr>
              <m:t>)</m:t>
            </m:r>
          </m:e>
        </m:box>
      </m:oMath>
      <w:r>
        <w:t xml:space="preserve">. Daily aboveground dry-matter production is </w:t>
      </w:r>
      <m:oMath>
        <m:box>
          <m:e>
            <m:r>
              <m:rPr>
                <m:sty m:val="i"/>
              </m:rPr>
              <w:rPr>
                <w:rFonts w:ascii="Cambria Math" w:hAnsi="Cambria Math"/>
                <w:sz w:val="22"/>
              </w:rPr>
              <m:t>Δ</m:t>
            </m:r>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10</m:t>
            </m:r>
            <m:sSub>
              <m:e>
                <m:r>
                  <m:rPr>
                    <m:sty m:val="i"/>
                  </m:rPr>
                  <w:rPr>
                    <w:rFonts w:ascii="Cambria Math" w:hAnsi="Cambria Math"/>
                    <w:sz w:val="22"/>
                  </w:rPr>
                  <m:t>R</m:t>
                </m:r>
              </m:e>
              <m:sub>
                <m:r>
                  <m:rPr>
                    <m:sty m:val="i"/>
                  </m:rPr>
                  <w:rPr>
                    <w:rFonts w:ascii="Cambria Math" w:hAnsi="Cambria Math"/>
                    <w:sz w:val="22"/>
                  </w:rPr>
                  <m:t>s</m:t>
                </m:r>
              </m:sub>
            </m:sSub>
            <m:sSub>
              <m:e>
                <m:r>
                  <m:rPr>
                    <m:sty m:val="i"/>
                  </m:rPr>
                  <w:rPr>
                    <w:rFonts w:ascii="Cambria Math" w:hAnsi="Cambria Math"/>
                    <w:sz w:val="22"/>
                  </w:rPr>
                  <m:t>p</m:t>
                </m:r>
              </m:e>
              <m:sub>
                <m:box>
                  <m:e>
                    <m:box>
                      <m:e>
                        <m:r>
                          <m:rPr>
                            <m:sty m:val="p"/>
                          </m:rPr>
                          <w:rPr>
                            <w:rFonts w:ascii="Cambria Math" w:hAnsi="Cambria Math"/>
                            <w:sz w:val="22"/>
                          </w:rPr>
                          <m:t>P</m:t>
                        </m:r>
                        <m:r>
                          <m:rPr>
                            <m:sty m:val="p"/>
                          </m:rPr>
                          <w:rPr>
                            <w:rFonts w:ascii="Cambria Math" w:hAnsi="Cambria Math"/>
                            <w:sz w:val="22"/>
                          </w:rPr>
                          <m:t>A</m:t>
                        </m:r>
                        <m:r>
                          <m:rPr>
                            <m:sty m:val="p"/>
                          </m:rPr>
                          <w:rPr>
                            <w:rFonts w:ascii="Cambria Math" w:hAnsi="Cambria Math"/>
                            <w:sz w:val="22"/>
                          </w:rPr>
                          <m:t>R</m:t>
                        </m:r>
                      </m:e>
                    </m:box>
                  </m:e>
                </m:box>
              </m:sub>
            </m:sSub>
            <m:sSub>
              <m:e>
                <m:r>
                  <m:rPr>
                    <m:sty m:val="i"/>
                  </m:rPr>
                  <w:rPr>
                    <w:rFonts w:ascii="Cambria Math" w:hAnsi="Cambria Math"/>
                    <w:sz w:val="22"/>
                  </w:rPr>
                  <m:t>f</m:t>
                </m:r>
              </m:e>
              <m:sub>
                <m:r>
                  <m:rPr>
                    <m:sty m:val="i"/>
                  </m:rPr>
                  <w:rPr>
                    <w:rFonts w:ascii="Cambria Math" w:hAnsi="Cambria Math"/>
                    <w:sz w:val="22"/>
                  </w:rPr>
                  <m:t>c</m:t>
                </m:r>
              </m:sub>
            </m:sSub>
            <m:r>
              <m:rPr>
                <m:sty m:val="i"/>
              </m:rPr>
              <w:rPr>
                <w:rFonts w:ascii="Cambria Math" w:hAnsi="Cambria Math"/>
                <w:sz w:val="22"/>
              </w:rPr>
              <m:t>ε</m:t>
            </m:r>
            <m:sSub>
              <m:e>
                <m:r>
                  <m:rPr>
                    <m:sty m:val="i"/>
                  </m:rPr>
                  <w:rPr>
                    <w:rFonts w:ascii="Cambria Math" w:hAnsi="Cambria Math"/>
                    <w:sz w:val="22"/>
                  </w:rPr>
                  <m:t>f</m:t>
                </m:r>
              </m:e>
              <m:sub>
                <m:r>
                  <m:rPr>
                    <m:sty m:val="i"/>
                  </m:rPr>
                  <w:rPr>
                    <w:rFonts w:ascii="Cambria Math" w:hAnsi="Cambria Math"/>
                    <w:sz w:val="22"/>
                  </w:rPr>
                  <m:t>T</m:t>
                </m:r>
              </m:sub>
            </m:sSub>
            <m:sSubSup>
              <m:e>
                <m:r>
                  <m:rPr>
                    <m:sty m:val="i"/>
                  </m:rPr>
                  <w:rPr>
                    <w:rFonts w:ascii="Cambria Math" w:hAnsi="Cambria Math"/>
                    <w:sz w:val="22"/>
                  </w:rPr>
                  <m:t>f</m:t>
                </m:r>
              </m:e>
              <m:sub>
                <m:r>
                  <m:rPr>
                    <m:sty m:val="i"/>
                  </m:rPr>
                  <w:rPr>
                    <w:rFonts w:ascii="Cambria Math" w:hAnsi="Cambria Math"/>
                    <w:sz w:val="22"/>
                  </w:rPr>
                  <m:t>W</m:t>
                </m:r>
              </m:sub>
              <m:sup>
                <m:box>
                  <m:e>
                    <m:r>
                      <m:rPr>
                        <m:sty m:val="i"/>
                      </m:rPr>
                      <w:rPr>
                        <w:rFonts w:ascii="Cambria Math" w:hAnsi="Cambria Math"/>
                        <w:sz w:val="22"/>
                      </w:rPr>
                      <m:t>γ</m:t>
                    </m:r>
                  </m:e>
                </m:box>
              </m:sup>
            </m:sSubSup>
            <m:sSub>
              <m:e>
                <m:r>
                  <m:rPr>
                    <m:sty m:val="i"/>
                  </m:rPr>
                  <w:rPr>
                    <w:rFonts w:ascii="Cambria Math" w:hAnsi="Cambria Math"/>
                    <w:sz w:val="22"/>
                  </w:rPr>
                  <m:t>f</m:t>
                </m:r>
              </m:e>
              <m:sub>
                <m:r>
                  <m:rPr>
                    <m:sty m:val="i"/>
                  </m:rPr>
                  <w:rPr>
                    <w:rFonts w:ascii="Cambria Math" w:hAnsi="Cambria Math"/>
                    <w:sz w:val="22"/>
                  </w:rPr>
                  <m:t>N</m:t>
                </m:r>
              </m:sub>
            </m:sSub>
          </m:e>
        </m:box>
      </m:oMath>
      <w:r>
        <w:t xml:space="preserve">, where </w:t>
      </w:r>
      <m:oMath>
        <m:box>
          <m:e>
            <m:sSub>
              <m:e>
                <m:r>
                  <m:rPr>
                    <m:sty m:val="i"/>
                  </m:rPr>
                  <w:rPr>
                    <w:rFonts w:ascii="Cambria Math" w:hAnsi="Cambria Math"/>
                    <w:sz w:val="22"/>
                  </w:rPr>
                  <m:t>R</m:t>
                </m:r>
              </m:e>
              <m:sub>
                <m:r>
                  <m:rPr>
                    <m:sty m:val="i"/>
                  </m:rPr>
                  <w:rPr>
                    <w:rFonts w:ascii="Cambria Math" w:hAnsi="Cambria Math"/>
                    <w:sz w:val="22"/>
                  </w:rPr>
                  <m:t>s</m:t>
                </m:r>
              </m:sub>
            </m:sSub>
          </m:e>
        </m:box>
      </m:oMath>
      <w:r>
        <w:t xml:space="preserve"> is incident shortwave radiation, </w:t>
      </w:r>
      <m:oMath>
        <m:box>
          <m:e>
            <m:sSub>
              <m:e>
                <m:r>
                  <m:rPr>
                    <m:sty m:val="i"/>
                  </m:rPr>
                  <w:rPr>
                    <w:rFonts w:ascii="Cambria Math" w:hAnsi="Cambria Math"/>
                    <w:sz w:val="22"/>
                  </w:rPr>
                  <m:t>p</m:t>
                </m:r>
              </m:e>
              <m:sub>
                <m:box>
                  <m:e>
                    <m:box>
                      <m:e>
                        <m:r>
                          <m:rPr>
                            <m:sty m:val="p"/>
                          </m:rPr>
                          <w:rPr>
                            <w:rFonts w:ascii="Cambria Math" w:hAnsi="Cambria Math"/>
                            <w:sz w:val="22"/>
                          </w:rPr>
                          <m:t>P</m:t>
                        </m:r>
                        <m:r>
                          <m:rPr>
                            <m:sty m:val="p"/>
                          </m:rPr>
                          <w:rPr>
                            <w:rFonts w:ascii="Cambria Math" w:hAnsi="Cambria Math"/>
                            <w:sz w:val="22"/>
                          </w:rPr>
                          <m:t>A</m:t>
                        </m:r>
                        <m:r>
                          <m:rPr>
                            <m:sty m:val="p"/>
                          </m:rPr>
                          <w:rPr>
                            <w:rFonts w:ascii="Cambria Math" w:hAnsi="Cambria Math"/>
                            <w:sz w:val="22"/>
                          </w:rPr>
                          <m:t>R</m:t>
                        </m:r>
                      </m:e>
                    </m:box>
                  </m:e>
                </m:box>
              </m:sub>
            </m:sSub>
            <m:r>
              <m:rPr>
                <m:sty m:val="p"/>
              </m:rPr>
              <w:rPr>
                <w:rFonts w:ascii="Cambria Math" w:hAnsi="Cambria Math"/>
                <w:sz w:val="22"/>
              </w:rPr>
              <m:t>=</m:t>
            </m:r>
            <m:r>
              <m:rPr>
                <m:sty m:val="p"/>
              </m:rPr>
              <w:rPr>
                <w:rFonts w:ascii="Cambria Math" w:hAnsi="Cambria Math"/>
                <w:sz w:val="22"/>
              </w:rPr>
              <m:t>0.45</m:t>
            </m:r>
          </m:e>
        </m:box>
      </m:oMath>
      <w:r>
        <w:t xml:space="preserve">, ε is RUE per MJ of intercepted PAR, </w:t>
      </w:r>
      <m:oMath>
        <m:box>
          <m:e>
            <m:sSub>
              <m:e>
                <m:r>
                  <m:rPr>
                    <m:sty m:val="i"/>
                  </m:rPr>
                  <w:rPr>
                    <w:rFonts w:ascii="Cambria Math" w:hAnsi="Cambria Math"/>
                    <w:sz w:val="22"/>
                  </w:rPr>
                  <m:t>f</m:t>
                </m:r>
              </m:e>
              <m:sub>
                <m:r>
                  <m:rPr>
                    <m:sty m:val="i"/>
                  </m:rPr>
                  <w:rPr>
                    <w:rFonts w:ascii="Cambria Math" w:hAnsi="Cambria Math"/>
                    <w:sz w:val="22"/>
                  </w:rPr>
                  <m:t>T</m:t>
                </m:r>
              </m:sub>
            </m:sSub>
          </m:e>
        </m:box>
      </m:oMath>
      <w:r>
        <w:t xml:space="preserve"> is the temperature modifier, </w:t>
      </w:r>
      <m:oMath>
        <m:box>
          <m:e>
            <m:sSub>
              <m:e>
                <m:r>
                  <m:rPr>
                    <m:sty m:val="i"/>
                  </m:rPr>
                  <w:rPr>
                    <w:rFonts w:ascii="Cambria Math" w:hAnsi="Cambria Math"/>
                    <w:sz w:val="22"/>
                  </w:rPr>
                  <m:t>f</m:t>
                </m:r>
              </m:e>
              <m:sub>
                <m:r>
                  <m:rPr>
                    <m:sty m:val="i"/>
                  </m:rPr>
                  <w:rPr>
                    <w:rFonts w:ascii="Cambria Math" w:hAnsi="Cambria Math"/>
                    <w:sz w:val="22"/>
                  </w:rPr>
                  <m:t>N</m:t>
                </m:r>
              </m:sub>
            </m:sSub>
          </m:e>
        </m:box>
      </m:oMath>
      <w:r>
        <w:t xml:space="preserve"> is the prescribed nutrition factor and </w:t>
      </w:r>
      <m:oMath>
        <m:box>
          <m:e>
            <m:sSub>
              <m:e>
                <m:r>
                  <m:rPr>
                    <m:sty m:val="i"/>
                  </m:rPr>
                  <w:rPr>
                    <w:rFonts w:ascii="Cambria Math" w:hAnsi="Cambria Math"/>
                    <w:sz w:val="22"/>
                  </w:rPr>
                  <m:t>f</m:t>
                </m:r>
              </m:e>
              <m:sub>
                <m:r>
                  <m:rPr>
                    <m:sty m:val="i"/>
                  </m:rPr>
                  <w:rPr>
                    <w:rFonts w:ascii="Cambria Math" w:hAnsi="Cambria Math"/>
                    <w:sz w:val="22"/>
                  </w:rPr>
                  <m:t>W</m:t>
                </m:r>
              </m:sub>
            </m:sSub>
          </m:e>
        </m:box>
      </m:oMath>
      <w:r>
        <w:t xml:space="preserve"> is realized transpiration divided by remaining potential transpiration demand after wet-canopy evaporation. The factor 10 converts g m⁻² to kg ha⁻¹. PAR enters once </w:t>
      </w:r>
      <w:r>
        <w:fldChar w:fldCharType="begin"/>
      </w:r>
      <w:r>
        <w:instrText xml:space="preserve"> ADDIN ZOTERO_ITEM CSL_CITATION {"citationID":"c9403c106ec1e952","properties":{"formattedCitation":"(Kiniry et al., 1989)","plainCitation":"(Kiniry et al., 1989)","noteIndex":0},"citationItems":[{"id":"kiniry1989_rue","itemData":{"id":"kiniry1989_rue","type":"journal-article","title":"Radiation-use efficiency in biomass accumulation prior to grain-filling for five grain-crop species","author":[{"given":"J.R.","family":"Kiniry"},{"given":"C.A.","family":"Jones"},{"given":"J.C.","family":"O'toole"},{"given":"R.","family":"Blanchet"},{"given":"M.","family":"Cabelguenne"},{"given":"D.A.","family":"Spanel"}],"issued":{"date-parts":[[1989,2]]},"container-title":"Field Crops Research","volume":"20","issue":"1","page":"51-64","DOI":"10.1016/0378-4290(89)90023-3","URL":"http://dx.doi.org/10.1016/0378-4290(89)90023-3","publisher":"Elsevier BV"}}],"schema":"https://github.com/citation-style-language/schema/raw/master/csl-citation.json"} </w:instrText>
      </w:r>
      <w:r>
        <w:fldChar w:fldCharType="separate"/>
      </w:r>
      <w:r>
        <w:t>(Kiniry et al., 1989)</w:t>
      </w:r>
      <w:r>
        <w:fldChar w:fldCharType="end"/>
      </w:r>
      <w:r>
        <w:t>. The fitted empirical assimilation exponents are 1.85985 for wheat and 0.25000 for maize. They govern carbon response separately from leaf-expansion and leaf-survival sensitivity.</w:t>
      </w:r>
    </w:p>
    <w:p>
      <w:pPr>
        <w:spacing w:line="480" w:lineRule="auto"/>
      </w:pPr>
      <w:r>
        <w:t xml:space="preserve">SLA is linearly interpolated through DVS 0, 0.5, 1 and 2, with the DVS-2 value equal to DVS 1. New leaf dry matter acquires area using current SLA; established cohorts retain their birth area-to-mass ratio </w:t>
      </w:r>
      <w:r>
        <w:fldChar w:fldCharType="begin"/>
      </w:r>
      <w:r>
        <w:instrText xml:space="preserve"> ADDIN ZOTERO_ITEM CSL_CITATION {"citationID":"f587bdb51ec0d95b","properties":{"formattedCitation":"(de Wit and Berghuijs, n.d.)","plainCitation":"(de Wit and Berghuijs, n.d.)","noteIndex":0},"citationItems":[{"id":"pcse_leaf_dynamics","itemData":{"id":"pcse_leaf_dynamics","type":"software","title":"Python Crop Simulation Environment: WOFOST leaf dynamics implementation","author":[{"family":"de Wit","given":"Allard"},{"family":"Berghuijs","given":"Herman"}],"publisher":"Wageningen Environmental Research","accessed":{"date-parts":[[2026,10,4]]},"version":"Archived master-branch source snapshot","URL":"https://github.com/ajwdewit/pcse/blob/master/pcse/crop/leaf_dynamics.py","note":"Authors and institutional ownership verified from source header. No publication date inferred from copyright dates. Snapshot PCSE_leaf_dynamics.py SHA-256 597c4749c77b5a36c78010eb412f3c958f3059eea09df9e5e6b06e5bf9813244. Each new leaf class retains its birth SLA; physiological age depends on temperature."}}],"schema":"https://github.com/citation-style-language/schema/raw/master/csl-citation.json"} </w:instrText>
      </w:r>
      <w:r>
        <w:fldChar w:fldCharType="separate"/>
      </w:r>
      <w:r>
        <w:t>(de Wit and Berghuijs, n.d.)</w:t>
      </w:r>
      <w:r>
        <w:fldChar w:fldCharType="end"/>
      </w:r>
      <w:r>
        <w:t xml:space="preserve">. Thermal senescence hazard </w:t>
      </w:r>
      <m:oMath>
        <m:box>
          <m:e>
            <m:r>
              <m:rPr>
                <m:sty m:val="i"/>
              </m:rPr>
              <w:rPr>
                <w:rFonts w:ascii="Cambria Math" w:hAnsi="Cambria Math"/>
                <w:sz w:val="22"/>
              </w:rPr>
              <m:t>h</m:t>
            </m:r>
            <m:r>
              <m:rPr>
                <m:sty m:val="p"/>
              </m:rPr>
              <w:rPr>
                <w:rFonts w:ascii="Cambria Math" w:hAnsi="Cambria Math"/>
                <w:sz w:val="22"/>
              </w:rPr>
              <m:t>(</m:t>
            </m:r>
            <m:box>
              <m:e>
                <m:r>
                  <m:rPr>
                    <m:sty m:val="p"/>
                  </m:rPr>
                  <w:rPr>
                    <w:rFonts w:ascii="Cambria Math" w:hAnsi="Cambria Math"/>
                    <w:sz w:val="22"/>
                  </w:rPr>
                  <m:t>D</m:t>
                </m:r>
                <m:r>
                  <m:rPr>
                    <m:sty m:val="p"/>
                  </m:rPr>
                  <w:rPr>
                    <w:rFonts w:ascii="Cambria Math" w:hAnsi="Cambria Math"/>
                    <w:sz w:val="22"/>
                  </w:rPr>
                  <m:t>V</m:t>
                </m:r>
                <m:r>
                  <m:rPr>
                    <m:sty m:val="p"/>
                  </m:rPr>
                  <w:rPr>
                    <w:rFonts w:ascii="Cambria Math" w:hAnsi="Cambria Math"/>
                    <w:sz w:val="22"/>
                  </w:rPr>
                  <m:t>S</m:t>
                </m:r>
              </m:e>
            </m:box>
            <m:r>
              <m:rPr>
                <m:sty m:val="p"/>
              </m:rPr>
              <w:rPr>
                <w:rFonts w:ascii="Cambria Math" w:hAnsi="Cambria Math"/>
                <w:sz w:val="22"/>
              </w:rPr>
              <m:t>)</m:t>
            </m:r>
          </m:e>
        </m:box>
      </m:oMath>
      <w:r>
        <w:t xml:space="preserve"> is interpolated through DVS 0, 1, 1.4, 1.7 and 2, with a constant preflowering rate and increasing grain-filling rates </w:t>
      </w:r>
      <w:r>
        <w:fldChar w:fldCharType="begin"/>
      </w:r>
      <w:r>
        <w:instrText xml:space="preserve"> ADDIN ZOTERO_ITEM CSL_CITATION {"citationID":"5c2ecbe8f9d9f154","properties":{"formattedCitation":"(Tan et al., 2020)","plainCitation":"(Tan et al., 2020)","noteIndex":0},"citationItems":[{"id":"tan2020_stage_senescence","itemData":{"id":"tan2020_stage_senescence","type":"article-journal","title":"Dynamic process-based modelling of crop growth and competitive water extraction in relay strip intercropping: Model development and application to wheat-maize intercropping","author":[{"family":"Tan","given":"Meixiu"},{"family":"Gou","given":"Fang"},{"family":"Stomph","given":"Tjeerd Jan"},{"family":"Wang","given":"Jing"},{"family":"Yin","given":"Wen"},{"family":"Zhang","given":"Lizhen"},{"family":"Chai","given":"Qiang"},{"family":"van der Werf","given":"Wopke"}],"container-title":"Field Crops Research","volume":"246","article-number":"107613","issued":{"date-parts":[[2020,2]]},"DOI":"10.1016/j.fcr.2019.107613","URL":"https://doi.org/10.1016/j.fcr.2019.107613","note":"Publisher DOI metadata and author-institution full text verified 2026-10-04; stage-dependent thermal leaf-death rates support the process form, not independently measured site-specific trait values.","page":"107613"}}],"schema":"https://github.com/citation-style-language/schema/raw/master/csl-citation.json"} </w:instrText>
      </w:r>
      <w:r>
        <w:fldChar w:fldCharType="separate"/>
      </w:r>
      <w:r>
        <w:t>(Tan et al., 2020)</w:t>
      </w:r>
      <w:r>
        <w:fldChar w:fldCharType="end"/>
      </w:r>
      <w:r>
        <w:t xml:space="preserve">. Daily survival is </w:t>
      </w:r>
      <m:oMath>
        <m:box>
          <m:e>
            <m:r>
              <m:rPr>
                <m:sty m:val="p"/>
              </m:rPr>
              <w:rPr>
                <w:rFonts w:ascii="Cambria Math" w:hAnsi="Cambria Math"/>
                <w:sz w:val="22"/>
              </w:rPr>
              <m:t>exp</m:t>
            </m:r>
            <m:box>
              <m:e>
                <m:d>
                  <m:dPr>
                    <m:begChr m:val="["/>
                    <m:endChr m:val="]"/>
                  </m:dPr>
                  <m:e>
                    <m:box>
                      <m:e>
                        <m:r>
                          <m:rPr>
                            <m:sty m:val="p"/>
                          </m:rPr>
                          <w:rPr>
                            <w:rFonts w:ascii="Cambria Math" w:hAnsi="Cambria Math"/>
                            <w:sz w:val="22"/>
                          </w:rPr>
                          <m:t>−</m:t>
                        </m:r>
                        <m:r>
                          <m:rPr>
                            <m:sty m:val="i"/>
                          </m:rPr>
                          <w:rPr>
                            <w:rFonts w:ascii="Cambria Math" w:hAnsi="Cambria Math"/>
                            <w:sz w:val="22"/>
                          </w:rPr>
                          <m:t>h</m:t>
                        </m:r>
                        <m:r>
                          <m:rPr>
                            <m:sty m:val="p"/>
                          </m:rPr>
                          <w:rPr>
                            <w:rFonts w:ascii="Cambria Math" w:hAnsi="Cambria Math"/>
                            <w:sz w:val="22"/>
                          </w:rPr>
                          <m:t>(</m:t>
                        </m:r>
                        <m:box>
                          <m:e>
                            <m:r>
                              <m:rPr>
                                <m:sty m:val="p"/>
                              </m:rPr>
                              <w:rPr>
                                <w:rFonts w:ascii="Cambria Math" w:hAnsi="Cambria Math"/>
                                <w:sz w:val="22"/>
                              </w:rPr>
                              <m:t>D</m:t>
                            </m:r>
                            <m:r>
                              <m:rPr>
                                <m:sty m:val="p"/>
                              </m:rPr>
                              <w:rPr>
                                <w:rFonts w:ascii="Cambria Math" w:hAnsi="Cambria Math"/>
                                <w:sz w:val="22"/>
                              </w:rPr>
                              <m:t>V</m:t>
                            </m:r>
                            <m:r>
                              <m:rPr>
                                <m:sty m:val="p"/>
                              </m:rPr>
                              <w:rPr>
                                <w:rFonts w:ascii="Cambria Math" w:hAnsi="Cambria Math"/>
                                <w:sz w:val="22"/>
                              </w:rPr>
                              <m:t>S</m:t>
                            </m:r>
                          </m:e>
                        </m:box>
                        <m:r>
                          <m:rPr>
                            <m:sty m:val="p"/>
                          </m:rPr>
                          <w:rPr>
                            <w:rFonts w:ascii="Cambria Math" w:hAnsi="Cambria Math"/>
                            <w:sz w:val="22"/>
                          </w:rPr>
                          <m:t>)</m:t>
                        </m:r>
                        <m:r>
                          <m:rPr>
                            <m:sty m:val="p"/>
                          </m:rPr>
                          <w:rPr>
                            <w:rFonts w:ascii="Cambria Math" w:hAnsi="Cambria Math"/>
                            <w:sz w:val="22"/>
                          </w:rPr>
                          <m:t>max</m:t>
                        </m:r>
                        <m:r>
                          <m:rPr>
                            <m:sty m:val="p"/>
                          </m:rPr>
                          <w:rPr>
                            <w:rFonts w:ascii="Cambria Math" w:hAnsi="Cambria Math"/>
                            <w:sz w:val="22"/>
                          </w:rPr>
                          <m:t>(</m:t>
                        </m:r>
                        <m:sSub>
                          <m:e>
                            <m:r>
                              <m:rPr>
                                <m:sty m:val="i"/>
                              </m:rPr>
                              <w:rPr>
                                <w:rFonts w:ascii="Cambria Math" w:hAnsi="Cambria Math"/>
                                <w:sz w:val="22"/>
                              </w:rPr>
                              <m:t>T</m:t>
                            </m:r>
                          </m:e>
                          <m:sub>
                            <m:box>
                              <m:e>
                                <m:box>
                                  <m:e>
                                    <m:r>
                                      <m:rPr>
                                        <m:sty m:val="p"/>
                                      </m:rPr>
                                      <w:rPr>
                                        <w:rFonts w:ascii="Cambria Math" w:hAnsi="Cambria Math"/>
                                        <w:sz w:val="22"/>
                                      </w:rPr>
                                      <m:t>m</m:t>
                                    </m:r>
                                    <m:r>
                                      <m:rPr>
                                        <m:sty m:val="p"/>
                                      </m:rPr>
                                      <w:rPr>
                                        <w:rFonts w:ascii="Cambria Math" w:hAnsi="Cambria Math"/>
                                        <w:sz w:val="22"/>
                                      </w:rPr>
                                      <m:t>e</m:t>
                                    </m:r>
                                    <m:r>
                                      <m:rPr>
                                        <m:sty m:val="p"/>
                                      </m:rPr>
                                      <w:rPr>
                                        <w:rFonts w:ascii="Cambria Math" w:hAnsi="Cambria Math"/>
                                        <w:sz w:val="22"/>
                                      </w:rPr>
                                      <m:t>a</m:t>
                                    </m:r>
                                    <m:r>
                                      <m:rPr>
                                        <m:sty m:val="p"/>
                                      </m:rPr>
                                      <w:rPr>
                                        <w:rFonts w:ascii="Cambria Math" w:hAnsi="Cambria Math"/>
                                        <w:sz w:val="22"/>
                                      </w:rPr>
                                      <m:t>n</m:t>
                                    </m:r>
                                  </m:e>
                                </m:box>
                              </m:e>
                            </m:box>
                          </m:sub>
                        </m:sSub>
                        <m:r>
                          <m:rPr>
                            <m:sty m:val="p"/>
                          </m:rPr>
                          <w:rPr>
                            <w:rFonts w:ascii="Cambria Math" w:hAnsi="Cambria Math"/>
                            <w:sz w:val="22"/>
                          </w:rPr>
                          <m:t>−</m:t>
                        </m:r>
                        <m:sSub>
                          <m:e>
                            <m:r>
                              <m:rPr>
                                <m:sty m:val="i"/>
                              </m:rPr>
                              <w:rPr>
                                <w:rFonts w:ascii="Cambria Math" w:hAnsi="Cambria Math"/>
                                <w:sz w:val="22"/>
                              </w:rPr>
                              <m:t>T</m:t>
                            </m:r>
                          </m:e>
                          <m:sub>
                            <m:box>
                              <m:e>
                                <m:box>
                                  <m:e>
                                    <m:r>
                                      <m:rPr>
                                        <m:sty m:val="p"/>
                                      </m:rPr>
                                      <w:rPr>
                                        <w:rFonts w:ascii="Cambria Math" w:hAnsi="Cambria Math"/>
                                        <w:sz w:val="22"/>
                                      </w:rPr>
                                      <m:t>b</m:t>
                                    </m:r>
                                    <m:r>
                                      <m:rPr>
                                        <m:sty m:val="p"/>
                                      </m:rPr>
                                      <w:rPr>
                                        <w:rFonts w:ascii="Cambria Math" w:hAnsi="Cambria Math"/>
                                        <w:sz w:val="22"/>
                                      </w:rPr>
                                      <m:t>a</m:t>
                                    </m:r>
                                    <m:r>
                                      <m:rPr>
                                        <m:sty m:val="p"/>
                                      </m:rPr>
                                      <w:rPr>
                                        <w:rFonts w:ascii="Cambria Math" w:hAnsi="Cambria Math"/>
                                        <w:sz w:val="22"/>
                                      </w:rPr>
                                      <m:t>s</m:t>
                                    </m:r>
                                    <m:r>
                                      <m:rPr>
                                        <m:sty m:val="p"/>
                                      </m:rPr>
                                      <w:rPr>
                                        <w:rFonts w:ascii="Cambria Math" w:hAnsi="Cambria Math"/>
                                        <w:sz w:val="22"/>
                                      </w:rPr>
                                      <m:t>e</m:t>
                                    </m:r>
                                  </m:e>
                                </m:box>
                              </m:e>
                            </m:box>
                          </m:sub>
                        </m:sSub>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e>
                    </m:box>
                  </m:e>
                </m:d>
              </m:e>
            </m:box>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q</m:t>
                </m:r>
              </m:e>
              <m:sub>
                <m:r>
                  <m:rPr>
                    <m:sty m:val="i"/>
                  </m:rPr>
                  <w:rPr>
                    <w:rFonts w:ascii="Cambria Math" w:hAnsi="Cambria Math"/>
                    <w:sz w:val="22"/>
                  </w:rPr>
                  <m:t>s</m:t>
                </m:r>
              </m:sub>
            </m:sSub>
            <m:r>
              <m:rPr>
                <m:sty m:val="p"/>
              </m:rPr>
              <w:rPr>
                <w:rFonts w:ascii="Cambria Math" w:hAnsi="Cambria Math"/>
                <w:sz w:val="22"/>
              </w:rPr>
              <m:t>)</m:t>
            </m:r>
          </m:e>
        </m:box>
      </m:oMath>
      <w:r>
        <w:t xml:space="preserve">, with </w:t>
      </w:r>
      <m:oMath>
        <m:box>
          <m:e>
            <m:sSub>
              <m:e>
                <m:r>
                  <m:rPr>
                    <m:sty m:val="i"/>
                  </m:rPr>
                  <w:rPr>
                    <w:rFonts w:ascii="Cambria Math" w:hAnsi="Cambria Math"/>
                    <w:sz w:val="22"/>
                  </w:rPr>
                  <m:t>q</m:t>
                </m:r>
              </m:e>
              <m:sub>
                <m:r>
                  <m:rPr>
                    <m:sty m:val="i"/>
                  </m:rPr>
                  <w:rPr>
                    <w:rFonts w:ascii="Cambria Math" w:hAnsi="Cambria Math"/>
                    <w:sz w:val="22"/>
                  </w:rPr>
                  <m:t>s</m:t>
                </m:r>
              </m:sub>
            </m:sSub>
            <m:r>
              <m:rPr>
                <m:sty m:val="p"/>
              </m:rPr>
              <w:rPr>
                <w:rFonts w:ascii="Cambria Math" w:hAnsi="Cambria Math"/>
                <w:sz w:val="22"/>
              </w:rPr>
              <m:t>=</m:t>
            </m:r>
            <m:r>
              <m:rPr>
                <m:sty m:val="p"/>
              </m:rPr>
              <w:rPr>
                <w:rFonts w:ascii="Cambria Math" w:hAnsi="Cambria Math"/>
                <w:sz w:val="22"/>
              </w:rPr>
              <m:t>0.025</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W</m:t>
                </m:r>
              </m:sub>
            </m:sSub>
            <m:sSub>
              <m:e>
                <m:r>
                  <m:rPr>
                    <m:sty m:val="i"/>
                  </m:rPr>
                  <w:rPr>
                    <w:rFonts w:ascii="Cambria Math" w:hAnsi="Cambria Math"/>
                    <w:sz w:val="22"/>
                  </w:rPr>
                  <m:t>f</m:t>
                </m:r>
              </m:e>
              <m:sub>
                <m:r>
                  <m:rPr>
                    <m:sty m:val="i"/>
                  </m:rPr>
                  <w:rPr>
                    <w:rFonts w:ascii="Cambria Math" w:hAnsi="Cambria Math"/>
                    <w:sz w:val="22"/>
                  </w:rPr>
                  <m:t>N</m:t>
                </m:r>
              </m:sub>
            </m:sSub>
            <m:r>
              <m:rPr>
                <m:sty m:val="p"/>
              </m:rPr>
              <w:rPr>
                <w:rFonts w:ascii="Cambria Math" w:hAnsi="Cambria Math"/>
                <w:sz w:val="22"/>
              </w:rPr>
              <m:t>)</m:t>
            </m:r>
          </m:e>
        </m:box>
      </m:oMath>
      <w:r>
        <w:t>. The terminal hazard continues at maize R6, whereas wheat BBCH 89 senesces remaining green leaves. LAI emerges from the cohort area balance; no maximum-LAI parameter or cap enters this formulation.</w:t>
      </w:r>
    </w:p>
    <w:p>
      <w:pPr>
        <w:spacing w:line="480" w:lineRule="auto"/>
      </w:pPr>
      <w:r>
        <w:t xml:space="preserve">Leaf allocation follows crop development, with separate early and late vegetative multipliers for maize and additional temperature, water-supply and nutrition limits on leaf expansion. Initial LAI is an emergence condition. Stage-specific SLA and senescence coefficients retain their inherited estimates and conditional trait priors </w:t>
      </w:r>
      <w:r>
        <w:fldChar w:fldCharType="begin"/>
      </w:r>
      <w:r>
        <w:instrText xml:space="preserve"> ADDIN ZOTERO_ITEM CSL_CITATION {"citationID":"801a351470a74f06","properties":{"formattedCitation":"(APSIM Initiative, 2026; de Wit, 2022; de Wit, 2020)","plainCitation":"(APSIM Initiative, 2026; de Wit, 2022; de Wit, 2020)","noteIndex":0},"citationItems":[{"id":"wofost_wheat_parameters","itemData":{"id":"wofost_wheat_parameters","type":"dataset","title":"Parameter sets for the WOFOST 7.2/7.3 cropping system model for wheat","author":[{"family":"de Wit","given":"Allard"}],"publisher":"Wageningen Environmental Research","issued":{"date-parts":[[2020,1,1]]},"accessed":{"date-parts":[[2026,10,4]]},"version":"1.0.0; wofost72 branch, SHA-256 archived snapshot","URL":"https://github.com/ajwdewit/WOFOST_crop_parameters/blob/wofost72/wheat.yaml","note":"Creator, publisher, title, version and date verified from the archived YAML Metadata block. Snapshot WOFOST72_wheat.yaml SHA-256 03b47ab0f4399551a1475f87090da7bae553caab47aa1a20010b7238c1cd8d87. Supports model-specific SLATB scale and development-stage tabulation; it does not establish universal physiological bounds."}},{"id":"wofost_maize_parameters","itemData":{"id":"wofost_maize_parameters","type":"dataset","title":"Parameter sets for the WOFOST 7.2/7.3 model for simulating maize","author":[{"family":"de Wit","given":"Allard"}],"publisher":"Wageningen Environmental Research","issued":{"date-parts":[[2022,2,13]]},"accessed":{"date-parts":[[2026,10,4]]},"version":"1.0.0; wofost72 branch, SHA-256 archived snapshot","URL":"https://github.com/ajwdewit/WOFOST_crop_parameters/blob/wofost72/maize.yaml","note":"Creator, publisher, title, version and date verified from the archived YAML Metadata block. Snapshot WOFOST72_maize.yaml SHA-256 bcc63309c8c96137fe3f5463585463387169f3c15a4a8d102a43820b695d88d9. Temperate-maize SLATB changes from 0.026 to 0.012 m2/g; tropical-maize values change from 0.035 to 0.016. These parameterizations inform conditional regularization, not universal limits."}},{"id":"apsim_ng_source_2026","itemData":{"id":"apsim_ng_source_2026","type":"software","title":"APSIM Next Generation (ApsimX): wheat and maize model definitions","author":[{"literal":"APSIM Initiative"}],"issued":{"date-parts":[[2026,10,1]]},"version":"074d15f51889a386d3667acfed184d03e4e8f65f","publisher":"APSIM Initiative","URL":"https://github.com/APSIMInitiative/ApsimX/tree/074d15f51889a386d3667acfed184d03e4e8f65f/Models/Resources","accessed":{"date-parts":[[2026,10,4]]},"note":"Version date is the upstream commit date, not the original date of trait estimation. Models/Resources/Wheat.json and Maize.json are byte-identical to the frozen parameter sources. Wheat SHA-256: c3dab36b40dcd205d04e4b7494f8faa3a71bd3c596cd7c40f5a9e86ed0b353aa; maize SHA-256: caa9c213c23d7843c4648d2b486412210d29e1c86b9d6f13ba083b26ca0c7e9a. Trait values are conditional model priors, rather than regional observations."}}],"schema":"https://github.com/citation-style-language/schema/raw/master/csl-citation.json"} </w:instrText>
      </w:r>
      <w:r>
        <w:fldChar w:fldCharType="separate"/>
      </w:r>
      <w:r>
        <w:t>(APSIM Initiative, 2026; de Wit, 2022; de Wit, 2020)</w:t>
      </w:r>
      <w:r>
        <w:fldChar w:fldCharType="end"/>
      </w:r>
      <w:r>
        <w:t>; their values do not represent universal physiological bounds.</w:t>
      </w:r>
    </w:p>
    <w:p>
      <w:pPr>
        <w:spacing w:line="480" w:lineRule="auto"/>
      </w:pPr>
      <w:r>
        <w:t xml:space="preserve">Grain number is fixed at the first grain-set day as </w:t>
      </w:r>
      <m:oMath>
        <m:box>
          <m:e>
            <m:sSub>
              <m:e>
                <m:r>
                  <m:rPr>
                    <m:sty m:val="i"/>
                  </m:rPr>
                  <w:rPr>
                    <w:rFonts w:ascii="Cambria Math" w:hAnsi="Cambria Math"/>
                    <w:sz w:val="22"/>
                  </w:rPr>
                  <m:t>N</m:t>
                </m:r>
              </m:e>
              <m:sub>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0.1</m:t>
            </m:r>
            <m:sSub>
              <m:e>
                <m:r>
                  <m:rPr>
                    <m:sty m:val="i"/>
                  </m:rPr>
                  <w:rPr>
                    <w:rFonts w:ascii="Cambria Math" w:hAnsi="Cambria Math"/>
                    <w:sz w:val="22"/>
                  </w:rPr>
                  <m:t>B</m:t>
                </m:r>
              </m:e>
              <m:sub>
                <m:r>
                  <m:rPr>
                    <m:sty m:val="i"/>
                  </m:rPr>
                  <w:rPr>
                    <w:rFonts w:ascii="Cambria Math" w:hAnsi="Cambria Math"/>
                    <w:sz w:val="22"/>
                  </w:rPr>
                  <m:t>f</m:t>
                </m:r>
              </m:sub>
            </m:sSub>
            <m:sSub>
              <m:e>
                <m:r>
                  <m:rPr>
                    <m:sty m:val="i"/>
                  </m:rPr>
                  <w:rPr>
                    <w:rFonts w:ascii="Cambria Math" w:hAnsi="Cambria Math"/>
                    <w:sz w:val="22"/>
                  </w:rPr>
                  <m:t>c</m:t>
                </m:r>
              </m:e>
              <m:sub>
                <m:r>
                  <m:rPr>
                    <m:sty m:val="i"/>
                  </m:rPr>
                  <w:rPr>
                    <w:rFonts w:ascii="Cambria Math" w:hAnsi="Cambria Math"/>
                    <w:sz w:val="22"/>
                  </w:rPr>
                  <m:t>g</m:t>
                </m:r>
              </m:sub>
            </m:sSub>
          </m:e>
        </m:box>
      </m:oMath>
      <w:r>
        <w:t xml:space="preserve">, where </w:t>
      </w:r>
      <m:oMath>
        <m:box>
          <m:e>
            <m:sSub>
              <m:e>
                <m:r>
                  <m:rPr>
                    <m:sty m:val="i"/>
                  </m:rPr>
                  <w:rPr>
                    <w:rFonts w:ascii="Cambria Math" w:hAnsi="Cambria Math"/>
                    <w:sz w:val="22"/>
                  </w:rPr>
                  <m:t>B</m:t>
                </m:r>
              </m:e>
              <m:sub>
                <m:r>
                  <m:rPr>
                    <m:sty m:val="i"/>
                  </m:rPr>
                  <w:rPr>
                    <w:rFonts w:ascii="Cambria Math" w:hAnsi="Cambria Math"/>
                    <w:sz w:val="22"/>
                  </w:rPr>
                  <m:t>f</m:t>
                </m:r>
              </m:sub>
            </m:sSub>
          </m:e>
        </m:box>
      </m:oMath>
      <w:r>
        <w:t xml:space="preserve"> is simulated aboveground dry mass immediately before grain set and </w:t>
      </w:r>
      <m:oMath>
        <m:box>
          <m:e>
            <m:sSub>
              <m:e>
                <m:r>
                  <m:rPr>
                    <m:sty m:val="i"/>
                  </m:rPr>
                  <w:rPr>
                    <w:rFonts w:ascii="Cambria Math" w:hAnsi="Cambria Math"/>
                    <w:sz w:val="22"/>
                  </w:rPr>
                  <m:t>c</m:t>
                </m:r>
              </m:e>
              <m:sub>
                <m:r>
                  <m:rPr>
                    <m:sty m:val="i"/>
                  </m:rPr>
                  <w:rPr>
                    <w:rFonts w:ascii="Cambria Math" w:hAnsi="Cambria Math"/>
                    <w:sz w:val="22"/>
                  </w:rPr>
                  <m:t>g</m:t>
                </m:r>
              </m:sub>
            </m:sSub>
          </m:e>
        </m:box>
      </m:oMath>
      <w:r>
        <w:t xml:space="preserve"> is the grain-number coefficient. Grain set starts at wheat BBCH 61 and maize R1. Maximum grain dry mass is </w:t>
      </w:r>
      <m:oMath>
        <m:box>
          <m:e>
            <m:sSub>
              <m:e>
                <m:r>
                  <m:rPr>
                    <m:sty m:val="i"/>
                  </m:rPr>
                  <w:rPr>
                    <w:rFonts w:ascii="Cambria Math" w:hAnsi="Cambria Math"/>
                    <w:sz w:val="22"/>
                  </w:rPr>
                  <m:t>Q</m:t>
                </m:r>
              </m:e>
              <m:sub>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10</m:t>
            </m:r>
            <m:sSub>
              <m:e>
                <m:r>
                  <m:rPr>
                    <m:sty m:val="i"/>
                  </m:rPr>
                  <w:rPr>
                    <w:rFonts w:ascii="Cambria Math" w:hAnsi="Cambria Math"/>
                    <w:sz w:val="22"/>
                  </w:rPr>
                  <m:t>N</m:t>
                </m:r>
              </m:e>
              <m:sub>
                <m:r>
                  <m:rPr>
                    <m:sty m:val="i"/>
                  </m:rPr>
                  <w:rPr>
                    <w:rFonts w:ascii="Cambria Math" w:hAnsi="Cambria Math"/>
                    <w:sz w:val="22"/>
                  </w:rPr>
                  <m:t>g</m:t>
                </m:r>
              </m:sub>
            </m:sSub>
            <m:sSub>
              <m:e>
                <m:r>
                  <m:rPr>
                    <m:sty m:val="i"/>
                  </m:rPr>
                  <w:rPr>
                    <w:rFonts w:ascii="Cambria Math" w:hAnsi="Cambria Math"/>
                    <w:sz w:val="22"/>
                  </w:rPr>
                  <m:t>m</m:t>
                </m:r>
              </m:e>
              <m:sub>
                <m:r>
                  <m:rPr>
                    <m:sty m:val="i"/>
                  </m:rPr>
                  <w:rPr>
                    <w:rFonts w:ascii="Cambria Math" w:hAnsi="Cambria Math"/>
                    <w:sz w:val="22"/>
                  </w:rPr>
                  <m:t>g</m:t>
                </m:r>
              </m:sub>
            </m:sSub>
          </m:e>
        </m:box>
      </m:oMath>
      <w:r>
        <w:t xml:space="preserve">, with fixed </w:t>
      </w:r>
      <m:oMath>
        <m:box>
          <m:e>
            <m:sSub>
              <m:e>
                <m:r>
                  <m:rPr>
                    <m:sty m:val="i"/>
                  </m:rPr>
                  <w:rPr>
                    <w:rFonts w:ascii="Cambria Math" w:hAnsi="Cambria Math"/>
                    <w:sz w:val="22"/>
                  </w:rPr>
                  <m:t>m</m:t>
                </m:r>
              </m:e>
              <m:sub>
                <m:r>
                  <m:rPr>
                    <m:sty m:val="i"/>
                  </m:rPr>
                  <w:rPr>
                    <w:rFonts w:ascii="Cambria Math" w:hAnsi="Cambria Math"/>
                    <w:sz w:val="22"/>
                  </w:rPr>
                  <m:t>g</m:t>
                </m:r>
              </m:sub>
            </m:sSub>
          </m:e>
        </m:box>
      </m:oMath>
      <w:r>
        <w:t xml:space="preserve"> of 0.045 g grain⁻¹ for wheat and 0.300 g grain⁻¹ for maize </w:t>
      </w:r>
      <w:r>
        <w:fldChar w:fldCharType="begin"/>
      </w:r>
      <w:r>
        <w:instrText xml:space="preserve"> ADDIN ZOTERO_ITEM CSL_CITATION {"citationID":"30c431ebca605f1a","properties":{"formattedCitation":"(APSIM Initiative, 2026)","plainCitation":"(APSIM Initiative, 2026)","noteIndex":0},"citationItems":[{"id":"apsim_ng_source_2026","itemData":{"id":"apsim_ng_source_2026","type":"software","title":"APSIM Next Generation (ApsimX): wheat and maize model definitions","author":[{"literal":"APSIM Initiative"}],"issued":{"date-parts":[[2026,10,1]]},"version":"074d15f51889a386d3667acfed184d03e4e8f65f","publisher":"APSIM Initiative","URL":"https://github.com/APSIMInitiative/ApsimX/tree/074d15f51889a386d3667acfed184d03e4e8f65f/Models/Resources","accessed":{"date-parts":[[2026,10,4]]},"note":"Version date is the upstream commit date, not the original date of trait estimation. Models/Resources/Wheat.json and Maize.json are byte-identical to the frozen parameter sources. Wheat SHA-256: c3dab36b40dcd205d04e4b7494f8faa3a71bd3c596cd7c40f5a9e86ed0b353aa; maize SHA-256: caa9c213c23d7843c4648d2b486412210d29e1c86b9d6f13ba083b26ca0c7e9a. Trait values are conditional model priors, rather than regional observations."}}],"schema":"https://github.com/citation-style-language/schema/raw/master/csl-citation.json"} </w:instrText>
      </w:r>
      <w:r>
        <w:fldChar w:fldCharType="separate"/>
      </w:r>
      <w:r>
        <w:t>(APSIM Initiative, 2026)</w:t>
      </w:r>
      <w:r>
        <w:fldChar w:fldCharType="end"/>
      </w:r>
      <w:r>
        <w:t>. Assimilate supply and development-dependent filling capacity constrain grain accumulation. Wheat remobilization transfers an explicit subset of stem mass to grain while conserving total aboveground mass. Live and dead leaves, stems and grain remain in the aboveground carbon pool; observed yield or harvest index does not initialize grain.</w:t>
      </w:r>
    </w:p>
    <w:p>
      <w:pPr>
        <w:spacing w:line="480" w:lineRule="auto"/>
      </w:pPr>
      <w:r>
        <w:t>Prescribed nutrition factors distinguish archived fertilized and unfertilized management classes. Wuqiao and regional simulations retain the fertilized class. These factors describe effective growth limitations; the model does not resolve a mechanistic nitrogen balance.</w:t>
      </w:r>
    </w:p>
    <w:p>
      <w:pPr>
        <w:pStyle w:val="Heading2"/>
        <w:spacing w:line="480" w:lineRule="auto"/>
      </w:pPr>
      <w:r>
        <w:t>S2.3. Soil-water balance and actual evapotranspiration</w:t>
      </w:r>
    </w:p>
    <w:p>
      <w:pPr>
        <w:spacing w:line="480" w:lineRule="auto"/>
      </w:pPr>
      <w:r>
        <w:t xml:space="preserve">Potential transpiration and exposed-soil evaporation are </w:t>
      </w:r>
      <m:oMath>
        <m:box>
          <m:e>
            <m:sSub>
              <m:e>
                <m:r>
                  <m:rPr>
                    <m:sty m:val="i"/>
                  </m:rPr>
                  <w:rPr>
                    <w:rFonts w:ascii="Cambria Math" w:hAnsi="Cambria Math"/>
                    <w:sz w:val="22"/>
                  </w:rPr>
                  <m:t>T</m:t>
                </m:r>
              </m:e>
              <m:sub>
                <m:r>
                  <m:rPr>
                    <m:sty m:val="i"/>
                  </m:rPr>
                  <w:rPr>
                    <w:rFonts w:ascii="Cambria Math" w:hAnsi="Cambria Math"/>
                    <w:sz w:val="22"/>
                  </w:rPr>
                  <m:t>p</m:t>
                </m:r>
              </m:sub>
            </m:sSub>
            <m:r>
              <m:rPr>
                <m:sty m:val="p"/>
              </m:rPr>
              <w:rPr>
                <w:rFonts w:ascii="Cambria Math" w:hAnsi="Cambria Math"/>
                <w:sz w:val="22"/>
              </w:rPr>
              <m:t>=</m:t>
            </m:r>
            <m:sSub>
              <m:e>
                <m:r>
                  <m:rPr>
                    <m:sty m:val="i"/>
                  </m:rPr>
                  <w:rPr>
                    <w:rFonts w:ascii="Cambria Math" w:hAnsi="Cambria Math"/>
                    <w:sz w:val="22"/>
                  </w:rPr>
                  <m:t>K</m:t>
                </m:r>
              </m:e>
              <m:sub>
                <m:r>
                  <m:rPr>
                    <m:sty m:val="i"/>
                  </m:rPr>
                  <w:rPr>
                    <w:rFonts w:ascii="Cambria Math" w:hAnsi="Cambria Math"/>
                    <w:sz w:val="22"/>
                  </w:rPr>
                  <m:t>T</m:t>
                </m:r>
              </m:sub>
            </m:sSub>
            <m:sSub>
              <m:e>
                <m:box>
                  <m:e>
                    <m:r>
                      <m:rPr>
                        <m:sty m:val="p"/>
                      </m:rPr>
                      <w:rPr>
                        <w:rFonts w:ascii="Cambria Math" w:hAnsi="Cambria Math"/>
                        <w:sz w:val="22"/>
                      </w:rPr>
                      <m:t>E</m:t>
                    </m:r>
                    <m:r>
                      <m:rPr>
                        <m:sty m:val="p"/>
                      </m:rPr>
                      <w:rPr>
                        <w:rFonts w:ascii="Cambria Math" w:hAnsi="Cambria Math"/>
                        <w:sz w:val="22"/>
                      </w:rPr>
                      <m:t>T</m:t>
                    </m:r>
                  </m:e>
                </m:box>
              </m:e>
              <m:sub>
                <m:r>
                  <m:rPr>
                    <m:sty m:val="p"/>
                  </m:rPr>
                  <w:rPr>
                    <w:rFonts w:ascii="Cambria Math" w:hAnsi="Cambria Math"/>
                    <w:sz w:val="22"/>
                  </w:rPr>
                  <m:t>0</m:t>
                </m:r>
              </m:sub>
            </m:sSub>
            <m:sSub>
              <m:e>
                <m:r>
                  <m:rPr>
                    <m:sty m:val="i"/>
                  </m:rPr>
                  <w:rPr>
                    <w:rFonts w:ascii="Cambria Math" w:hAnsi="Cambria Math"/>
                    <w:sz w:val="22"/>
                  </w:rPr>
                  <m:t>f</m:t>
                </m:r>
              </m:e>
              <m:sub>
                <m:r>
                  <m:rPr>
                    <m:sty m:val="i"/>
                  </m:rPr>
                  <w:rPr>
                    <w:rFonts w:ascii="Cambria Math" w:hAnsi="Cambria Math"/>
                    <w:sz w:val="22"/>
                  </w:rPr>
                  <m:t>c</m:t>
                </m:r>
              </m:sub>
            </m:sSub>
          </m:e>
        </m:box>
      </m:oMath>
      <w:r>
        <w:t xml:space="preserve"> and </w:t>
      </w:r>
      <m:oMath>
        <m:box>
          <m:e>
            <m:sSub>
              <m:e>
                <m:r>
                  <m:rPr>
                    <m:sty m:val="i"/>
                  </m:rPr>
                  <w:rPr>
                    <w:rFonts w:ascii="Cambria Math" w:hAnsi="Cambria Math"/>
                    <w:sz w:val="22"/>
                  </w:rPr>
                  <m:t>E</m:t>
                </m:r>
              </m:e>
              <m:sub>
                <m:r>
                  <m:rPr>
                    <m:sty m:val="i"/>
                  </m:rPr>
                  <w:rPr>
                    <w:rFonts w:ascii="Cambria Math" w:hAnsi="Cambria Math"/>
                    <w:sz w:val="22"/>
                  </w:rPr>
                  <m:t>p</m:t>
                </m:r>
              </m:sub>
            </m:sSub>
            <m:r>
              <m:rPr>
                <m:sty m:val="p"/>
              </m:rPr>
              <w:rPr>
                <w:rFonts w:ascii="Cambria Math" w:hAnsi="Cambria Math"/>
                <w:sz w:val="22"/>
              </w:rPr>
              <m:t>=</m:t>
            </m:r>
            <m:sSub>
              <m:e>
                <m:r>
                  <m:rPr>
                    <m:sty m:val="i"/>
                  </m:rPr>
                  <w:rPr>
                    <w:rFonts w:ascii="Cambria Math" w:hAnsi="Cambria Math"/>
                    <w:sz w:val="22"/>
                  </w:rPr>
                  <m:t>K</m:t>
                </m:r>
              </m:e>
              <m:sub>
                <m:r>
                  <m:rPr>
                    <m:sty m:val="i"/>
                  </m:rPr>
                  <w:rPr>
                    <w:rFonts w:ascii="Cambria Math" w:hAnsi="Cambria Math"/>
                    <w:sz w:val="22"/>
                  </w:rPr>
                  <m:t>E</m:t>
                </m:r>
              </m:sub>
            </m:sSub>
            <m:sSub>
              <m:e>
                <m:box>
                  <m:e>
                    <m:r>
                      <m:rPr>
                        <m:sty m:val="p"/>
                      </m:rPr>
                      <w:rPr>
                        <w:rFonts w:ascii="Cambria Math" w:hAnsi="Cambria Math"/>
                        <w:sz w:val="22"/>
                      </w:rPr>
                      <m:t>E</m:t>
                    </m:r>
                    <m:r>
                      <m:rPr>
                        <m:sty m:val="p"/>
                      </m:rPr>
                      <w:rPr>
                        <w:rFonts w:ascii="Cambria Math" w:hAnsi="Cambria Math"/>
                        <w:sz w:val="22"/>
                      </w:rPr>
                      <m:t>T</m:t>
                    </m:r>
                  </m:e>
                </m:box>
              </m:e>
              <m:sub>
                <m:r>
                  <m:rPr>
                    <m:sty m:val="p"/>
                  </m:rPr>
                  <w:rPr>
                    <w:rFonts w:ascii="Cambria Math" w:hAnsi="Cambria Math"/>
                    <w:sz w:val="22"/>
                  </w:rPr>
                  <m:t>0</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c</m:t>
                </m:r>
              </m:sub>
            </m:sSub>
            <m:r>
              <m:rPr>
                <m:sty m:val="p"/>
              </m:rPr>
              <w:rPr>
                <w:rFonts w:ascii="Cambria Math" w:hAnsi="Cambria Math"/>
                <w:sz w:val="22"/>
              </w:rPr>
              <m:t>)</m:t>
            </m:r>
          </m:e>
        </m:box>
      </m:oMath>
      <w:r>
        <w:t xml:space="preserve">, with </w:t>
      </w:r>
      <m:oMath>
        <m:box>
          <m:e>
            <m:sSub>
              <m:e>
                <m:box>
                  <m:e>
                    <m:r>
                      <m:rPr>
                        <m:sty m:val="p"/>
                      </m:rPr>
                      <w:rPr>
                        <w:rFonts w:ascii="Cambria Math" w:hAnsi="Cambria Math"/>
                        <w:sz w:val="22"/>
                      </w:rPr>
                      <m:t>E</m:t>
                    </m:r>
                    <m:r>
                      <m:rPr>
                        <m:sty m:val="p"/>
                      </m:rPr>
                      <w:rPr>
                        <w:rFonts w:ascii="Cambria Math" w:hAnsi="Cambria Math"/>
                        <w:sz w:val="22"/>
                      </w:rPr>
                      <m:t>T</m:t>
                    </m:r>
                  </m:e>
                </m:box>
              </m:e>
              <m:sub>
                <m:r>
                  <m:rPr>
                    <m:sty m:val="p"/>
                  </m:rPr>
                  <w:rPr>
                    <w:rFonts w:ascii="Cambria Math" w:hAnsi="Cambria Math"/>
                    <w:sz w:val="22"/>
                  </w:rPr>
                  <m:t>0</m:t>
                </m:r>
              </m:sub>
            </m:sSub>
          </m:e>
        </m:box>
      </m:oMath>
      <w:r>
        <w:t xml:space="preserve"> supplied by AgERA5. Rainfall interception fills a canopy store of capacity 1 mm × </w:t>
      </w:r>
      <m:oMath>
        <m:box>
          <m:e>
            <m:sSub>
              <m:e>
                <m:r>
                  <m:rPr>
                    <m:sty m:val="i"/>
                  </m:rPr>
                  <w:rPr>
                    <w:rFonts w:ascii="Cambria Math" w:hAnsi="Cambria Math"/>
                    <w:sz w:val="22"/>
                  </w:rPr>
                  <m:t>f</m:t>
                </m:r>
              </m:e>
              <m:sub>
                <m:r>
                  <m:rPr>
                    <m:sty m:val="i"/>
                  </m:rPr>
                  <w:rPr>
                    <w:rFonts w:ascii="Cambria Math" w:hAnsi="Cambria Math"/>
                    <w:sz w:val="22"/>
                  </w:rPr>
                  <m:t>c</m:t>
                </m:r>
              </m:sub>
            </m:sSub>
          </m:e>
        </m:box>
      </m:oMath>
      <w:r>
        <w:t xml:space="preserve">. Wet-canopy evaporation reduces the transpiration demand remaining within each outer water step. Actual ET is </w:t>
      </w:r>
      <m:oMath>
        <m:box>
          <m:e>
            <m:sSub>
              <m:e>
                <m:r>
                  <m:rPr>
                    <m:sty m:val="i"/>
                  </m:rPr>
                  <w:rPr>
                    <w:rFonts w:ascii="Cambria Math" w:hAnsi="Cambria Math"/>
                    <w:sz w:val="22"/>
                  </w:rPr>
                  <m:t>T</m:t>
                </m:r>
              </m:e>
              <m:sub>
                <m:r>
                  <m:rPr>
                    <m:sty m:val="i"/>
                  </m:rPr>
                  <w:rPr>
                    <w:rFonts w:ascii="Cambria Math" w:hAnsi="Cambria Math"/>
                    <w:sz w:val="22"/>
                  </w:rPr>
                  <m:t>a</m:t>
                </m:r>
              </m:sub>
            </m:sSub>
            <m:r>
              <m:rPr>
                <m:sty m:val="p"/>
              </m:rPr>
              <w:rPr>
                <w:rFonts w:ascii="Cambria Math" w:hAnsi="Cambria Math"/>
                <w:sz w:val="22"/>
              </w:rPr>
              <m:t>+</m:t>
            </m:r>
            <m:sSub>
              <m:e>
                <m:r>
                  <m:rPr>
                    <m:sty m:val="i"/>
                  </m:rPr>
                  <w:rPr>
                    <w:rFonts w:ascii="Cambria Math" w:hAnsi="Cambria Math"/>
                    <w:sz w:val="22"/>
                  </w:rPr>
                  <m:t>E</m:t>
                </m:r>
              </m:e>
              <m:sub>
                <m:r>
                  <m:rPr>
                    <m:sty m:val="i"/>
                  </m:rPr>
                  <w:rPr>
                    <w:rFonts w:ascii="Cambria Math" w:hAnsi="Cambria Math"/>
                    <w:sz w:val="22"/>
                  </w:rPr>
                  <m:t>s</m:t>
                </m:r>
              </m:sub>
            </m:sSub>
            <m:r>
              <m:rPr>
                <m:sty m:val="p"/>
              </m:rPr>
              <w:rPr>
                <w:rFonts w:ascii="Cambria Math" w:hAnsi="Cambria Math"/>
                <w:sz w:val="22"/>
              </w:rPr>
              <m:t>+</m:t>
            </m:r>
            <m:sSub>
              <m:e>
                <m:r>
                  <m:rPr>
                    <m:sty m:val="i"/>
                  </m:rPr>
                  <w:rPr>
                    <w:rFonts w:ascii="Cambria Math" w:hAnsi="Cambria Math"/>
                    <w:sz w:val="22"/>
                  </w:rPr>
                  <m:t>E</m:t>
                </m:r>
              </m:e>
              <m:sub>
                <m:r>
                  <m:rPr>
                    <m:sty m:val="i"/>
                  </m:rPr>
                  <w:rPr>
                    <w:rFonts w:ascii="Cambria Math" w:hAnsi="Cambria Math"/>
                    <w:sz w:val="22"/>
                  </w:rPr>
                  <m:t>c</m:t>
                </m:r>
              </m:sub>
            </m:sSub>
          </m:e>
        </m:box>
      </m:oMath>
      <w:r>
        <w:t xml:space="preserve">, the sum of transpiration, soil evaporation and canopy evaporation. Wuqiao residue cover is unmeasured and its exposed-soil boundary is retained; prescribed organic mulch, where supplied, reduces potential soil evaporation using the FAO-56 cover approximation </w:t>
      </w:r>
      <w:r>
        <w:fldChar w:fldCharType="begin"/>
      </w:r>
      <w:r>
        <w:instrText xml:space="preserve"> ADDIN ZOTERO_ITEM CSL_CITATION {"citationID":"801a2aa7a4c14e3e","properties":{"formattedCitation":"(Allen et al., 1998)","plainCitation":"(Allen et al., 1998)","noteIndex":0},"citationItems":[{"id":"allen1998_fao56","itemData":{"id":"allen1998_fao56","type":"book","title":"Crop evapotranspiration: Guidelines for computing crop water requirements","author":[{"family":"Allen","given":"Richard G."},{"family":"Pereira","given":"Luis S."},{"family":"Raes","given":"Dirk"},{"family":"Smith","given":"Martin"}],"issued":{"date-parts":[[1998]]},"publisher":"Food and Agriculture Organization of the United Nations","publisher-place":"Rome","collection-title":"FAO Irrigation and Drainage Paper","number":"56","ISBN":"92-5-104219-5","URL":"https://www.fao.org/4/x0490e/x0490e00.htm","accessed":{"date-parts":[[2026,10,4]]}}}],"schema":"https://github.com/citation-style-language/schema/raw/master/csl-citation.json"} </w:instrText>
      </w:r>
      <w:r>
        <w:fldChar w:fldCharType="separate"/>
      </w:r>
      <w:r>
        <w:t>(Allen et al., 1998)</w:t>
      </w:r>
      <w:r>
        <w:fldChar w:fldCharType="end"/>
      </w:r>
      <w:r>
        <w:t>.</w:t>
      </w:r>
    </w:p>
    <w:p>
      <w:pPr>
        <w:spacing w:line="480" w:lineRule="auto"/>
      </w:pPr>
      <w:r>
        <w:t xml:space="preserve">Two-stage evaporation depends on actual surface-layer storage. Total evaporable water is </w:t>
      </w:r>
      <m:oMath>
        <m:box>
          <m:e>
            <m:box>
              <m:e>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W</m:t>
                </m:r>
              </m:e>
            </m:box>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F</m:t>
                        </m:r>
                        <m:r>
                          <m:rPr>
                            <m:sty m:val="p"/>
                          </m:rPr>
                          <w:rPr>
                            <w:rFonts w:ascii="Cambria Math" w:hAnsi="Cambria Math"/>
                            <w:sz w:val="22"/>
                          </w:rPr>
                          <m:t>C</m:t>
                        </m:r>
                      </m:e>
                    </m:box>
                  </m:e>
                </m:box>
              </m:sub>
            </m:sSub>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A</m:t>
                        </m:r>
                        <m:r>
                          <m:rPr>
                            <m:sty m:val="p"/>
                          </m:rPr>
                          <w:rPr>
                            <w:rFonts w:ascii="Cambria Math" w:hAnsi="Cambria Math"/>
                            <w:sz w:val="22"/>
                          </w:rPr>
                          <m:t>D</m:t>
                        </m:r>
                      </m:e>
                    </m:box>
                  </m:e>
                </m:box>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r>
                  <m:rPr>
                    <m:sty m:val="p"/>
                  </m:rPr>
                  <w:rPr>
                    <w:rFonts w:ascii="Cambria Math" w:hAnsi="Cambria Math"/>
                    <w:sz w:val="22"/>
                  </w:rPr>
                  <m:t>1</m:t>
                </m:r>
              </m:sub>
            </m:sSub>
          </m:e>
        </m:box>
      </m:oMath>
      <w:r>
        <w:t xml:space="preserve"> and readily evaporable water is </w:t>
      </w:r>
      <m:oMath>
        <m:box>
          <m:e>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W</m:t>
                </m:r>
              </m:e>
            </m:box>
            <m:r>
              <m:rPr>
                <m:sty m:val="p"/>
              </m:rPr>
              <w:rPr>
                <w:rFonts w:ascii="Cambria Math" w:hAnsi="Cambria Math"/>
                <w:sz w:val="22"/>
              </w:rPr>
              <m:t>=</m:t>
            </m:r>
            <m:r>
              <m:rPr>
                <m:sty m:val="p"/>
              </m:rPr>
              <w:rPr>
                <w:rFonts w:ascii="Cambria Math" w:hAnsi="Cambria Math"/>
                <w:sz w:val="22"/>
              </w:rPr>
              <m:t>0.30</m:t>
            </m:r>
            <m:box>
              <m:e>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W</m:t>
                </m:r>
              </m:e>
            </m:box>
          </m:e>
        </m:box>
      </m:oMath>
      <w:r>
        <w:t xml:space="preserve">. Surface depletion is </w:t>
      </w:r>
      <m:oMath>
        <m:box>
          <m:e>
            <m:sSub>
              <m:e>
                <m:r>
                  <m:rPr>
                    <m:sty m:val="i"/>
                  </m:rPr>
                  <w:rPr>
                    <w:rFonts w:ascii="Cambria Math" w:hAnsi="Cambria Math"/>
                    <w:sz w:val="22"/>
                  </w:rPr>
                  <m:t>D</m:t>
                </m:r>
              </m:e>
              <m:sub>
                <m:r>
                  <m:rPr>
                    <m:sty m:val="i"/>
                  </m:rPr>
                  <w:rPr>
                    <w:rFonts w:ascii="Cambria Math" w:hAnsi="Cambria Math"/>
                    <w:sz w:val="22"/>
                  </w:rPr>
                  <m:t>e</m:t>
                </m:r>
              </m:sub>
            </m:sSub>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F</m:t>
                        </m:r>
                        <m:r>
                          <m:rPr>
                            <m:sty m:val="p"/>
                          </m:rPr>
                          <w:rPr>
                            <w:rFonts w:ascii="Cambria Math" w:hAnsi="Cambria Math"/>
                            <w:sz w:val="22"/>
                          </w:rPr>
                          <m:t>C</m:t>
                        </m:r>
                      </m:e>
                    </m:box>
                  </m:e>
                </m:box>
              </m:sub>
            </m:sSub>
            <m:r>
              <m:rPr>
                <m:sty m:val="p"/>
              </m:rPr>
              <w:rPr>
                <w:rFonts w:ascii="Cambria Math" w:hAnsi="Cambria Math"/>
                <w:sz w:val="22"/>
              </w:rPr>
              <m:t>−</m:t>
            </m:r>
            <m:sSub>
              <m:e>
                <m:r>
                  <m:rPr>
                    <m:sty m:val="i"/>
                  </m:rPr>
                  <w:rPr>
                    <w:rFonts w:ascii="Cambria Math" w:hAnsi="Cambria Math"/>
                    <w:sz w:val="22"/>
                  </w:rPr>
                  <m:t>θ</m:t>
                </m:r>
              </m:e>
              <m:sub>
                <m:r>
                  <m:rPr>
                    <m:sty m:val="p"/>
                  </m:rPr>
                  <w:rPr>
                    <w:rFonts w:ascii="Cambria Math" w:hAnsi="Cambria Math"/>
                    <w:sz w:val="22"/>
                  </w:rPr>
                  <m:t>1</m:t>
                </m:r>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r>
                  <m:rPr>
                    <m:sty m:val="p"/>
                  </m:rPr>
                  <w:rPr>
                    <w:rFonts w:ascii="Cambria Math" w:hAnsi="Cambria Math"/>
                    <w:sz w:val="22"/>
                  </w:rPr>
                  <m:t>1</m:t>
                </m:r>
              </m:sub>
            </m:sSub>
          </m:e>
        </m:box>
      </m:oMath>
      <w:r>
        <w:t xml:space="preserve">. The evaporation reduction is </w:t>
      </w:r>
      <m:oMath>
        <m:box>
          <m:e>
            <m:sSub>
              <m:e>
                <m:r>
                  <m:rPr>
                    <m:sty m:val="i"/>
                  </m:rPr>
                  <w:rPr>
                    <w:rFonts w:ascii="Cambria Math" w:hAnsi="Cambria Math"/>
                    <w:sz w:val="22"/>
                  </w:rPr>
                  <m:t>K</m:t>
                </m:r>
              </m:e>
              <m:sub>
                <m:r>
                  <m:rPr>
                    <m:sty m:val="i"/>
                  </m:rPr>
                  <w:rPr>
                    <w:rFonts w:ascii="Cambria Math" w:hAnsi="Cambria Math"/>
                    <w:sz w:val="22"/>
                  </w:rPr>
                  <m:t>r</m:t>
                </m:r>
              </m:sub>
            </m:sSub>
            <m:r>
              <m:rPr>
                <m:sty m:val="p"/>
              </m:rPr>
              <w:rPr>
                <w:rFonts w:ascii="Cambria Math" w:hAnsi="Cambria Math"/>
                <w:sz w:val="22"/>
              </w:rPr>
              <m:t>=</m:t>
            </m:r>
            <m:r>
              <m:rPr>
                <m:sty m:val="p"/>
              </m:rPr>
              <w:rPr>
                <w:rFonts w:ascii="Cambria Math" w:hAnsi="Cambria Math"/>
                <w:sz w:val="22"/>
              </w:rPr>
              <m:t>min</m:t>
            </m:r>
            <m:box>
              <m:e>
                <m:d>
                  <m:dPr>
                    <m:begChr m:val="["/>
                    <m:endChr m:val="]"/>
                  </m:dPr>
                  <m:e>
                    <m:box>
                      <m:e>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max</m:t>
                        </m:r>
                        <m:box>
                          <m:e>
                            <m:d>
                              <m:dPr>
                                <m:begChr m:val="("/>
                                <m:endChr m:val=")"/>
                              </m:dPr>
                              <m:e>
                                <m:box>
                                  <m:e>
                                    <m:r>
                                      <m:rPr>
                                        <m:sty m:val="p"/>
                                      </m:rPr>
                                      <w:rPr>
                                        <w:rFonts w:ascii="Cambria Math" w:hAnsi="Cambria Math"/>
                                        <w:sz w:val="22"/>
                                      </w:rPr>
                                      <m:t>0</m:t>
                                    </m:r>
                                    <m:r>
                                      <m:rPr>
                                        <m:sty m:val="p"/>
                                      </m:rPr>
                                      <w:rPr>
                                        <w:rFonts w:ascii="Cambria Math" w:hAnsi="Cambria Math"/>
                                        <w:sz w:val="22"/>
                                      </w:rPr>
                                      <m:t>,</m:t>
                                    </m:r>
                                    <m:f>
                                      <m:num>
                                        <m:box>
                                          <m:e>
                                            <m:box>
                                              <m:e>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W</m:t>
                                                </m:r>
                                              </m:e>
                                            </m:box>
                                            <m:r>
                                              <m:rPr>
                                                <m:sty m:val="p"/>
                                              </m:rPr>
                                              <w:rPr>
                                                <w:rFonts w:ascii="Cambria Math" w:hAnsi="Cambria Math"/>
                                                <w:sz w:val="22"/>
                                              </w:rPr>
                                              <m:t>−</m:t>
                                            </m:r>
                                            <m:sSub>
                                              <m:e>
                                                <m:r>
                                                  <m:rPr>
                                                    <m:sty m:val="i"/>
                                                  </m:rPr>
                                                  <w:rPr>
                                                    <w:rFonts w:ascii="Cambria Math" w:hAnsi="Cambria Math"/>
                                                    <w:sz w:val="22"/>
                                                  </w:rPr>
                                                  <m:t>D</m:t>
                                                </m:r>
                                              </m:e>
                                              <m:sub>
                                                <m:r>
                                                  <m:rPr>
                                                    <m:sty m:val="i"/>
                                                  </m:rPr>
                                                  <w:rPr>
                                                    <w:rFonts w:ascii="Cambria Math" w:hAnsi="Cambria Math"/>
                                                    <w:sz w:val="22"/>
                                                  </w:rPr>
                                                  <m:t>e</m:t>
                                                </m:r>
                                              </m:sub>
                                            </m:sSub>
                                          </m:e>
                                        </m:box>
                                      </m:num>
                                      <m:den>
                                        <m:box>
                                          <m:e>
                                            <m:box>
                                              <m:e>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W</m:t>
                                                </m:r>
                                              </m:e>
                                            </m:box>
                                            <m:r>
                                              <m:rPr>
                                                <m:sty m:val="p"/>
                                              </m:rPr>
                                              <w:rPr>
                                                <w:rFonts w:ascii="Cambria Math" w:hAnsi="Cambria Math"/>
                                                <w:sz w:val="22"/>
                                              </w:rPr>
                                              <m:t>−</m:t>
                                            </m:r>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W</m:t>
                                                </m:r>
                                              </m:e>
                                            </m:box>
                                          </m:e>
                                        </m:box>
                                      </m:den>
                                    </m:f>
                                  </m:e>
                                </m:box>
                              </m:e>
                            </m:d>
                          </m:e>
                        </m:box>
                      </m:e>
                    </m:box>
                  </m:e>
                </m:d>
              </m:e>
            </m:box>
          </m:e>
        </m:box>
      </m:oMath>
      <w:r>
        <w:t xml:space="preserve">, with actual extraction bounded by storage above air dry. Ponded water evaporates before soil storage. This storage closure follows the two-stage drying principle </w:t>
      </w:r>
      <w:r>
        <w:fldChar w:fldCharType="begin"/>
      </w:r>
      <w:r>
        <w:instrText xml:space="preserve"> ADDIN ZOTERO_ITEM CSL_CITATION {"citationID":"44af5ebcc024506b","properties":{"formattedCitation":"(Allen et al., 1998)","plainCitation":"(Allen et al., 1998)","noteIndex":0},"citationItems":[{"id":"allen1998_fao56","itemData":{"id":"allen1998_fao56","type":"book","title":"Crop evapotranspiration: Guidelines for computing crop water requirements","author":[{"family":"Allen","given":"Richard G."},{"family":"Pereira","given":"Luis S."},{"family":"Raes","given":"Dirk"},{"family":"Smith","given":"Martin"}],"issued":{"date-parts":[[1998]]},"publisher":"Food and Agriculture Organization of the United Nations","publisher-place":"Rome","collection-title":"FAO Irrigation and Drainage Paper","number":"56","ISBN":"92-5-104219-5","URL":"https://www.fao.org/4/x0490e/x0490e00.htm","accessed":{"date-parts":[[2026,10,4]]}}}],"schema":"https://github.com/citation-style-language/schema/raw/master/csl-citation.json"} </w:instrText>
      </w:r>
      <w:r>
        <w:fldChar w:fldCharType="separate"/>
      </w:r>
      <w:r>
        <w:t>(Allen et al., 1998)</w:t>
      </w:r>
      <w:r>
        <w:fldChar w:fldCharType="end"/>
      </w:r>
      <w:r>
        <w:t xml:space="preserve"> without resolving a complete dual-crop-coefficient surface balance.</w:t>
      </w:r>
    </w:p>
    <w:p>
      <w:pPr>
        <w:spacing w:line="480" w:lineRule="auto"/>
      </w:pPr>
      <w:r>
        <w:t xml:space="preserve">Root activity integrates an exponential depth distribution over rooted parts of each layer and is normalized over the represented rooted volume. Local depletion stress is </w:t>
      </w:r>
      <m:oMath>
        <m:box>
          <m:e>
            <m:sSub>
              <m:e>
                <m:r>
                  <m:rPr>
                    <m:sty m:val="i"/>
                  </m:rPr>
                  <w:rPr>
                    <w:rFonts w:ascii="Cambria Math" w:hAnsi="Cambria Math"/>
                    <w:sz w:val="22"/>
                  </w:rPr>
                  <m:t>s</m:t>
                </m:r>
              </m:e>
              <m:sub>
                <m:r>
                  <m:rPr>
                    <m:sty m:val="i"/>
                  </m:rP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min</m:t>
            </m:r>
            <m:box>
              <m:e>
                <m:d>
                  <m:dPr>
                    <m:begChr m:val="["/>
                    <m:endChr m:val="]"/>
                  </m:dPr>
                  <m:e>
                    <m:box>
                      <m:e>
                        <m:r>
                          <m:rPr>
                            <m:sty m:val="p"/>
                          </m:rPr>
                          <w:rPr>
                            <w:rFonts w:ascii="Cambria Math" w:hAnsi="Cambria Math"/>
                            <w:sz w:val="22"/>
                          </w:rPr>
                          <m:t>1</m:t>
                        </m:r>
                        <m:r>
                          <m:rPr>
                            <m:sty m:val="p"/>
                          </m:rPr>
                          <w:rPr>
                            <w:rFonts w:ascii="Cambria Math" w:hAnsi="Cambria Math"/>
                            <w:sz w:val="22"/>
                          </w:rPr>
                          <m:t>,</m:t>
                        </m:r>
                        <m:f>
                          <m:num>
                            <m:box>
                              <m:e>
                                <m:r>
                                  <m:rPr>
                                    <m:sty m:val="p"/>
                                  </m:rPr>
                                  <w:rPr>
                                    <w:rFonts w:ascii="Cambria Math" w:hAnsi="Cambria Math"/>
                                    <w:sz w:val="22"/>
                                  </w:rPr>
                                  <m:t>max</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sSub>
                                  <m:e>
                                    <m:r>
                                      <m:rPr>
                                        <m:sty m:val="i"/>
                                      </m:rPr>
                                      <w:rPr>
                                        <w:rFonts w:ascii="Cambria Math" w:hAnsi="Cambria Math"/>
                                        <w:sz w:val="22"/>
                                      </w:rPr>
                                      <m:t>W</m:t>
                                    </m:r>
                                  </m:e>
                                  <m:sub>
                                    <m:r>
                                      <m:rPr>
                                        <m:sty m:val="i"/>
                                      </m:rPr>
                                      <w:rPr>
                                        <w:rFonts w:ascii="Cambria Math" w:hAnsi="Cambria Math"/>
                                        <w:sz w:val="22"/>
                                      </w:rPr>
                                      <m:t>i</m:t>
                                    </m:r>
                                  </m:sub>
                                </m:sSub>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W</m:t>
                                            </m:r>
                                            <m:r>
                                              <m:rPr>
                                                <m:sty m:val="p"/>
                                              </m:rPr>
                                              <w:rPr>
                                                <w:rFonts w:ascii="Cambria Math" w:hAnsi="Cambria Math"/>
                                                <w:sz w:val="22"/>
                                              </w:rPr>
                                              <m:t>P</m:t>
                                            </m:r>
                                          </m:e>
                                        </m:box>
                                        <m:r>
                                          <m:rPr>
                                            <m:sty m:val="p"/>
                                          </m:rPr>
                                          <w:rPr>
                                            <w:rFonts w:ascii="Cambria Math" w:hAnsi="Cambria Math"/>
                                            <w:sz w:val="22"/>
                                          </w:rPr>
                                          <m:t>,</m:t>
                                        </m:r>
                                        <m:r>
                                          <m:rPr>
                                            <m:sty m:val="i"/>
                                          </m:rPr>
                                          <w:rPr>
                                            <w:rFonts w:ascii="Cambria Math" w:hAnsi="Cambria Math"/>
                                            <w:sz w:val="22"/>
                                          </w:rPr>
                                          <m:t>i</m:t>
                                        </m:r>
                                      </m:e>
                                    </m:box>
                                  </m:sub>
                                </m:sSub>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r>
                                  <m:rPr>
                                    <m:sty m:val="p"/>
                                  </m:rPr>
                                  <w:rPr>
                                    <w:rFonts w:ascii="Cambria Math" w:hAnsi="Cambria Math"/>
                                    <w:sz w:val="22"/>
                                  </w:rPr>
                                  <m:t>)</m:t>
                                </m:r>
                              </m:e>
                            </m:box>
                          </m:num>
                          <m:den>
                            <m:box>
                              <m:e>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p</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F</m:t>
                                            </m:r>
                                            <m:r>
                                              <m:rPr>
                                                <m:sty m:val="p"/>
                                              </m:rPr>
                                              <w:rPr>
                                                <w:rFonts w:ascii="Cambria Math" w:hAnsi="Cambria Math"/>
                                                <w:sz w:val="22"/>
                                              </w:rPr>
                                              <m:t>C</m:t>
                                            </m:r>
                                          </m:e>
                                        </m:box>
                                        <m:r>
                                          <m:rPr>
                                            <m:sty m:val="p"/>
                                          </m:rPr>
                                          <w:rPr>
                                            <w:rFonts w:ascii="Cambria Math" w:hAnsi="Cambria Math"/>
                                            <w:sz w:val="22"/>
                                          </w:rPr>
                                          <m:t>,</m:t>
                                        </m:r>
                                        <m:r>
                                          <m:rPr>
                                            <m:sty m:val="i"/>
                                          </m:rPr>
                                          <w:rPr>
                                            <w:rFonts w:ascii="Cambria Math" w:hAnsi="Cambria Math"/>
                                            <w:sz w:val="22"/>
                                          </w:rPr>
                                          <m:t>i</m:t>
                                        </m:r>
                                      </m:e>
                                    </m:box>
                                  </m:sub>
                                </m:sSub>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W</m:t>
                                            </m:r>
                                            <m:r>
                                              <m:rPr>
                                                <m:sty m:val="p"/>
                                              </m:rPr>
                                              <w:rPr>
                                                <w:rFonts w:ascii="Cambria Math" w:hAnsi="Cambria Math"/>
                                                <w:sz w:val="22"/>
                                              </w:rPr>
                                              <m:t>P</m:t>
                                            </m:r>
                                          </m:e>
                                        </m:box>
                                        <m:r>
                                          <m:rPr>
                                            <m:sty m:val="p"/>
                                          </m:rPr>
                                          <w:rPr>
                                            <w:rFonts w:ascii="Cambria Math" w:hAnsi="Cambria Math"/>
                                            <w:sz w:val="22"/>
                                          </w:rPr>
                                          <m:t>,</m:t>
                                        </m:r>
                                        <m:r>
                                          <m:rPr>
                                            <m:sty m:val="i"/>
                                          </m:rPr>
                                          <w:rPr>
                                            <w:rFonts w:ascii="Cambria Math" w:hAnsi="Cambria Math"/>
                                            <w:sz w:val="22"/>
                                          </w:rPr>
                                          <m:t>i</m:t>
                                        </m:r>
                                      </m:e>
                                    </m:box>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e>
                            </m:box>
                          </m:den>
                        </m:f>
                      </m:e>
                    </m:box>
                  </m:e>
                </m:d>
              </m:e>
            </m:box>
          </m:e>
        </m:box>
      </m:oMath>
      <w:r>
        <w:t>, where p is the fitted readily available water fraction. Base uptake combines root activity, local stress, atmospheric demand and the daily extraction coefficient; accessible storage and extraction capacity bound each contribution. The compensation fraction allocates a bounded part of unmet demand to rooted layers whose stress factors equal or exceed the activity-weighted mean. Total uptake remains bounded by demand times the best rooted-layer stress factor and by available extraction capacity. Compensation redistributes demand and does not eliminate uniformly dry-profile stress.</w:t>
      </w:r>
    </w:p>
    <w:p>
      <w:pPr>
        <w:spacing w:line="480" w:lineRule="auto"/>
      </w:pPr>
      <w:r>
        <w:t xml:space="preserve">Effective saturation is </w:t>
      </w:r>
      <m:oMath>
        <m:box>
          <m:e>
            <m:sSub>
              <m:e>
                <m:r>
                  <m:rPr>
                    <m:sty m:val="i"/>
                  </m:rPr>
                  <w:rPr>
                    <w:rFonts w:ascii="Cambria Math" w:hAnsi="Cambria Math"/>
                    <w:sz w:val="22"/>
                  </w:rPr>
                  <m:t>S</m:t>
                </m:r>
              </m:e>
              <m:sub>
                <m:r>
                  <m:rPr>
                    <m:sty m:val="i"/>
                  </m:rPr>
                  <w:rPr>
                    <w:rFonts w:ascii="Cambria Math" w:hAnsi="Cambria Math"/>
                    <w:sz w:val="22"/>
                  </w:rPr>
                  <m:t>e</m:t>
                </m:r>
              </m:sub>
            </m:sSub>
            <m:r>
              <m:rPr>
                <m:sty m:val="p"/>
              </m:rPr>
              <w:rPr>
                <w:rFonts w:ascii="Cambria Math" w:hAnsi="Cambria Math"/>
                <w:sz w:val="22"/>
              </w:rPr>
              <m:t>=</m:t>
            </m:r>
            <m:f>
              <m:num>
                <m:box>
                  <m:e>
                    <m:r>
                      <m:rPr>
                        <m:sty m:val="i"/>
                      </m:rPr>
                      <w:rPr>
                        <w:rFonts w:ascii="Cambria Math" w:hAnsi="Cambria Math"/>
                        <w:sz w:val="22"/>
                      </w:rPr>
                      <m:t>θ</m:t>
                    </m:r>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A</m:t>
                                </m:r>
                                <m:r>
                                  <m:rPr>
                                    <m:sty m:val="p"/>
                                  </m:rPr>
                                  <w:rPr>
                                    <w:rFonts w:ascii="Cambria Math" w:hAnsi="Cambria Math"/>
                                    <w:sz w:val="22"/>
                                  </w:rPr>
                                  <m:t>D</m:t>
                                </m:r>
                              </m:e>
                            </m:box>
                          </m:e>
                        </m:box>
                      </m:sub>
                    </m:sSub>
                  </m:e>
                </m:box>
              </m:num>
              <m:den>
                <m:box>
                  <m:e>
                    <m:sSub>
                      <m:e>
                        <m:r>
                          <m:rPr>
                            <m:sty m:val="i"/>
                          </m:rPr>
                          <w:rPr>
                            <w:rFonts w:ascii="Cambria Math" w:hAnsi="Cambria Math"/>
                            <w:sz w:val="22"/>
                          </w:rPr>
                          <m:t>θ</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e>
                        </m:box>
                      </m:sub>
                    </m:sSub>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A</m:t>
                                </m:r>
                                <m:r>
                                  <m:rPr>
                                    <m:sty m:val="p"/>
                                  </m:rPr>
                                  <w:rPr>
                                    <w:rFonts w:ascii="Cambria Math" w:hAnsi="Cambria Math"/>
                                    <w:sz w:val="22"/>
                                  </w:rPr>
                                  <m:t>D</m:t>
                                </m:r>
                              </m:e>
                            </m:box>
                          </m:e>
                        </m:box>
                      </m:sub>
                    </m:sSub>
                  </m:e>
                </m:box>
              </m:den>
            </m:f>
          </m:e>
        </m:box>
      </m:oMath>
      <w:r>
        <w:t xml:space="preserve">. With </w:t>
      </w:r>
      <m:oMath>
        <m:box>
          <m:e>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f>
              <m:num>
                <m:box>
                  <m:e>
                    <m:r>
                      <m:rPr>
                        <m:sty m:val="p"/>
                      </m:rPr>
                      <w:rPr>
                        <w:rFonts w:ascii="Cambria Math" w:hAnsi="Cambria Math"/>
                        <w:sz w:val="22"/>
                      </w:rPr>
                      <m:t>1</m:t>
                    </m:r>
                  </m:e>
                </m:box>
              </m:num>
              <m:den>
                <m:box>
                  <m:e>
                    <m:r>
                      <m:rPr>
                        <m:sty m:val="i"/>
                      </m:rPr>
                      <w:rPr>
                        <w:rFonts w:ascii="Cambria Math" w:hAnsi="Cambria Math"/>
                        <w:sz w:val="22"/>
                      </w:rPr>
                      <m:t>n</m:t>
                    </m:r>
                  </m:e>
                </m:box>
              </m:den>
            </m:f>
          </m:e>
        </m:box>
      </m:oMath>
      <w:r>
        <w:t xml:space="preserve">, the retention relation is </w:t>
      </w:r>
      <m:oMath>
        <m:box>
          <m:e>
            <m:sSub>
              <m:e>
                <m:r>
                  <m:rPr>
                    <m:sty m:val="i"/>
                  </m:rPr>
                  <w:rPr>
                    <w:rFonts w:ascii="Cambria Math" w:hAnsi="Cambria Math"/>
                    <w:sz w:val="22"/>
                  </w:rPr>
                  <m:t>S</m:t>
                </m:r>
              </m:e>
              <m:sub>
                <m:r>
                  <m:rPr>
                    <m:sty m:val="i"/>
                  </m:rPr>
                  <w:rPr>
                    <w:rFonts w:ascii="Cambria Math" w:hAnsi="Cambria Math"/>
                    <w:sz w:val="22"/>
                  </w:rPr>
                  <m:t>e</m:t>
                </m:r>
              </m:sub>
            </m:sSub>
            <m:r>
              <m:rPr>
                <m:sty m:val="p"/>
              </m:rPr>
              <w:rPr>
                <w:rFonts w:ascii="Cambria Math" w:hAnsi="Cambria Math"/>
                <w:sz w:val="22"/>
              </w:rPr>
              <m:t>=</m:t>
            </m:r>
            <m:sSup>
              <m:e>
                <m:box>
                  <m:e>
                    <m:d>
                      <m:dPr>
                        <m:begChr m:val="["/>
                        <m:endChr m:val="]"/>
                      </m:dPr>
                      <m:e>
                        <m:box>
                          <m:e>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h</m:t>
                            </m:r>
                            <m:r>
                              <m:rPr>
                                <m:sty m:val="p"/>
                              </m:rPr>
                              <w:rPr>
                                <w:rFonts w:ascii="Cambria Math" w:hAnsi="Cambria Math"/>
                                <w:sz w:val="22"/>
                              </w:rPr>
                              <m:t>|</m:t>
                            </m:r>
                            <m:sSup>
                              <m:e>
                                <m:r>
                                  <m:rPr>
                                    <m:sty m:val="p"/>
                                  </m:rPr>
                                  <w:rPr>
                                    <w:rFonts w:ascii="Cambria Math" w:hAnsi="Cambria Math"/>
                                    <w:sz w:val="22"/>
                                  </w:rPr>
                                  <m:t>)</m:t>
                                </m:r>
                              </m:e>
                              <m:sup>
                                <m:r>
                                  <m:rPr>
                                    <m:sty m:val="i"/>
                                  </m:rPr>
                                  <w:rPr>
                                    <w:rFonts w:ascii="Cambria Math" w:hAnsi="Cambria Math"/>
                                    <w:sz w:val="22"/>
                                  </w:rPr>
                                  <m:t>n</m:t>
                                </m:r>
                              </m:sup>
                            </m:sSup>
                          </m:e>
                        </m:box>
                      </m:e>
                    </m:d>
                  </m:e>
                </m:box>
              </m:e>
              <m:sup>
                <m:box>
                  <m:e>
                    <m:r>
                      <m:rPr>
                        <m:sty m:val="p"/>
                      </m:rPr>
                      <w:rPr>
                        <w:rFonts w:ascii="Cambria Math" w:hAnsi="Cambria Math"/>
                        <w:sz w:val="22"/>
                      </w:rPr>
                      <m:t>−</m:t>
                    </m:r>
                    <m:r>
                      <m:rPr>
                        <m:sty m:val="i"/>
                      </m:rPr>
                      <w:rPr>
                        <w:rFonts w:ascii="Cambria Math" w:hAnsi="Cambria Math"/>
                        <w:sz w:val="22"/>
                      </w:rPr>
                      <m:t>m</m:t>
                    </m:r>
                  </m:e>
                </m:box>
              </m:sup>
            </m:sSup>
          </m:e>
        </m:box>
      </m:oMath>
      <w:r>
        <w:t xml:space="preserve"> </w:t>
      </w:r>
      <w:r>
        <w:fldChar w:fldCharType="begin"/>
      </w:r>
      <w:r>
        <w:instrText xml:space="preserve"> ADDIN ZOTERO_ITEM CSL_CITATION {"citationID":"21f2a16a962141f0","properties":{"formattedCitation":"(van Genuchten, 1980)","plainCitation":"(van Genuchten, 1980)","noteIndex":0},"citationItems":[{"id":"vangenuchten1980","itemData":{"id":"vangenuchten1980","type":"article-journal","title":"A Closed‐form Equation for Predicting the Hydraulic Conductivity of Unsaturated Soils","author":[{"given":"M. Th.","family":"van Genuchten"}],"issued":{"date-parts":[[1980,9]]},"container-title":"Soil Science Society of America Journal","volume":"44","issue":"5","page":"892-898","DOI":"10.2136/sssaj1980.03615995004400050002x","URL":"https://doi.org/10.2136/sssaj1980.03615995004400050002x"}}],"schema":"https://github.com/citation-style-language/schema/raw/master/csl-citation.json"} </w:instrText>
      </w:r>
      <w:r>
        <w:fldChar w:fldCharType="separate"/>
      </w:r>
      <w:r>
        <w:t>(van Genuchten, 1980)</w:t>
      </w:r>
      <w:r>
        <w:fldChar w:fldCharType="end"/>
      </w:r>
      <w:r>
        <w:t xml:space="preserve">, and conductivity is </w:t>
      </w:r>
      <m:oMath>
        <m:box>
          <m:e>
            <m:r>
              <m:rPr>
                <m:sty m:val="i"/>
              </m:rPr>
              <w:rPr>
                <w:rFonts w:ascii="Cambria Math" w:hAnsi="Cambria Math"/>
                <w:sz w:val="22"/>
              </w:rPr>
              <m:t>K</m:t>
            </m:r>
            <m:r>
              <m:rPr>
                <m:sty m:val="p"/>
              </m:rPr>
              <w:rPr>
                <w:rFonts w:ascii="Cambria Math" w:hAnsi="Cambria Math"/>
                <w:sz w:val="22"/>
              </w:rPr>
              <m:t>=</m:t>
            </m:r>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e>
                </m:box>
              </m:sub>
            </m:sSub>
            <m:sSubSup>
              <m:e>
                <m:r>
                  <m:rPr>
                    <m:sty m:val="i"/>
                  </m:rPr>
                  <w:rPr>
                    <w:rFonts w:ascii="Cambria Math" w:hAnsi="Cambria Math"/>
                    <w:sz w:val="22"/>
                  </w:rPr>
                  <m:t>S</m:t>
                </m:r>
              </m:e>
              <m:sub>
                <m:r>
                  <m:rPr>
                    <m:sty m:val="i"/>
                  </m:rPr>
                  <w:rPr>
                    <w:rFonts w:ascii="Cambria Math" w:hAnsi="Cambria Math"/>
                    <w:sz w:val="22"/>
                  </w:rPr>
                  <m:t>e</m:t>
                </m:r>
              </m:sub>
              <m:sup>
                <m:box>
                  <m:e>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2</m:t>
                    </m:r>
                  </m:e>
                </m:box>
              </m:sup>
            </m:sSubSup>
            <m:sSup>
              <m:e>
                <m:box>
                  <m:e>
                    <m:d>
                      <m:dPr>
                        <m:begChr m:val="["/>
                        <m:endChr m:val="]"/>
                      </m:dPr>
                      <m:e>
                        <m:box>
                          <m:e>
                            <m:r>
                              <m:rPr>
                                <m:sty m:val="p"/>
                              </m:rPr>
                              <w:rPr>
                                <w:rFonts w:ascii="Cambria Math" w:hAnsi="Cambria Math"/>
                                <w:sz w:val="22"/>
                              </w:rPr>
                              <m:t>1</m:t>
                            </m:r>
                            <m:r>
                              <m:rPr>
                                <m:sty m:val="p"/>
                              </m:rPr>
                              <w:rPr>
                                <w:rFonts w:ascii="Cambria Math" w:hAnsi="Cambria Math"/>
                                <w:sz w:val="22"/>
                              </w:rPr>
                              <m:t>−</m:t>
                            </m:r>
                            <m:sSup>
                              <m:e>
                                <m:box>
                                  <m:e>
                                    <m:d>
                                      <m:dPr>
                                        <m:begChr m:val="("/>
                                        <m:endChr m:val=")"/>
                                      </m:dPr>
                                      <m:e>
                                        <m:box>
                                          <m:e>
                                            <m:r>
                                              <m:rPr>
                                                <m:sty m:val="p"/>
                                              </m:rPr>
                                              <w:rPr>
                                                <w:rFonts w:ascii="Cambria Math" w:hAnsi="Cambria Math"/>
                                                <w:sz w:val="22"/>
                                              </w:rPr>
                                              <m:t>1</m:t>
                                            </m:r>
                                            <m:r>
                                              <m:rPr>
                                                <m:sty m:val="p"/>
                                              </m:rPr>
                                              <w:rPr>
                                                <w:rFonts w:ascii="Cambria Math" w:hAnsi="Cambria Math"/>
                                                <w:sz w:val="22"/>
                                              </w:rPr>
                                              <m:t>−</m:t>
                                            </m:r>
                                            <m:sSubSup>
                                              <m:e>
                                                <m:r>
                                                  <m:rPr>
                                                    <m:sty m:val="i"/>
                                                  </m:rPr>
                                                  <w:rPr>
                                                    <w:rFonts w:ascii="Cambria Math" w:hAnsi="Cambria Math"/>
                                                    <w:sz w:val="22"/>
                                                  </w:rPr>
                                                  <m:t>S</m:t>
                                                </m:r>
                                              </m:e>
                                              <m:sub>
                                                <m:r>
                                                  <m:rPr>
                                                    <m:sty m:val="i"/>
                                                  </m:rPr>
                                                  <w:rPr>
                                                    <w:rFonts w:ascii="Cambria Math" w:hAnsi="Cambria Math"/>
                                                    <w:sz w:val="22"/>
                                                  </w:rPr>
                                                  <m:t>e</m:t>
                                                </m:r>
                                              </m:sub>
                                              <m:sup>
                                                <m:box>
                                                  <m:e>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m</m:t>
                                                    </m:r>
                                                  </m:e>
                                                </m:box>
                                              </m:sup>
                                            </m:sSubSup>
                                          </m:e>
                                        </m:box>
                                      </m:e>
                                    </m:d>
                                  </m:e>
                                </m:box>
                              </m:e>
                              <m:sup>
                                <m:r>
                                  <m:rPr>
                                    <m:sty m:val="i"/>
                                  </m:rPr>
                                  <w:rPr>
                                    <w:rFonts w:ascii="Cambria Math" w:hAnsi="Cambria Math"/>
                                    <w:sz w:val="22"/>
                                  </w:rPr>
                                  <m:t>m</m:t>
                                </m:r>
                              </m:sup>
                            </m:sSup>
                          </m:e>
                        </m:box>
                      </m:e>
                    </m:d>
                  </m:e>
                </m:box>
              </m:e>
              <m:sup>
                <m:r>
                  <m:rPr>
                    <m:sty m:val="p"/>
                  </m:rPr>
                  <w:rPr>
                    <w:rFonts w:ascii="Cambria Math" w:hAnsi="Cambria Math"/>
                    <w:sz w:val="22"/>
                  </w:rPr>
                  <m:t>2</m:t>
                </m:r>
              </m:sup>
            </m:sSup>
          </m:e>
        </m:box>
      </m:oMath>
      <w:r>
        <w:t xml:space="preserve"> </w:t>
      </w:r>
      <w:r>
        <w:fldChar w:fldCharType="begin"/>
      </w:r>
      <w:r>
        <w:instrText xml:space="preserve"> ADDIN ZOTERO_ITEM CSL_CITATION {"citationID":"9bf02d8c96ac3841","properties":{"formattedCitation":"(Mualem, 1976; van Genuchten, 1980)","plainCitation":"(Mualem, 1976; van Genuchten, 1980)","noteIndex":0},"citationItems":[{"id":"mualem1976","itemData":{"id":"mualem1976","type":"article-journal","title":"A new model for predicting the hydraulic conductivity of unsaturated porous media","author":[{"given":"Yechezkel","family":"Mualem"}],"issued":{"date-parts":[[1976,6]]},"container-title":"Water Resources Research","volume":"12","issue":"3","page":"513-522","DOI":"10.1029/wr012i003p00513","URL":"https://doi.org/10.1029/wr012i003p00513"}},{"id":"vangenuchten1980","itemData":{"id":"vangenuchten1980","type":"article-journal","title":"A Closed‐form Equation for Predicting the Hydraulic Conductivity of Unsaturated Soils","author":[{"given":"M. Th.","family":"van Genuchten"}],"issued":{"date-parts":[[1980,9]]},"container-title":"Soil Science Society of America Journal","volume":"44","issue":"5","page":"892-898","DOI":"10.2136/sssaj1980.03615995004400050002x","URL":"https://doi.org/10.2136/sssaj1980.03615995004400050002x"}}],"schema":"https://github.com/citation-style-language/schema/raw/master/csl-citation.json"} </w:instrText>
      </w:r>
      <w:r>
        <w:fldChar w:fldCharType="separate"/>
      </w:r>
      <w:r>
        <w:t>(Mualem, 1976; van Genuchten, 1980)</w:t>
      </w:r>
      <w:r>
        <w:fldChar w:fldCharType="end"/>
      </w:r>
      <w:r>
        <w:t xml:space="preserve">. Adjacent half-layer saturated resistances define </w:t>
      </w:r>
      <m:oMath>
        <m:box>
          <m:e>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r>
                          <m:rPr>
                            <m:sty m:val="p"/>
                          </m:rPr>
                          <w:rPr>
                            <w:rFonts w:ascii="Cambria Math" w:hAnsi="Cambria Math"/>
                            <w:sz w:val="22"/>
                          </w:rPr>
                          <m:t>,</m:t>
                        </m:r>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r>
              <m:rPr>
                <m:sty m:val="p"/>
              </m:rPr>
              <w:rPr>
                <w:rFonts w:ascii="Cambria Math" w:hAnsi="Cambria Math"/>
                <w:sz w:val="22"/>
              </w:rPr>
              <m:t>=</m:t>
            </m:r>
            <m:f>
              <m:num>
                <m:box>
                  <m:e>
                    <m:r>
                      <m:rPr>
                        <m:sty m:val="i"/>
                      </m:rPr>
                      <w:rPr>
                        <w:rFonts w:ascii="Cambria Math" w:hAnsi="Cambria Math"/>
                        <w:sz w:val="22"/>
                      </w:rPr>
                      <m:t>d</m:t>
                    </m:r>
                  </m:e>
                </m:box>
              </m:num>
              <m:den>
                <m:box>
                  <m:e>
                    <m:f>
                      <m:num>
                        <m:box>
                          <m:e>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e>
                        </m:box>
                      </m:num>
                      <m:den>
                        <m:box>
                          <m:e>
                            <m:r>
                              <m:rPr>
                                <m:sty m:val="p"/>
                              </m:rPr>
                              <w:rPr>
                                <w:rFonts w:ascii="Cambria Math" w:hAnsi="Cambria Math"/>
                                <w:sz w:val="22"/>
                              </w:rPr>
                              <m:t>2</m:t>
                            </m:r>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r>
                                      <m:rPr>
                                        <m:sty m:val="p"/>
                                      </m:rPr>
                                      <w:rPr>
                                        <w:rFonts w:ascii="Cambria Math" w:hAnsi="Cambria Math"/>
                                        <w:sz w:val="22"/>
                                      </w:rPr>
                                      <m:t>,</m:t>
                                    </m:r>
                                    <m:r>
                                      <m:rPr>
                                        <m:sty m:val="i"/>
                                      </m:rPr>
                                      <w:rPr>
                                        <w:rFonts w:ascii="Cambria Math" w:hAnsi="Cambria Math"/>
                                        <w:sz w:val="22"/>
                                      </w:rPr>
                                      <m:t>i</m:t>
                                    </m:r>
                                  </m:e>
                                </m:box>
                              </m:sub>
                            </m:sSub>
                          </m:e>
                        </m:box>
                      </m:den>
                    </m:f>
                    <m:r>
                      <m:rPr>
                        <m:sty m:val="p"/>
                      </m:rPr>
                      <w:rPr>
                        <w:rFonts w:ascii="Cambria Math" w:hAnsi="Cambria Math"/>
                        <w:sz w:val="22"/>
                      </w:rPr>
                      <m:t>+</m:t>
                    </m:r>
                    <m:f>
                      <m:num>
                        <m:box>
                          <m:e>
                            <m:r>
                              <m:rPr>
                                <m:sty m:val="i"/>
                              </m:rPr>
                              <w:rPr>
                                <w:rFonts w:ascii="Cambria Math" w:hAnsi="Cambria Math"/>
                                <w:sz w:val="22"/>
                              </w:rPr>
                              <m:t>Δ</m:t>
                            </m:r>
                            <m:sSub>
                              <m:e>
                                <m:r>
                                  <m:rPr>
                                    <m:sty m:val="i"/>
                                  </m:rPr>
                                  <w:rPr>
                                    <w:rFonts w:ascii="Cambria Math" w:hAnsi="Cambria Math"/>
                                    <w:sz w:val="22"/>
                                  </w:rPr>
                                  <m:t>z</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num>
                      <m:den>
                        <m:box>
                          <m:e>
                            <m:r>
                              <m:rPr>
                                <m:sty m:val="p"/>
                              </m:rPr>
                              <w:rPr>
                                <w:rFonts w:ascii="Cambria Math" w:hAnsi="Cambria Math"/>
                                <w:sz w:val="22"/>
                              </w:rPr>
                              <m:t>2</m:t>
                            </m:r>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r>
                                      <m:rPr>
                                        <m:sty m:val="p"/>
                                      </m:rPr>
                                      <w:rPr>
                                        <w:rFonts w:ascii="Cambria Math" w:hAnsi="Cambria Math"/>
                                        <w:sz w:val="22"/>
                                      </w:rPr>
                                      <m:t>,</m:t>
                                    </m:r>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den>
                    </m:f>
                  </m:e>
                </m:box>
              </m:den>
            </m:f>
          </m:e>
        </m:box>
      </m:oMath>
      <w:r>
        <w:t xml:space="preserve">, where </w:t>
      </w:r>
      <m:oMath>
        <m:box>
          <m:e>
            <m:r>
              <m:rPr>
                <m:sty m:val="i"/>
              </m:rPr>
              <w:rPr>
                <w:rFonts w:ascii="Cambria Math" w:hAnsi="Cambria Math"/>
                <w:sz w:val="22"/>
              </w:rPr>
              <m:t>d</m:t>
            </m:r>
            <m:r>
              <m:rPr>
                <m:sty m:val="p"/>
              </m:rPr>
              <w:rPr>
                <w:rFonts w:ascii="Cambria Math" w:hAnsi="Cambria Math"/>
                <w:sz w:val="22"/>
              </w:rPr>
              <m:t>=</m:t>
            </m:r>
            <m:f>
              <m:num>
                <m:box>
                  <m:e>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num>
              <m:den>
                <m:box>
                  <m:e>
                    <m:r>
                      <m:rPr>
                        <m:sty m:val="p"/>
                      </m:rPr>
                      <w:rPr>
                        <w:rFonts w:ascii="Cambria Math" w:hAnsi="Cambria Math"/>
                        <w:sz w:val="22"/>
                      </w:rPr>
                      <m:t>2</m:t>
                    </m:r>
                  </m:e>
                </m:box>
              </m:den>
            </m:f>
          </m:e>
        </m:box>
      </m:oMath>
      <w:r>
        <w:t xml:space="preserve">. Relative-arithmetic face mobility is </w:t>
      </w:r>
      <m:oMath>
        <m:box>
          <m:e>
            <m:sSub>
              <m:e>
                <m:r>
                  <m:rPr>
                    <m:sty m:val="i"/>
                  </m:rPr>
                  <w:rPr>
                    <w:rFonts w:ascii="Cambria Math" w:hAnsi="Cambria Math"/>
                    <w:sz w:val="22"/>
                  </w:rPr>
                  <m:t>r</m:t>
                </m:r>
              </m:e>
              <m:sub>
                <m:box>
                  <m:e>
                    <m:box>
                      <m:e>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r>
              <m:rPr>
                <m:sty m:val="p"/>
              </m:rPr>
              <w:rPr>
                <w:rFonts w:ascii="Cambria Math" w:hAnsi="Cambria Math"/>
                <w:sz w:val="22"/>
              </w:rPr>
              <m:t>=</m:t>
            </m:r>
            <m:f>
              <m:num>
                <m:box>
                  <m:e>
                    <m:r>
                      <m:rPr>
                        <m:sty m:val="i"/>
                      </m:rPr>
                      <w:rPr>
                        <w:rFonts w:ascii="Cambria Math" w:hAnsi="Cambria Math"/>
                        <w:sz w:val="22"/>
                      </w:rPr>
                      <m:t>Δ</m:t>
                    </m:r>
                    <m:sSub>
                      <m:e>
                        <m:r>
                          <m:rPr>
                            <m:sty m:val="i"/>
                          </m:rPr>
                          <w:rPr>
                            <w:rFonts w:ascii="Cambria Math" w:hAnsi="Cambria Math"/>
                            <w:sz w:val="22"/>
                          </w:rPr>
                          <m:t>z</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sSub>
                      <m:e>
                        <m:r>
                          <m:rPr>
                            <m:sty m:val="i"/>
                          </m:rPr>
                          <w:rPr>
                            <w:rFonts w:ascii="Cambria Math" w:hAnsi="Cambria Math"/>
                            <w:sz w:val="22"/>
                          </w:rPr>
                          <m:t>r</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sSub>
                      <m:e>
                        <m:r>
                          <m:rPr>
                            <m:sty m:val="i"/>
                          </m:rPr>
                          <w:rPr>
                            <w:rFonts w:ascii="Cambria Math" w:hAnsi="Cambria Math"/>
                            <w:sz w:val="22"/>
                          </w:rPr>
                          <m:t>r</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num>
              <m:den>
                <m:box>
                  <m:e>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den>
            </m:f>
          </m:e>
        </m:box>
      </m:oMath>
      <w:r>
        <w:t xml:space="preserve">, with </w:t>
      </w:r>
      <m:oMath>
        <m:box>
          <m:e>
            <m:sSub>
              <m:e>
                <m:r>
                  <m:rPr>
                    <m:sty m:val="i"/>
                  </m:rPr>
                  <w:rPr>
                    <w:rFonts w:ascii="Cambria Math" w:hAnsi="Cambria Math"/>
                    <w:sz w:val="22"/>
                  </w:rPr>
                  <m:t>r</m:t>
                </m:r>
              </m:e>
              <m:sub>
                <m:r>
                  <m:rPr>
                    <m:sty m:val="i"/>
                  </m:rPr>
                  <w:rPr>
                    <w:rFonts w:ascii="Cambria Math" w:hAnsi="Cambria Math"/>
                    <w:sz w:val="22"/>
                  </w:rPr>
                  <m:t>i</m:t>
                </m:r>
              </m:sub>
            </m:sSub>
            <m:r>
              <m:rPr>
                <m:sty m:val="p"/>
              </m:rPr>
              <w:rPr>
                <w:rFonts w:ascii="Cambria Math" w:hAnsi="Cambria Math"/>
                <w:sz w:val="22"/>
              </w:rPr>
              <m:t>=</m:t>
            </m:r>
            <m:f>
              <m:num>
                <m:box>
                  <m:e>
                    <m:sSub>
                      <m:e>
                        <m:r>
                          <m:rPr>
                            <m:sty m:val="i"/>
                          </m:rPr>
                          <w:rPr>
                            <w:rFonts w:ascii="Cambria Math" w:hAnsi="Cambria Math"/>
                            <w:sz w:val="22"/>
                          </w:rPr>
                          <m:t>K</m:t>
                        </m:r>
                      </m:e>
                      <m:sub>
                        <m:r>
                          <m:rPr>
                            <m:sty m:val="i"/>
                          </m:rPr>
                          <w:rPr>
                            <w:rFonts w:ascii="Cambria Math" w:hAnsi="Cambria Math"/>
                            <w:sz w:val="22"/>
                          </w:rPr>
                          <m:t>i</m:t>
                        </m:r>
                      </m:sub>
                    </m:sSub>
                  </m:e>
                </m:box>
              </m:num>
              <m:den>
                <m:box>
                  <m:e>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r>
                              <m:rPr>
                                <m:sty m:val="p"/>
                              </m:rPr>
                              <w:rPr>
                                <w:rFonts w:ascii="Cambria Math" w:hAnsi="Cambria Math"/>
                                <w:sz w:val="22"/>
                              </w:rPr>
                              <m:t>,</m:t>
                            </m:r>
                            <m:r>
                              <m:rPr>
                                <m:sty m:val="i"/>
                              </m:rPr>
                              <w:rPr>
                                <w:rFonts w:ascii="Cambria Math" w:hAnsi="Cambria Math"/>
                                <w:sz w:val="22"/>
                              </w:rPr>
                              <m:t>i</m:t>
                            </m:r>
                          </m:e>
                        </m:box>
                      </m:sub>
                    </m:sSub>
                  </m:e>
                </m:box>
              </m:den>
            </m:f>
          </m:e>
        </m:box>
      </m:oMath>
      <w:r>
        <w:t xml:space="preserve">. Thus </w:t>
      </w:r>
      <m:oMath>
        <m:box>
          <m:e>
            <m:sSub>
              <m:e>
                <m:r>
                  <m:rPr>
                    <m:sty m:val="i"/>
                  </m:rPr>
                  <w:rPr>
                    <w:rFonts w:ascii="Cambria Math" w:hAnsi="Cambria Math"/>
                    <w:sz w:val="22"/>
                  </w:rPr>
                  <m:t>K</m:t>
                </m:r>
              </m:e>
              <m:sub>
                <m:box>
                  <m:e>
                    <m:box>
                      <m:e>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r>
              <m:rPr>
                <m:sty m:val="p"/>
              </m:rPr>
              <w:rPr>
                <w:rFonts w:ascii="Cambria Math" w:hAnsi="Cambria Math"/>
                <w:sz w:val="22"/>
              </w:rPr>
              <m:t>=</m:t>
            </m:r>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r>
                          <m:rPr>
                            <m:sty m:val="p"/>
                          </m:rPr>
                          <w:rPr>
                            <w:rFonts w:ascii="Cambria Math" w:hAnsi="Cambria Math"/>
                            <w:sz w:val="22"/>
                          </w:rPr>
                          <m:t>,</m:t>
                        </m:r>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sSub>
              <m:e>
                <m:r>
                  <m:rPr>
                    <m:sty m:val="i"/>
                  </m:rPr>
                  <w:rPr>
                    <w:rFonts w:ascii="Cambria Math" w:hAnsi="Cambria Math"/>
                    <w:sz w:val="22"/>
                  </w:rPr>
                  <m:t>r</m:t>
                </m:r>
              </m:e>
              <m:sub>
                <m:box>
                  <m:e>
                    <m:box>
                      <m:e>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e>
        </m:box>
      </m:oMath>
      <w:r>
        <w:t>. This interface approximation permits a wet layer to supply a dry neighbor while retaining the resistance of low-conductivity material.</w:t>
      </w:r>
    </w:p>
    <w:p>
      <w:pPr>
        <w:spacing w:line="480" w:lineRule="auto"/>
      </w:pPr>
      <w:r>
        <w:t xml:space="preserve">Signed interface flux is </w:t>
      </w:r>
      <m:oMath>
        <m:box>
          <m:e>
            <m:sSub>
              <m:e>
                <m:r>
                  <m:rPr>
                    <m:sty m:val="i"/>
                  </m:rPr>
                  <w:rPr>
                    <w:rFonts w:ascii="Cambria Math" w:hAnsi="Cambria Math"/>
                    <w:sz w:val="22"/>
                  </w:rPr>
                  <m:t>q</m:t>
                </m:r>
              </m:e>
              <m:sub>
                <m:r>
                  <m:rPr>
                    <m:sty m:val="i"/>
                  </m:rPr>
                  <w:rPr>
                    <w:rFonts w:ascii="Cambria Math" w:hAnsi="Cambria Math"/>
                    <w:sz w:val="22"/>
                  </w:rPr>
                  <m:t>i</m:t>
                </m:r>
              </m:sub>
            </m:sSub>
            <m:r>
              <m:rPr>
                <m:sty m:val="p"/>
              </m:rPr>
              <w:rPr>
                <w:rFonts w:ascii="Cambria Math" w:hAnsi="Cambria Math"/>
                <w:sz w:val="22"/>
              </w:rPr>
              <m:t>=</m:t>
            </m:r>
            <m:sSub>
              <m:e>
                <m:r>
                  <m:rPr>
                    <m:sty m:val="i"/>
                  </m:rPr>
                  <w:rPr>
                    <w:rFonts w:ascii="Cambria Math" w:hAnsi="Cambria Math"/>
                    <w:sz w:val="22"/>
                  </w:rPr>
                  <m:t>K</m:t>
                </m:r>
              </m:e>
              <m:sub>
                <m:box>
                  <m:e>
                    <m:box>
                      <m:e>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box>
              <m:e>
                <m:d>
                  <m:dPr>
                    <m:begChr m:val="["/>
                    <m:endChr m:val="]"/>
                  </m:dPr>
                  <m:e>
                    <m:box>
                      <m:e>
                        <m:r>
                          <m:rPr>
                            <m:sty m:val="p"/>
                          </m:rPr>
                          <w:rPr>
                            <w:rFonts w:ascii="Cambria Math" w:hAnsi="Cambria Math"/>
                            <w:sz w:val="22"/>
                          </w:rPr>
                          <m:t>1</m:t>
                        </m:r>
                        <m:r>
                          <m:rPr>
                            <m:sty m:val="p"/>
                          </m:rPr>
                          <w:rPr>
                            <w:rFonts w:ascii="Cambria Math" w:hAnsi="Cambria Math"/>
                            <w:sz w:val="22"/>
                          </w:rPr>
                          <m:t>+</m:t>
                        </m:r>
                        <m:f>
                          <m:num>
                            <m:box>
                              <m:e>
                                <m:sSub>
                                  <m:e>
                                    <m:r>
                                      <m:rPr>
                                        <m:sty m:val="i"/>
                                      </m:rPr>
                                      <w:rPr>
                                        <w:rFonts w:ascii="Cambria Math" w:hAnsi="Cambria Math"/>
                                        <w:sz w:val="22"/>
                                      </w:rPr>
                                      <m:t>h</m:t>
                                    </m:r>
                                  </m:e>
                                  <m:sub>
                                    <m:r>
                                      <m:rPr>
                                        <m:sty m:val="i"/>
                                      </m:rPr>
                                      <w:rPr>
                                        <w:rFonts w:ascii="Cambria Math" w:hAnsi="Cambria Math"/>
                                        <w:sz w:val="22"/>
                                      </w:rPr>
                                      <m:t>i</m:t>
                                    </m:r>
                                  </m:sub>
                                </m:sSub>
                                <m:r>
                                  <m:rPr>
                                    <m:sty m:val="p"/>
                                  </m:rPr>
                                  <w:rPr>
                                    <w:rFonts w:ascii="Cambria Math" w:hAnsi="Cambria Math"/>
                                    <w:sz w:val="22"/>
                                  </w:rPr>
                                  <m:t>−</m:t>
                                </m:r>
                                <m:sSub>
                                  <m:e>
                                    <m:r>
                                      <m:rPr>
                                        <m:sty m:val="i"/>
                                      </m:rPr>
                                      <w:rPr>
                                        <w:rFonts w:ascii="Cambria Math" w:hAnsi="Cambria Math"/>
                                        <w:sz w:val="22"/>
                                      </w:rPr>
                                      <m:t>h</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num>
                          <m:den>
                            <m:box>
                              <m:e>
                                <m:r>
                                  <m:rPr>
                                    <m:sty m:val="i"/>
                                  </m:rPr>
                                  <w:rPr>
                                    <w:rFonts w:ascii="Cambria Math" w:hAnsi="Cambria Math"/>
                                    <w:sz w:val="22"/>
                                  </w:rPr>
                                  <m:t>d</m:t>
                                </m:r>
                              </m:e>
                            </m:box>
                          </m:den>
                        </m:f>
                      </m:e>
                    </m:box>
                  </m:e>
                </m:d>
              </m:e>
            </m:box>
          </m:e>
        </m:box>
      </m:oMath>
      <w:r>
        <w:t>, positive downward. Transfers have equal and opposite contributions in neighboring layer balances and are bounded by donor storage and receiving pore capacity. Twenty-four outer steps partition daily forcing, evaporation and uptake; adaptive internal transport steps limit net θ increments to 0.005. The free-drainage bottom flux equals the current unsaturated conductivity under unit hydraulic gradient. Upward redistribution is an internal profile flux, with no external capillary-rise supply. This bounded explicit layered approximation does not resolve the full implicit Richards system or saturated positive pressure.</w:t>
      </w:r>
    </w:p>
    <w:p>
      <w:pPr>
        <w:spacing w:line="480" w:lineRule="auto"/>
      </w:pPr>
      <w:r>
        <w:t xml:space="preserve">For a field of profile storage S, the accounting identity is </w:t>
      </w:r>
      <m:oMath>
        <m:box>
          <m:e>
            <m:r>
              <m:rPr>
                <m:sty m:val="i"/>
              </m:rPr>
              <w:rPr>
                <w:rFonts w:ascii="Cambria Math" w:hAnsi="Cambria Math"/>
                <w:sz w:val="22"/>
              </w:rPr>
              <m:t>Δ</m:t>
            </m:r>
            <m:r>
              <m:rPr>
                <m:sty m:val="i"/>
              </m:rPr>
              <w:rPr>
                <w:rFonts w:ascii="Cambria Math" w:hAnsi="Cambria Math"/>
                <w:sz w:val="22"/>
              </w:rPr>
              <m:t>S</m:t>
            </m:r>
            <m:r>
              <m:rPr>
                <m:sty m:val="p"/>
              </m:rPr>
              <w:rPr>
                <w:rFonts w:ascii="Cambria Math" w:hAnsi="Cambria Math"/>
                <w:sz w:val="22"/>
              </w:rPr>
              <m:t>=</m:t>
            </m:r>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I</m:t>
            </m:r>
            <m:r>
              <m:rPr>
                <m:sty m:val="p"/>
              </m:rPr>
              <w:rPr>
                <w:rFonts w:ascii="Cambria Math" w:hAnsi="Cambria Math"/>
                <w:sz w:val="22"/>
              </w:rPr>
              <m:t>−</m:t>
            </m:r>
            <m:sSub>
              <m:e>
                <m:box>
                  <m:e>
                    <m:r>
                      <m:rPr>
                        <m:sty m:val="p"/>
                      </m:rPr>
                      <w:rPr>
                        <w:rFonts w:ascii="Cambria Math" w:hAnsi="Cambria Math"/>
                        <w:sz w:val="22"/>
                      </w:rPr>
                      <m:t>E</m:t>
                    </m:r>
                    <m:r>
                      <m:rPr>
                        <m:sty m:val="p"/>
                      </m:rPr>
                      <w:rPr>
                        <w:rFonts w:ascii="Cambria Math" w:hAnsi="Cambria Math"/>
                        <w:sz w:val="22"/>
                      </w:rPr>
                      <m:t>T</m:t>
                    </m:r>
                  </m:e>
                </m:box>
              </m:e>
              <m:sub>
                <m:r>
                  <m:rPr>
                    <m:sty m:val="i"/>
                  </m:rPr>
                  <w:rPr>
                    <w:rFonts w:ascii="Cambria Math" w:hAnsi="Cambria Math"/>
                    <w:sz w:val="22"/>
                  </w:rPr>
                  <m:t>a</m:t>
                </m:r>
              </m:sub>
            </m:sSub>
            <m:r>
              <m:rPr>
                <m:sty m:val="p"/>
              </m:rPr>
              <w:rPr>
                <w:rFonts w:ascii="Cambria Math" w:hAnsi="Cambria Math"/>
                <w:sz w:val="22"/>
              </w:rPr>
              <m:t>−</m:t>
            </m:r>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Q</m:t>
            </m:r>
          </m:e>
        </m:box>
      </m:oMath>
      <w:r>
        <w:t xml:space="preserve">. Applied irrigation I is a field-boundary input. Flood-irrigation scenarios wet the entire field, with application, drift and conveyance losses set to zero at that boundary. Drainage D leaves the modeled profile and is distinct from water reaching an aquifer after deeper vadose-zone transport </w:t>
      </w:r>
      <w:r>
        <w:fldChar w:fldCharType="begin"/>
      </w:r>
      <w:r>
        <w:instrText xml:space="preserve"> ADDIN ZOTERO_ITEM CSL_CITATION {"citationID":"2616e53776000b7a","properties":{"formattedCitation":"(Wu et al., 2023)","plainCitation":"(Wu et al., 2023)","noteIndex":0},"citationItems":[{"id":"wu2023_vadose_zone","itemData":{"id":"wu2023_vadose_zone","type":"article-journal","title":"Monitoring of Thick Vadose Zone Water Dynamics Under Irrigation Using a 48 m Deep Caisson at the Luancheng Critical Zone Observatory","author":[{"family":"Wu","given":"Lin"},{"family":"Min","given":"Leilei"},{"family":"Liu","given":"Meiying"},{"family":"Zhang","given":"Yucui"},{"family":"Pei","given":"Hongwei"},{"family":"Li","given":"Hongjun"},{"family":"Zhang","given":"Guanglu"},{"family":"Wang","given":"Shiqin"},{"family":"Shen","given":"Yanjun"}],"issued":{"date-parts":[[2023,5]]},"container-title":"Water Resources Research","container-title-short":"Water Resour. Res.","volume":"59","DOI":"10.1029/2022wr032965","URL":"https://doi.org/10.1029/2022wr032965","accessed":{"date-parts":[[2026,10,3]]},"language":"en","publisher":"American Geophysical Union (AGU)","issue":"5","page":"e2022WR032965"}}],"schema":"https://github.com/citation-style-language/schema/raw/master/csl-citation.json"} </w:instrText>
      </w:r>
      <w:r>
        <w:fldChar w:fldCharType="separate"/>
      </w:r>
      <w:r>
        <w:t>(Wu et al., 2023)</w:t>
      </w:r>
      <w:r>
        <w:fldChar w:fldCharType="end"/>
      </w:r>
      <w:r>
        <w:t>.</w:t>
      </w:r>
    </w:p>
    <w:p>
      <w:pPr>
        <w:pStyle w:val="Heading2"/>
        <w:spacing w:line="480" w:lineRule="auto"/>
      </w:pPr>
      <w:r>
        <w:t>S2.4. Hydraulic derivation, shared crop parameters and numerical checks</w:t>
      </w:r>
    </w:p>
    <w:p>
      <w:pPr>
        <w:spacing w:line="480" w:lineRule="auto"/>
      </w:pPr>
      <w:r>
        <w:t xml:space="preserve">Saxton–Rawls equations use normalized sand and clay fractions and organic matter percent </w:t>
      </w:r>
      <w:r>
        <w:fldChar w:fldCharType="begin"/>
      </w:r>
      <w:r>
        <w:instrText xml:space="preserve"> ADDIN ZOTERO_ITEM CSL_CITATION {"citationID":"5da6ae2fef7608bd","properties":{"formattedCitation":"(Saxton and Rawls, 2006)","plainCitation":"(Saxton and Rawls, 2006)","noteIndex":0},"citationItems":[{"id":"saxton2006_hydraulics","itemData":{"id":"saxton2006_hydraulics","type":"article-journal","title":"Soil Water Characteristic Estimates by Texture and Organic Matter for Hydrologic Solutions","author":[{"family":"Saxton","given":"K. E."},{"family":"Rawls","given":"W. J."}],"container-title":"Soil Science Society of America Journal","volume":"70","issue":"5","page":"1569-1578","issued":{"date-parts":[[2006,9,1]]},"accessed":{"date-parts":[[2026,10,3]]},"DOI":"10.2136/sssaj2005.0117","URL":"https://acsess.onlinelibrary.wiley.com/doi/10.2136/sssaj2005.0117","note":"Publisher title/authors/date/volume/issue/pages and Crossref DOI metadata verified 2026-10-03. Publisher publication date2006-09-01; Crossref records2006-09. Source supports texture/organic-matter pedotransfer estimates, not verified site-specific hydraulic measurements."}}],"schema":"https://github.com/citation-style-language/schema/raw/master/csl-citation.json"} </w:instrText>
      </w:r>
      <w:r>
        <w:fldChar w:fldCharType="separate"/>
      </w:r>
      <w:r>
        <w:t>(Saxton and Rawls, 2006)</w:t>
      </w:r>
      <w:r>
        <w:fldChar w:fldCharType="end"/>
      </w:r>
      <w:r>
        <w:t xml:space="preserve">. SoilGrids carbon in dg kg⁻¹ is converted to organic matter percent by </w:t>
      </w:r>
      <m:oMath>
        <m:box>
          <m:e>
            <m:f>
              <m:num>
                <m:box>
                  <m:e>
                    <m:r>
                      <m:rPr>
                        <m:sty m:val="p"/>
                      </m:rPr>
                      <w:rPr>
                        <w:rFonts w:ascii="Cambria Math" w:hAnsi="Cambria Math"/>
                        <w:sz w:val="22"/>
                      </w:rPr>
                      <m:t>1.724</m:t>
                    </m:r>
                    <m:r>
                      <m:rPr>
                        <m:sty m:val="p"/>
                      </m:rPr>
                      <w:rPr>
                        <w:rFonts w:ascii="Cambria Math" w:hAnsi="Cambria Math"/>
                        <w:sz w:val="22"/>
                      </w:rPr>
                      <m:t>×</m:t>
                    </m:r>
                    <m:box>
                      <m:e>
                        <m:r>
                          <m:rPr>
                            <m:sty m:val="p"/>
                          </m:rPr>
                          <w:rPr>
                            <w:rFonts w:ascii="Cambria Math" w:hAnsi="Cambria Math"/>
                            <w:sz w:val="22"/>
                          </w:rPr>
                          <m:t>S</m:t>
                        </m:r>
                        <m:r>
                          <m:rPr>
                            <m:sty m:val="p"/>
                          </m:rPr>
                          <w:rPr>
                            <w:rFonts w:ascii="Cambria Math" w:hAnsi="Cambria Math"/>
                            <w:sz w:val="22"/>
                          </w:rPr>
                          <m:t>O</m:t>
                        </m:r>
                        <m:r>
                          <m:rPr>
                            <m:sty m:val="p"/>
                          </m:rPr>
                          <w:rPr>
                            <w:rFonts w:ascii="Cambria Math" w:hAnsi="Cambria Math"/>
                            <w:sz w:val="22"/>
                          </w:rPr>
                          <m:t>C</m:t>
                        </m:r>
                      </m:e>
                    </m:box>
                  </m:e>
                </m:box>
              </m:num>
              <m:den>
                <m:box>
                  <m:e>
                    <m:r>
                      <m:rPr>
                        <m:sty m:val="p"/>
                      </m:rPr>
                      <w:rPr>
                        <w:rFonts w:ascii="Cambria Math" w:hAnsi="Cambria Math"/>
                        <w:sz w:val="22"/>
                      </w:rPr>
                      <m:t>100</m:t>
                    </m:r>
                  </m:e>
                </m:box>
              </m:den>
            </m:f>
          </m:e>
        </m:box>
      </m:oMath>
      <w:r>
        <w:t xml:space="preserve">; bulk density in cg cm⁻³ is divided by 100; coarse fragments in permille are divided by 1,000 </w:t>
      </w:r>
      <w:r>
        <w:fldChar w:fldCharType="begin"/>
      </w:r>
      <w:r>
        <w:instrText xml:space="preserve"> ADDIN ZOTERO_ITEM CSL_CITATION {"citationID":"8b66121c6696cf80","properties":{"formattedCitation":"(ISRIC — World Soil Information, 2020)","plainCitation":"(ISRIC — World Soil Information, 2020)","noteIndex":0},"citationItems":[{"id":"soilgrids2020_dataset","itemData":{"id":"soilgrids2020_dataset","type":"dataset","title":"SoilGrids250m version 2.0","author":[{"literal":"ISRIC — World Soil Information"}],"issued":{"date-parts":[[2020]]},"URL":"https://docs.isric.org/globaldata/soilgrids/SoilGrids_faqs.html"}}],"schema":"https://github.com/citation-style-language/schema/raw/master/csl-citation.json"} </w:instrText>
      </w:r>
      <w:r>
        <w:fldChar w:fldCharType="separate"/>
      </w:r>
      <w:r>
        <w:t>(ISRIC — World Soil Information, 2020)</w:t>
      </w:r>
      <w:r>
        <w:fldChar w:fldCharType="end"/>
      </w:r>
      <w:r>
        <w:t xml:space="preserve">. Regional porosity uses </w:t>
      </w:r>
      <m:oMath>
        <m:box>
          <m:e>
            <m:r>
              <m:rPr>
                <m:sty m:val="p"/>
              </m:rPr>
              <w:rPr>
                <w:rFonts w:ascii="Cambria Math" w:hAnsi="Cambria Math"/>
                <w:sz w:val="22"/>
              </w:rPr>
              <m:t>1</m:t>
            </m:r>
            <m:r>
              <m:rPr>
                <m:sty m:val="p"/>
              </m:rPr>
              <w:rPr>
                <w:rFonts w:ascii="Cambria Math" w:hAnsi="Cambria Math"/>
                <w:sz w:val="22"/>
              </w:rPr>
              <m:t>−</m:t>
            </m:r>
            <m:f>
              <m:num>
                <m:box>
                  <m:e>
                    <m:box>
                      <m:e>
                        <m:r>
                          <m:rPr>
                            <m:sty m:val="p"/>
                          </m:rPr>
                          <w:rPr>
                            <w:rFonts w:ascii="Cambria Math" w:hAnsi="Cambria Math"/>
                            <w:sz w:val="22"/>
                          </w:rPr>
                          <m:t>B</m:t>
                        </m:r>
                        <m:r>
                          <m:rPr>
                            <m:sty m:val="p"/>
                          </m:rPr>
                          <w:rPr>
                            <w:rFonts w:ascii="Cambria Math" w:hAnsi="Cambria Math"/>
                            <w:sz w:val="22"/>
                          </w:rPr>
                          <m:t>D</m:t>
                        </m:r>
                      </m:e>
                    </m:box>
                  </m:e>
                </m:box>
              </m:num>
              <m:den>
                <m:box>
                  <m:e>
                    <m:r>
                      <m:rPr>
                        <m:sty m:val="p"/>
                      </m:rPr>
                      <w:rPr>
                        <w:rFonts w:ascii="Cambria Math" w:hAnsi="Cambria Math"/>
                        <w:sz w:val="22"/>
                      </w:rPr>
                      <m:t>2.65</m:t>
                    </m:r>
                  </m:e>
                </m:box>
              </m:den>
            </m:f>
          </m:e>
        </m:box>
      </m:oMath>
      <w:r>
        <w:t>, with prescribed density and gravel adjustments. Air-dry water content retains its declared prior. Field-capacity, wilting-point and saturation ordering is checked before simulation; unavailable complete profiles remain excluded under the spatial-source rule.</w:t>
      </w:r>
    </w:p>
    <w:p>
      <w:pPr>
        <w:spacing w:line="480" w:lineRule="auto"/>
      </w:pPr>
      <w:r>
        <w:t xml:space="preserve">The van Genuchten α and n values are conditional hydraulic priors reconstructed from supplied field-capacity and wilting-point endpoints at pressure heads of −3,300 and −150,000 mm, with </w:t>
      </w:r>
      <m:oMath>
        <m:box>
          <m:e>
            <m:sSub>
              <m:e>
                <m:r>
                  <m:rPr>
                    <m:sty m:val="i"/>
                  </m:rPr>
                  <w:rPr>
                    <w:rFonts w:ascii="Cambria Math" w:hAnsi="Cambria Math"/>
                    <w:sz w:val="22"/>
                  </w:rPr>
                  <m:t>θ</m:t>
                </m:r>
              </m:e>
              <m:sub>
                <m:box>
                  <m:e>
                    <m:box>
                      <m:e>
                        <m:r>
                          <m:rPr>
                            <m:sty m:val="p"/>
                          </m:rPr>
                          <w:rPr>
                            <w:rFonts w:ascii="Cambria Math" w:hAnsi="Cambria Math"/>
                            <w:sz w:val="22"/>
                          </w:rPr>
                          <m:t>A</m:t>
                        </m:r>
                        <m:r>
                          <m:rPr>
                            <m:sty m:val="p"/>
                          </m:rPr>
                          <w:rPr>
                            <w:rFonts w:ascii="Cambria Math" w:hAnsi="Cambria Math"/>
                            <w:sz w:val="22"/>
                          </w:rPr>
                          <m:t>D</m:t>
                        </m:r>
                      </m:e>
                    </m:box>
                  </m:e>
                </m:box>
              </m:sub>
            </m:sSub>
          </m:e>
        </m:box>
      </m:oMath>
      <w:r>
        <w:t xml:space="preserve"> as residual water and </w:t>
      </w:r>
      <m:oMath>
        <m:box>
          <m:e>
            <m:sSub>
              <m:e>
                <m:r>
                  <m:rPr>
                    <m:sty m:val="i"/>
                  </m:rPr>
                  <w:rPr>
                    <w:rFonts w:ascii="Cambria Math" w:hAnsi="Cambria Math"/>
                    <w:sz w:val="22"/>
                  </w:rPr>
                  <m:t>θ</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e>
                </m:box>
              </m:sub>
            </m:sSub>
          </m:e>
        </m:box>
      </m:oMath>
      <w:r>
        <w:t xml:space="preserve"> as saturated content. Endpoint reconstruction preserves those storage thresholds rather than fitting curves to crop outcomes. Neither depth-resolved Wuqiao retention measurements nor exact seasonal initial layer distributions are available. The separate Wuqiao particle-density prior is 2.75 g cm⁻³.</w:t>
      </w:r>
    </w:p>
    <w:p>
      <w:pPr>
        <w:spacing w:line="480" w:lineRule="auto"/>
      </w:pPr>
      <w:r>
        <w:t>Table S3 contains effective shared crop values after applying the frozen fit multipliers. Regional and Wuqiao inputs use identical shared cards within each crop. Maximum root depth is limited by the supplied profile depth. Stage-specific SLA and senescence, fixed grain mass and inherited growth coefficients remain distinct from the eight water coefficients fitted in the current run. Near-zero root-density decay yields approximately uniform activity over represented rooted volume; it does not identify an observed root-mass profile.</w:t>
      </w:r>
    </w:p>
    <w:p>
      <w:pPr>
        <w:spacing w:line="480" w:lineRule="auto"/>
      </w:pPr>
      <w:r>
        <w:t>The 164 selected station and field trajectories conserve daily water and aboveground carbon, with maximum absolute residuals of 1.00 × 10⁻¹² mm and 6.71 × 10⁻¹² kg ha⁻¹. Exact inputs, observation identities, frozen parameters, source snapshots and SHA-256 provenance accompany the predictions. Conservation establishes arithmetic consistency; hydraulic and crop-response accuracy depend on the conditional observations and retrospective field test.</w:t>
      </w:r>
    </w:p>
    <w:p>
      <w:pPr>
        <w:spacing w:line="480" w:lineRule="auto"/>
      </w:pPr>
      <w:r>
        <w:t>Eight existing water-response coefficients per crop are estimated from documented Wuqiao management in 2016–2018: the transpiration multiplier, soil evaporation coefficient, readily available water fraction, assimilation water-stress exponent, root-density decay, maximum rooting depth, log₁₀ daily root extraction coefficient and root compensation fraction. RUE, leaf allocation and grain-number multipliers remain fixed. Each crop contributes 12 seasonal ET, 12 dry-grain and 12 dry-biomass targets, together with three W3−W0 ET contrasts derived from the same seasonal targets. The criterion retains weights of 0.325, 0.175, 0.15 and 0.10 for those components. ET residual scales are max(50 mm, 0.15 × observed ET); grain and biomass scales are max(1,000 kg ha⁻¹, 0.20 × observed dry mass). Contrast residuals use 50 mm. Eight coefficient-prior terms have total weight 0.01, with inherited bounds, centres and scales.</w:t>
      </w:r>
    </w:p>
    <w:p>
      <w:pPr>
        <w:spacing w:line="480" w:lineRule="auto"/>
      </w:pPr>
      <w:r>
        <w:t>Bounded least squares starts from the inherited water vector, with coefficients scaled to their prescribed intervals, a 40-evaluation limit and convergence tolerances of 8 × 10⁻⁵. Reference and refitted coefficients use the identical field-only criterion; the equal-crop mean calibration data loss is 0.592580 for the reference and 0.577934 for the selected refit. Selection excludes prior penalties from this comparison and precedes 2019 testing. Station observations, daily ET and phase ET with unresolved sampling windows have zero weight in the water-parameter fit. Source observations, weather, soil priors, initialization rules and native process equations remain fixed during this refit.</w:t>
      </w:r>
    </w:p>
    <w:p>
      <w:pPr>
        <w:pStyle w:val="Caption"/>
        <w:keepNext/>
        <w:spacing w:line="480" w:lineRule="auto"/>
      </w:pPr>
      <w:r>
        <w:t>Table S3. Shared crop parameters transferred to regional simulations.</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4216"/>
        <w:gridCol w:w="2513"/>
        <w:gridCol w:w="1459"/>
        <w:gridCol w:w="1459"/>
      </w:tblGrid>
      <w:tr>
        <w:tc>
          <w:tcPr>
            <w:tcW w:type="dxa" w:w="4216"/>
            <w:tcBorders>
              <w:bottom w:val="single" w:sz="6" w:color="000000"/>
            </w:tcBorders>
          </w:tcPr>
          <w:p>
            <w:pPr>
              <w:keepNext/>
              <w:spacing w:line="480" w:lineRule="auto"/>
            </w:pPr>
            <w:r>
              <w:rPr>
                <w:b/>
                <w:sz w:val="16"/>
              </w:rPr>
              <w:t>Parameter</w:t>
            </w:r>
          </w:p>
        </w:tc>
        <w:tc>
          <w:tcPr>
            <w:tcW w:type="dxa" w:w="2513"/>
            <w:tcBorders>
              <w:bottom w:val="single" w:sz="6" w:color="000000"/>
            </w:tcBorders>
          </w:tcPr>
          <w:p>
            <w:pPr>
              <w:keepNext/>
              <w:spacing w:line="480" w:lineRule="auto"/>
            </w:pPr>
            <w:r>
              <w:rPr>
                <w:b/>
                <w:sz w:val="16"/>
              </w:rPr>
              <w:t>Unit</w:t>
            </w:r>
          </w:p>
        </w:tc>
        <w:tc>
          <w:tcPr>
            <w:tcW w:type="dxa" w:w="1459"/>
            <w:tcBorders>
              <w:bottom w:val="single" w:sz="6" w:color="000000"/>
            </w:tcBorders>
          </w:tcPr>
          <w:p>
            <w:pPr>
              <w:keepNext/>
              <w:spacing w:line="480" w:lineRule="auto"/>
            </w:pPr>
            <w:r>
              <w:rPr>
                <w:b/>
                <w:sz w:val="16"/>
              </w:rPr>
              <w:t>Wheat</w:t>
            </w:r>
          </w:p>
        </w:tc>
        <w:tc>
          <w:tcPr>
            <w:tcW w:type="dxa" w:w="1459"/>
            <w:tcBorders>
              <w:bottom w:val="single" w:sz="6" w:color="000000"/>
            </w:tcBorders>
          </w:tcPr>
          <w:p>
            <w:pPr>
              <w:keepNext/>
              <w:spacing w:line="480" w:lineRule="auto"/>
            </w:pPr>
            <w:r>
              <w:rPr>
                <w:b/>
                <w:sz w:val="16"/>
              </w:rPr>
              <w:t>Maize</w:t>
            </w:r>
          </w:p>
        </w:tc>
      </w:tr>
      <w:tr>
        <w:tc>
          <w:tcPr>
            <w:tcW w:type="dxa" w:w="4216"/>
          </w:tcPr>
          <w:p>
            <w:pPr>
              <w:keepNext/>
              <w:spacing w:line="480" w:lineRule="auto"/>
            </w:pPr>
            <w:r>
              <w:rPr>
                <w:sz w:val="16"/>
              </w:rPr>
              <w:t>Radiation-use efficiency</w:t>
            </w:r>
          </w:p>
        </w:tc>
        <w:tc>
          <w:tcPr>
            <w:tcW w:type="dxa" w:w="2513"/>
          </w:tcPr>
          <w:p>
            <w:pPr>
              <w:keepNext/>
              <w:spacing w:line="480" w:lineRule="auto"/>
            </w:pPr>
            <w:r>
              <w:rPr>
                <w:sz w:val="16"/>
              </w:rPr>
              <w:t>g MJ⁻¹ intercepted PAR</w:t>
            </w:r>
          </w:p>
        </w:tc>
        <w:tc>
          <w:tcPr>
            <w:tcW w:type="dxa" w:w="1459"/>
          </w:tcPr>
          <w:p>
            <w:pPr>
              <w:keepNext/>
              <w:spacing w:line="480" w:lineRule="auto"/>
            </w:pPr>
            <w:r>
              <w:rPr>
                <w:sz w:val="16"/>
              </w:rPr>
              <w:t>3.082080</w:t>
            </w:r>
          </w:p>
        </w:tc>
        <w:tc>
          <w:tcPr>
            <w:tcW w:type="dxa" w:w="1459"/>
          </w:tcPr>
          <w:p>
            <w:pPr>
              <w:keepNext/>
              <w:spacing w:line="480" w:lineRule="auto"/>
            </w:pPr>
            <w:r>
              <w:rPr>
                <w:sz w:val="16"/>
              </w:rPr>
              <w:t>3.379974</w:t>
            </w:r>
          </w:p>
        </w:tc>
      </w:tr>
      <w:tr>
        <w:tc>
          <w:tcPr>
            <w:tcW w:type="dxa" w:w="4216"/>
          </w:tcPr>
          <w:p>
            <w:pPr>
              <w:keepNext/>
              <w:spacing w:line="480" w:lineRule="auto"/>
            </w:pPr>
            <w:r>
              <w:rPr>
                <w:sz w:val="16"/>
              </w:rPr>
              <w:t>Specific leaf area at DVS 0</w:t>
            </w:r>
          </w:p>
        </w:tc>
        <w:tc>
          <w:tcPr>
            <w:tcW w:type="dxa" w:w="2513"/>
          </w:tcPr>
          <w:p>
            <w:pPr>
              <w:keepNext/>
              <w:spacing w:line="480" w:lineRule="auto"/>
            </w:pPr>
            <w:r>
              <w:rPr>
                <w:sz w:val="16"/>
              </w:rPr>
              <w:t>m² g⁻¹</w:t>
            </w:r>
          </w:p>
        </w:tc>
        <w:tc>
          <w:tcPr>
            <w:tcW w:type="dxa" w:w="1459"/>
          </w:tcPr>
          <w:p>
            <w:pPr>
              <w:keepNext/>
              <w:spacing w:line="480" w:lineRule="auto"/>
            </w:pPr>
            <w:r>
              <w:rPr>
                <w:sz w:val="16"/>
              </w:rPr>
              <w:t>0.028482</w:t>
            </w:r>
          </w:p>
        </w:tc>
        <w:tc>
          <w:tcPr>
            <w:tcW w:type="dxa" w:w="1459"/>
          </w:tcPr>
          <w:p>
            <w:pPr>
              <w:keepNext/>
              <w:spacing w:line="480" w:lineRule="auto"/>
            </w:pPr>
            <w:r>
              <w:rPr>
                <w:sz w:val="16"/>
              </w:rPr>
              <w:t>0.024045</w:t>
            </w:r>
          </w:p>
        </w:tc>
      </w:tr>
      <w:tr>
        <w:tc>
          <w:tcPr>
            <w:tcW w:type="dxa" w:w="4216"/>
          </w:tcPr>
          <w:p>
            <w:pPr>
              <w:keepNext/>
              <w:spacing w:line="480" w:lineRule="auto"/>
            </w:pPr>
            <w:r>
              <w:rPr>
                <w:sz w:val="16"/>
              </w:rPr>
              <w:t>Specific leaf area at DVS 0.5</w:t>
            </w:r>
          </w:p>
        </w:tc>
        <w:tc>
          <w:tcPr>
            <w:tcW w:type="dxa" w:w="2513"/>
          </w:tcPr>
          <w:p>
            <w:pPr>
              <w:keepNext/>
              <w:spacing w:line="480" w:lineRule="auto"/>
            </w:pPr>
            <w:r>
              <w:rPr>
                <w:sz w:val="16"/>
              </w:rPr>
              <w:t>m² g⁻¹</w:t>
            </w:r>
          </w:p>
        </w:tc>
        <w:tc>
          <w:tcPr>
            <w:tcW w:type="dxa" w:w="1459"/>
          </w:tcPr>
          <w:p>
            <w:pPr>
              <w:keepNext/>
              <w:spacing w:line="480" w:lineRule="auto"/>
            </w:pPr>
            <w:r>
              <w:rPr>
                <w:sz w:val="16"/>
              </w:rPr>
              <w:t>0.027578</w:t>
            </w:r>
          </w:p>
        </w:tc>
        <w:tc>
          <w:tcPr>
            <w:tcW w:type="dxa" w:w="1459"/>
          </w:tcPr>
          <w:p>
            <w:pPr>
              <w:keepNext/>
              <w:spacing w:line="480" w:lineRule="auto"/>
            </w:pPr>
            <w:r>
              <w:rPr>
                <w:sz w:val="16"/>
              </w:rPr>
              <w:t>0.029960</w:t>
            </w:r>
          </w:p>
        </w:tc>
      </w:tr>
      <w:tr>
        <w:tc>
          <w:tcPr>
            <w:tcW w:type="dxa" w:w="4216"/>
          </w:tcPr>
          <w:p>
            <w:pPr>
              <w:keepNext/>
              <w:spacing w:line="480" w:lineRule="auto"/>
            </w:pPr>
            <w:r>
              <w:rPr>
                <w:sz w:val="16"/>
              </w:rPr>
              <w:t>Specific leaf area at DVS 1</w:t>
            </w:r>
          </w:p>
        </w:tc>
        <w:tc>
          <w:tcPr>
            <w:tcW w:type="dxa" w:w="2513"/>
          </w:tcPr>
          <w:p>
            <w:pPr>
              <w:keepNext/>
              <w:spacing w:line="480" w:lineRule="auto"/>
            </w:pPr>
            <w:r>
              <w:rPr>
                <w:sz w:val="16"/>
              </w:rPr>
              <w:t>m² g⁻¹</w:t>
            </w:r>
          </w:p>
        </w:tc>
        <w:tc>
          <w:tcPr>
            <w:tcW w:type="dxa" w:w="1459"/>
          </w:tcPr>
          <w:p>
            <w:pPr>
              <w:keepNext/>
              <w:spacing w:line="480" w:lineRule="auto"/>
            </w:pPr>
            <w:r>
              <w:rPr>
                <w:sz w:val="16"/>
              </w:rPr>
              <w:t>0.023462</w:t>
            </w:r>
          </w:p>
        </w:tc>
        <w:tc>
          <w:tcPr>
            <w:tcW w:type="dxa" w:w="1459"/>
          </w:tcPr>
          <w:p>
            <w:pPr>
              <w:keepNext/>
              <w:spacing w:line="480" w:lineRule="auto"/>
            </w:pPr>
            <w:r>
              <w:rPr>
                <w:sz w:val="16"/>
              </w:rPr>
              <w:t>0.024000</w:t>
            </w:r>
          </w:p>
        </w:tc>
      </w:tr>
      <w:tr>
        <w:tc>
          <w:tcPr>
            <w:tcW w:type="dxa" w:w="4216"/>
          </w:tcPr>
          <w:p>
            <w:pPr>
              <w:keepNext/>
              <w:spacing w:line="480" w:lineRule="auto"/>
            </w:pPr>
            <w:r>
              <w:rPr>
                <w:sz w:val="16"/>
              </w:rPr>
              <w:t>Leaf senescence rate before flowering</w:t>
            </w:r>
          </w:p>
        </w:tc>
        <w:tc>
          <w:tcPr>
            <w:tcW w:type="dxa" w:w="2513"/>
          </w:tcPr>
          <w:p>
            <w:pPr>
              <w:keepNext/>
              <w:spacing w:line="480" w:lineRule="auto"/>
            </w:pPr>
            <w:r>
              <w:rPr>
                <w:sz w:val="16"/>
              </w:rPr>
              <w:t>(°C d)⁻¹</w:t>
            </w:r>
          </w:p>
        </w:tc>
        <w:tc>
          <w:tcPr>
            <w:tcW w:type="dxa" w:w="1459"/>
          </w:tcPr>
          <w:p>
            <w:pPr>
              <w:keepNext/>
              <w:spacing w:line="480" w:lineRule="auto"/>
            </w:pPr>
            <w:r>
              <w:rPr>
                <w:sz w:val="16"/>
              </w:rPr>
              <w:t>0.000536</w:t>
            </w:r>
          </w:p>
        </w:tc>
        <w:tc>
          <w:tcPr>
            <w:tcW w:type="dxa" w:w="1459"/>
          </w:tcPr>
          <w:p>
            <w:pPr>
              <w:keepNext/>
              <w:spacing w:line="480" w:lineRule="auto"/>
            </w:pPr>
            <w:r>
              <w:rPr>
                <w:sz w:val="16"/>
              </w:rPr>
              <w:t>0.000010</w:t>
            </w:r>
          </w:p>
        </w:tc>
      </w:tr>
      <w:tr>
        <w:tc>
          <w:tcPr>
            <w:tcW w:type="dxa" w:w="4216"/>
          </w:tcPr>
          <w:p>
            <w:pPr>
              <w:keepNext/>
              <w:spacing w:line="480" w:lineRule="auto"/>
            </w:pPr>
            <w:r>
              <w:rPr>
                <w:sz w:val="16"/>
              </w:rPr>
              <w:t>Leaf senescence rate at DVS 1.4</w:t>
            </w:r>
          </w:p>
        </w:tc>
        <w:tc>
          <w:tcPr>
            <w:tcW w:type="dxa" w:w="2513"/>
          </w:tcPr>
          <w:p>
            <w:pPr>
              <w:keepNext/>
              <w:spacing w:line="480" w:lineRule="auto"/>
            </w:pPr>
            <w:r>
              <w:rPr>
                <w:sz w:val="16"/>
              </w:rPr>
              <w:t>(°C d)⁻¹</w:t>
            </w:r>
          </w:p>
        </w:tc>
        <w:tc>
          <w:tcPr>
            <w:tcW w:type="dxa" w:w="1459"/>
          </w:tcPr>
          <w:p>
            <w:pPr>
              <w:keepNext/>
              <w:spacing w:line="480" w:lineRule="auto"/>
            </w:pPr>
            <w:r>
              <w:rPr>
                <w:sz w:val="16"/>
              </w:rPr>
              <w:t>0.001907</w:t>
            </w:r>
          </w:p>
        </w:tc>
        <w:tc>
          <w:tcPr>
            <w:tcW w:type="dxa" w:w="1459"/>
          </w:tcPr>
          <w:p>
            <w:pPr>
              <w:keepNext/>
              <w:spacing w:line="480" w:lineRule="auto"/>
            </w:pPr>
            <w:r>
              <w:rPr>
                <w:sz w:val="16"/>
              </w:rPr>
              <w:t>0.000023</w:t>
            </w:r>
          </w:p>
        </w:tc>
      </w:tr>
      <w:tr>
        <w:tc>
          <w:tcPr>
            <w:tcW w:type="dxa" w:w="4216"/>
          </w:tcPr>
          <w:p>
            <w:pPr>
              <w:keepNext/>
              <w:spacing w:line="480" w:lineRule="auto"/>
            </w:pPr>
            <w:r>
              <w:rPr>
                <w:sz w:val="16"/>
              </w:rPr>
              <w:t>Leaf senescence rate at DVS 1.7</w:t>
            </w:r>
          </w:p>
        </w:tc>
        <w:tc>
          <w:tcPr>
            <w:tcW w:type="dxa" w:w="2513"/>
          </w:tcPr>
          <w:p>
            <w:pPr>
              <w:keepNext/>
              <w:spacing w:line="480" w:lineRule="auto"/>
            </w:pPr>
            <w:r>
              <w:rPr>
                <w:sz w:val="16"/>
              </w:rPr>
              <w:t>(°C d)⁻¹</w:t>
            </w:r>
          </w:p>
        </w:tc>
        <w:tc>
          <w:tcPr>
            <w:tcW w:type="dxa" w:w="1459"/>
          </w:tcPr>
          <w:p>
            <w:pPr>
              <w:keepNext/>
              <w:spacing w:line="480" w:lineRule="auto"/>
            </w:pPr>
            <w:r>
              <w:rPr>
                <w:sz w:val="16"/>
              </w:rPr>
              <w:t>0.005327</w:t>
            </w:r>
          </w:p>
        </w:tc>
        <w:tc>
          <w:tcPr>
            <w:tcW w:type="dxa" w:w="1459"/>
          </w:tcPr>
          <w:p>
            <w:pPr>
              <w:keepNext/>
              <w:spacing w:line="480" w:lineRule="auto"/>
            </w:pPr>
            <w:r>
              <w:rPr>
                <w:sz w:val="16"/>
              </w:rPr>
              <w:t>0.001650</w:t>
            </w:r>
          </w:p>
        </w:tc>
      </w:tr>
      <w:tr>
        <w:tc>
          <w:tcPr>
            <w:tcW w:type="dxa" w:w="4216"/>
          </w:tcPr>
          <w:p>
            <w:pPr>
              <w:keepNext/>
              <w:spacing w:line="480" w:lineRule="auto"/>
            </w:pPr>
            <w:r>
              <w:rPr>
                <w:sz w:val="16"/>
              </w:rPr>
              <w:t>Leaf area index at emergence</w:t>
            </w:r>
          </w:p>
        </w:tc>
        <w:tc>
          <w:tcPr>
            <w:tcW w:type="dxa" w:w="2513"/>
          </w:tcPr>
          <w:p>
            <w:pPr>
              <w:keepNext/>
              <w:spacing w:line="480" w:lineRule="auto"/>
            </w:pPr>
            <w:r>
              <w:rPr>
                <w:sz w:val="16"/>
              </w:rPr>
              <w:t>m² m⁻²</w:t>
            </w:r>
          </w:p>
        </w:tc>
        <w:tc>
          <w:tcPr>
            <w:tcW w:type="dxa" w:w="1459"/>
          </w:tcPr>
          <w:p>
            <w:pPr>
              <w:keepNext/>
              <w:spacing w:line="480" w:lineRule="auto"/>
            </w:pPr>
            <w:r>
              <w:rPr>
                <w:sz w:val="16"/>
              </w:rPr>
              <w:t>0.141900</w:t>
            </w:r>
          </w:p>
        </w:tc>
        <w:tc>
          <w:tcPr>
            <w:tcW w:type="dxa" w:w="1459"/>
          </w:tcPr>
          <w:p>
            <w:pPr>
              <w:keepNext/>
              <w:spacing w:line="480" w:lineRule="auto"/>
            </w:pPr>
            <w:r>
              <w:rPr>
                <w:sz w:val="16"/>
              </w:rPr>
              <w:t>0.070844</w:t>
            </w:r>
          </w:p>
        </w:tc>
      </w:tr>
      <w:tr>
        <w:tc>
          <w:tcPr>
            <w:tcW w:type="dxa" w:w="4216"/>
          </w:tcPr>
          <w:p>
            <w:pPr>
              <w:keepNext/>
              <w:spacing w:line="480" w:lineRule="auto"/>
            </w:pPr>
            <w:r>
              <w:rPr>
                <w:sz w:val="16"/>
              </w:rPr>
              <w:t>Grain number per biomass at grain set</w:t>
            </w:r>
          </w:p>
        </w:tc>
        <w:tc>
          <w:tcPr>
            <w:tcW w:type="dxa" w:w="2513"/>
          </w:tcPr>
          <w:p>
            <w:pPr>
              <w:keepNext/>
              <w:spacing w:line="480" w:lineRule="auto"/>
            </w:pPr>
            <w:r>
              <w:rPr>
                <w:sz w:val="16"/>
              </w:rPr>
              <w:t>grains g⁻¹</w:t>
            </w:r>
          </w:p>
        </w:tc>
        <w:tc>
          <w:tcPr>
            <w:tcW w:type="dxa" w:w="1459"/>
          </w:tcPr>
          <w:p>
            <w:pPr>
              <w:keepNext/>
              <w:spacing w:line="480" w:lineRule="auto"/>
            </w:pPr>
            <w:r>
              <w:rPr>
                <w:sz w:val="16"/>
              </w:rPr>
              <w:t>26.272389</w:t>
            </w:r>
          </w:p>
        </w:tc>
        <w:tc>
          <w:tcPr>
            <w:tcW w:type="dxa" w:w="1459"/>
          </w:tcPr>
          <w:p>
            <w:pPr>
              <w:keepNext/>
              <w:spacing w:line="480" w:lineRule="auto"/>
            </w:pPr>
            <w:r>
              <w:rPr>
                <w:sz w:val="16"/>
              </w:rPr>
              <w:t>4.242740</w:t>
            </w:r>
          </w:p>
        </w:tc>
      </w:tr>
      <w:tr>
        <w:tc>
          <w:tcPr>
            <w:tcW w:type="dxa" w:w="4216"/>
          </w:tcPr>
          <w:p>
            <w:pPr>
              <w:keepNext/>
              <w:spacing w:line="480" w:lineRule="auto"/>
            </w:pPr>
            <w:r>
              <w:rPr>
                <w:sz w:val="16"/>
              </w:rPr>
              <w:t>Maximum individual grain mass</w:t>
            </w:r>
          </w:p>
        </w:tc>
        <w:tc>
          <w:tcPr>
            <w:tcW w:type="dxa" w:w="2513"/>
          </w:tcPr>
          <w:p>
            <w:pPr>
              <w:keepNext/>
              <w:spacing w:line="480" w:lineRule="auto"/>
            </w:pPr>
            <w:r>
              <w:rPr>
                <w:sz w:val="16"/>
              </w:rPr>
              <w:t>g grain⁻¹</w:t>
            </w:r>
          </w:p>
        </w:tc>
        <w:tc>
          <w:tcPr>
            <w:tcW w:type="dxa" w:w="1459"/>
          </w:tcPr>
          <w:p>
            <w:pPr>
              <w:keepNext/>
              <w:spacing w:line="480" w:lineRule="auto"/>
            </w:pPr>
            <w:r>
              <w:rPr>
                <w:sz w:val="16"/>
              </w:rPr>
              <w:t>0.045000</w:t>
            </w:r>
          </w:p>
        </w:tc>
        <w:tc>
          <w:tcPr>
            <w:tcW w:type="dxa" w:w="1459"/>
          </w:tcPr>
          <w:p>
            <w:pPr>
              <w:keepNext/>
              <w:spacing w:line="480" w:lineRule="auto"/>
            </w:pPr>
            <w:r>
              <w:rPr>
                <w:sz w:val="16"/>
              </w:rPr>
              <w:t>0.300000</w:t>
            </w:r>
          </w:p>
        </w:tc>
      </w:tr>
      <w:tr>
        <w:tc>
          <w:tcPr>
            <w:tcW w:type="dxa" w:w="4216"/>
          </w:tcPr>
          <w:p>
            <w:pPr>
              <w:keepNext/>
              <w:spacing w:line="480" w:lineRule="auto"/>
            </w:pPr>
            <w:r>
              <w:rPr>
                <w:sz w:val="16"/>
              </w:rPr>
              <w:t>Transpiration coefficient</w:t>
            </w:r>
          </w:p>
        </w:tc>
        <w:tc>
          <w:tcPr>
            <w:tcW w:type="dxa" w:w="2513"/>
          </w:tcPr>
          <w:p>
            <w:pPr>
              <w:keepNext/>
              <w:spacing w:line="480" w:lineRule="auto"/>
            </w:pPr>
            <w:r>
              <w:rPr>
                <w:sz w:val="16"/>
              </w:rPr>
              <w:t>dimensionless</w:t>
            </w:r>
          </w:p>
        </w:tc>
        <w:tc>
          <w:tcPr>
            <w:tcW w:type="dxa" w:w="1459"/>
          </w:tcPr>
          <w:p>
            <w:pPr>
              <w:keepNext/>
              <w:spacing w:line="480" w:lineRule="auto"/>
            </w:pPr>
            <w:r>
              <w:rPr>
                <w:sz w:val="16"/>
              </w:rPr>
              <w:t>0.838813</w:t>
            </w:r>
          </w:p>
        </w:tc>
        <w:tc>
          <w:tcPr>
            <w:tcW w:type="dxa" w:w="1459"/>
          </w:tcPr>
          <w:p>
            <w:pPr>
              <w:keepNext/>
              <w:spacing w:line="480" w:lineRule="auto"/>
            </w:pPr>
            <w:r>
              <w:rPr>
                <w:sz w:val="16"/>
              </w:rPr>
              <w:t>1.023273</w:t>
            </w:r>
          </w:p>
        </w:tc>
      </w:tr>
      <w:tr>
        <w:tc>
          <w:tcPr>
            <w:tcW w:type="dxa" w:w="4216"/>
          </w:tcPr>
          <w:p>
            <w:pPr>
              <w:keepNext/>
              <w:spacing w:line="480" w:lineRule="auto"/>
            </w:pPr>
            <w:r>
              <w:rPr>
                <w:sz w:val="16"/>
              </w:rPr>
              <w:t>Soil evaporation coefficient</w:t>
            </w:r>
          </w:p>
        </w:tc>
        <w:tc>
          <w:tcPr>
            <w:tcW w:type="dxa" w:w="2513"/>
          </w:tcPr>
          <w:p>
            <w:pPr>
              <w:keepNext/>
              <w:spacing w:line="480" w:lineRule="auto"/>
            </w:pPr>
            <w:r>
              <w:rPr>
                <w:sz w:val="16"/>
              </w:rPr>
              <w:t>dimensionless</w:t>
            </w:r>
          </w:p>
        </w:tc>
        <w:tc>
          <w:tcPr>
            <w:tcW w:type="dxa" w:w="1459"/>
          </w:tcPr>
          <w:p>
            <w:pPr>
              <w:keepNext/>
              <w:spacing w:line="480" w:lineRule="auto"/>
            </w:pPr>
            <w:r>
              <w:rPr>
                <w:sz w:val="16"/>
              </w:rPr>
              <w:t>1.295161</w:t>
            </w:r>
          </w:p>
        </w:tc>
        <w:tc>
          <w:tcPr>
            <w:tcW w:type="dxa" w:w="1459"/>
          </w:tcPr>
          <w:p>
            <w:pPr>
              <w:keepNext/>
              <w:spacing w:line="480" w:lineRule="auto"/>
            </w:pPr>
            <w:r>
              <w:rPr>
                <w:sz w:val="16"/>
              </w:rPr>
              <w:t>0.100000</w:t>
            </w:r>
          </w:p>
        </w:tc>
      </w:tr>
      <w:tr>
        <w:tc>
          <w:tcPr>
            <w:tcW w:type="dxa" w:w="4216"/>
          </w:tcPr>
          <w:p>
            <w:pPr>
              <w:keepNext/>
              <w:spacing w:line="480" w:lineRule="auto"/>
            </w:pPr>
            <w:r>
              <w:rPr>
                <w:sz w:val="16"/>
              </w:rPr>
              <w:t>Root water uptake coefficient</w:t>
            </w:r>
          </w:p>
        </w:tc>
        <w:tc>
          <w:tcPr>
            <w:tcW w:type="dxa" w:w="2513"/>
          </w:tcPr>
          <w:p>
            <w:pPr>
              <w:keepNext/>
              <w:spacing w:line="480" w:lineRule="auto"/>
            </w:pPr>
            <w:r>
              <w:rPr>
                <w:sz w:val="16"/>
              </w:rPr>
              <w:t>d⁻¹</w:t>
            </w:r>
          </w:p>
        </w:tc>
        <w:tc>
          <w:tcPr>
            <w:tcW w:type="dxa" w:w="1459"/>
          </w:tcPr>
          <w:p>
            <w:pPr>
              <w:keepNext/>
              <w:spacing w:line="480" w:lineRule="auto"/>
            </w:pPr>
            <w:r>
              <w:rPr>
                <w:sz w:val="16"/>
              </w:rPr>
              <w:t>0.042671</w:t>
            </w:r>
          </w:p>
        </w:tc>
        <w:tc>
          <w:tcPr>
            <w:tcW w:type="dxa" w:w="1459"/>
          </w:tcPr>
          <w:p>
            <w:pPr>
              <w:keepNext/>
              <w:spacing w:line="480" w:lineRule="auto"/>
            </w:pPr>
            <w:r>
              <w:rPr>
                <w:sz w:val="16"/>
              </w:rPr>
              <w:t>0.033543</w:t>
            </w:r>
          </w:p>
        </w:tc>
      </w:tr>
      <w:tr>
        <w:tc>
          <w:tcPr>
            <w:tcW w:type="dxa" w:w="4216"/>
          </w:tcPr>
          <w:p>
            <w:pPr>
              <w:keepNext/>
              <w:spacing w:line="480" w:lineRule="auto"/>
            </w:pPr>
            <w:r>
              <w:rPr>
                <w:sz w:val="16"/>
              </w:rPr>
              <w:t>Leaf biomass partitioning multiplier</w:t>
            </w:r>
          </w:p>
        </w:tc>
        <w:tc>
          <w:tcPr>
            <w:tcW w:type="dxa" w:w="2513"/>
          </w:tcPr>
          <w:p>
            <w:pPr>
              <w:keepNext/>
              <w:spacing w:line="480" w:lineRule="auto"/>
            </w:pPr>
            <w:r>
              <w:rPr>
                <w:sz w:val="16"/>
              </w:rPr>
              <w:t>dimensionless</w:t>
            </w:r>
          </w:p>
        </w:tc>
        <w:tc>
          <w:tcPr>
            <w:tcW w:type="dxa" w:w="1459"/>
          </w:tcPr>
          <w:p>
            <w:pPr>
              <w:keepNext/>
              <w:spacing w:line="480" w:lineRule="auto"/>
            </w:pPr>
            <w:r>
              <w:rPr>
                <w:sz w:val="16"/>
              </w:rPr>
              <w:t>1.010797</w:t>
            </w:r>
          </w:p>
        </w:tc>
        <w:tc>
          <w:tcPr>
            <w:tcW w:type="dxa" w:w="1459"/>
          </w:tcPr>
          <w:p>
            <w:pPr>
              <w:keepNext/>
              <w:spacing w:line="480" w:lineRule="auto"/>
            </w:pPr>
            <w:r>
              <w:rPr>
                <w:sz w:val="16"/>
              </w:rPr>
              <w:t>—</w:t>
            </w:r>
          </w:p>
        </w:tc>
      </w:tr>
      <w:tr>
        <w:tc>
          <w:tcPr>
            <w:tcW w:type="dxa" w:w="4216"/>
          </w:tcPr>
          <w:p>
            <w:pPr>
              <w:keepNext/>
              <w:spacing w:line="480" w:lineRule="auto"/>
            </w:pPr>
            <w:r>
              <w:rPr>
                <w:sz w:val="16"/>
              </w:rPr>
              <w:t>Early vegetative leaf partitioning multiplier</w:t>
            </w:r>
          </w:p>
        </w:tc>
        <w:tc>
          <w:tcPr>
            <w:tcW w:type="dxa" w:w="2513"/>
          </w:tcPr>
          <w:p>
            <w:pPr>
              <w:keepNext/>
              <w:spacing w:line="480" w:lineRule="auto"/>
            </w:pPr>
            <w:r>
              <w:rPr>
                <w:sz w:val="16"/>
              </w:rPr>
              <w:t>dimensionless</w:t>
            </w:r>
          </w:p>
        </w:tc>
        <w:tc>
          <w:tcPr>
            <w:tcW w:type="dxa" w:w="1459"/>
          </w:tcPr>
          <w:p>
            <w:pPr>
              <w:keepNext/>
              <w:spacing w:line="480" w:lineRule="auto"/>
            </w:pPr>
            <w:r>
              <w:rPr>
                <w:sz w:val="16"/>
              </w:rPr>
              <w:t>—</w:t>
            </w:r>
          </w:p>
        </w:tc>
        <w:tc>
          <w:tcPr>
            <w:tcW w:type="dxa" w:w="1459"/>
          </w:tcPr>
          <w:p>
            <w:pPr>
              <w:keepNext/>
              <w:spacing w:line="480" w:lineRule="auto"/>
            </w:pPr>
            <w:r>
              <w:rPr>
                <w:sz w:val="16"/>
              </w:rPr>
              <w:t>0.912989</w:t>
            </w:r>
          </w:p>
        </w:tc>
      </w:tr>
      <w:tr>
        <w:tc>
          <w:tcPr>
            <w:tcW w:type="dxa" w:w="4216"/>
          </w:tcPr>
          <w:p>
            <w:pPr>
              <w:keepNext/>
              <w:spacing w:line="480" w:lineRule="auto"/>
            </w:pPr>
            <w:r>
              <w:rPr>
                <w:sz w:val="16"/>
              </w:rPr>
              <w:t>Late vegetative leaf partitioning multiplier</w:t>
            </w:r>
          </w:p>
        </w:tc>
        <w:tc>
          <w:tcPr>
            <w:tcW w:type="dxa" w:w="2513"/>
          </w:tcPr>
          <w:p>
            <w:pPr>
              <w:keepNext/>
              <w:spacing w:line="480" w:lineRule="auto"/>
            </w:pPr>
            <w:r>
              <w:rPr>
                <w:sz w:val="16"/>
              </w:rPr>
              <w:t>dimensionless</w:t>
            </w:r>
          </w:p>
        </w:tc>
        <w:tc>
          <w:tcPr>
            <w:tcW w:type="dxa" w:w="1459"/>
          </w:tcPr>
          <w:p>
            <w:pPr>
              <w:keepNext/>
              <w:spacing w:line="480" w:lineRule="auto"/>
            </w:pPr>
            <w:r>
              <w:rPr>
                <w:sz w:val="16"/>
              </w:rPr>
              <w:t>—</w:t>
            </w:r>
          </w:p>
        </w:tc>
        <w:tc>
          <w:tcPr>
            <w:tcW w:type="dxa" w:w="1459"/>
          </w:tcPr>
          <w:p>
            <w:pPr>
              <w:keepNext/>
              <w:spacing w:line="480" w:lineRule="auto"/>
            </w:pPr>
            <w:r>
              <w:rPr>
                <w:sz w:val="16"/>
              </w:rPr>
              <w:t>1.779539</w:t>
            </w:r>
          </w:p>
        </w:tc>
      </w:tr>
      <w:tr>
        <w:tc>
          <w:tcPr>
            <w:tcW w:type="dxa" w:w="4216"/>
          </w:tcPr>
          <w:p>
            <w:pPr>
              <w:keepNext/>
              <w:spacing w:line="480" w:lineRule="auto"/>
            </w:pPr>
            <w:r>
              <w:rPr>
                <w:sz w:val="16"/>
              </w:rPr>
              <w:t>Stem reserve fraction</w:t>
            </w:r>
          </w:p>
        </w:tc>
        <w:tc>
          <w:tcPr>
            <w:tcW w:type="dxa" w:w="2513"/>
          </w:tcPr>
          <w:p>
            <w:pPr>
              <w:keepNext/>
              <w:spacing w:line="480" w:lineRule="auto"/>
            </w:pPr>
            <w:r>
              <w:rPr>
                <w:sz w:val="16"/>
              </w:rPr>
              <w:t>dimensionless</w:t>
            </w:r>
          </w:p>
        </w:tc>
        <w:tc>
          <w:tcPr>
            <w:tcW w:type="dxa" w:w="1459"/>
          </w:tcPr>
          <w:p>
            <w:pPr>
              <w:keepNext/>
              <w:spacing w:line="480" w:lineRule="auto"/>
            </w:pPr>
            <w:r>
              <w:rPr>
                <w:sz w:val="16"/>
              </w:rPr>
              <w:t>0.270612</w:t>
            </w:r>
          </w:p>
        </w:tc>
        <w:tc>
          <w:tcPr>
            <w:tcW w:type="dxa" w:w="1459"/>
          </w:tcPr>
          <w:p>
            <w:pPr>
              <w:keepNext/>
              <w:spacing w:line="480" w:lineRule="auto"/>
            </w:pPr>
            <w:r>
              <w:rPr>
                <w:sz w:val="16"/>
              </w:rPr>
              <w:t>—</w:t>
            </w:r>
          </w:p>
        </w:tc>
      </w:tr>
      <w:tr>
        <w:tc>
          <w:tcPr>
            <w:tcW w:type="dxa" w:w="4216"/>
          </w:tcPr>
          <w:p>
            <w:pPr>
              <w:keepNext/>
              <w:spacing w:line="480" w:lineRule="auto"/>
            </w:pPr>
            <w:r>
              <w:rPr>
                <w:sz w:val="16"/>
              </w:rPr>
              <w:t>Stem reserve release fraction</w:t>
            </w:r>
          </w:p>
        </w:tc>
        <w:tc>
          <w:tcPr>
            <w:tcW w:type="dxa" w:w="2513"/>
          </w:tcPr>
          <w:p>
            <w:pPr>
              <w:keepNext/>
              <w:spacing w:line="480" w:lineRule="auto"/>
            </w:pPr>
            <w:r>
              <w:rPr>
                <w:sz w:val="16"/>
              </w:rPr>
              <w:t>dimensionless</w:t>
            </w:r>
          </w:p>
        </w:tc>
        <w:tc>
          <w:tcPr>
            <w:tcW w:type="dxa" w:w="1459"/>
          </w:tcPr>
          <w:p>
            <w:pPr>
              <w:keepNext/>
              <w:spacing w:line="480" w:lineRule="auto"/>
            </w:pPr>
            <w:r>
              <w:rPr>
                <w:sz w:val="16"/>
              </w:rPr>
              <w:t>0.067334</w:t>
            </w:r>
          </w:p>
        </w:tc>
        <w:tc>
          <w:tcPr>
            <w:tcW w:type="dxa" w:w="1459"/>
          </w:tcPr>
          <w:p>
            <w:pPr>
              <w:keepNext/>
              <w:spacing w:line="480" w:lineRule="auto"/>
            </w:pPr>
            <w:r>
              <w:rPr>
                <w:sz w:val="16"/>
              </w:rPr>
              <w:t>—</w:t>
            </w:r>
          </w:p>
        </w:tc>
      </w:tr>
      <w:tr>
        <w:tc>
          <w:tcPr>
            <w:tcW w:type="dxa" w:w="4216"/>
          </w:tcPr>
          <w:p>
            <w:pPr>
              <w:keepNext/>
              <w:spacing w:line="480" w:lineRule="auto"/>
            </w:pPr>
            <w:r>
              <w:rPr>
                <w:sz w:val="16"/>
              </w:rPr>
              <w:t>Assimilation water-stress exponent</w:t>
            </w:r>
          </w:p>
        </w:tc>
        <w:tc>
          <w:tcPr>
            <w:tcW w:type="dxa" w:w="2513"/>
          </w:tcPr>
          <w:p>
            <w:pPr>
              <w:keepNext/>
              <w:spacing w:line="480" w:lineRule="auto"/>
            </w:pPr>
            <w:r>
              <w:rPr>
                <w:sz w:val="16"/>
              </w:rPr>
              <w:t>dimensionless</w:t>
            </w:r>
          </w:p>
        </w:tc>
        <w:tc>
          <w:tcPr>
            <w:tcW w:type="dxa" w:w="1459"/>
          </w:tcPr>
          <w:p>
            <w:pPr>
              <w:keepNext/>
              <w:spacing w:line="480" w:lineRule="auto"/>
            </w:pPr>
            <w:r>
              <w:rPr>
                <w:sz w:val="16"/>
              </w:rPr>
              <w:t>1.859851</w:t>
            </w:r>
          </w:p>
        </w:tc>
        <w:tc>
          <w:tcPr>
            <w:tcW w:type="dxa" w:w="1459"/>
          </w:tcPr>
          <w:p>
            <w:pPr>
              <w:keepNext/>
              <w:spacing w:line="480" w:lineRule="auto"/>
            </w:pPr>
            <w:r>
              <w:rPr>
                <w:sz w:val="16"/>
              </w:rPr>
              <w:t>0.250000</w:t>
            </w:r>
          </w:p>
        </w:tc>
      </w:tr>
      <w:tr>
        <w:tc>
          <w:tcPr>
            <w:tcW w:type="dxa" w:w="4216"/>
          </w:tcPr>
          <w:p>
            <w:pPr>
              <w:keepNext/>
              <w:spacing w:line="480" w:lineRule="auto"/>
            </w:pPr>
            <w:r>
              <w:rPr>
                <w:sz w:val="16"/>
              </w:rPr>
              <w:t>Readily available water fraction</w:t>
            </w:r>
          </w:p>
        </w:tc>
        <w:tc>
          <w:tcPr>
            <w:tcW w:type="dxa" w:w="2513"/>
          </w:tcPr>
          <w:p>
            <w:pPr>
              <w:keepNext/>
              <w:spacing w:line="480" w:lineRule="auto"/>
            </w:pPr>
            <w:r>
              <w:rPr>
                <w:sz w:val="16"/>
              </w:rPr>
              <w:t>dimensionless</w:t>
            </w:r>
          </w:p>
        </w:tc>
        <w:tc>
          <w:tcPr>
            <w:tcW w:type="dxa" w:w="1459"/>
          </w:tcPr>
          <w:p>
            <w:pPr>
              <w:keepNext/>
              <w:spacing w:line="480" w:lineRule="auto"/>
            </w:pPr>
            <w:r>
              <w:rPr>
                <w:sz w:val="16"/>
              </w:rPr>
              <w:t>0.543149</w:t>
            </w:r>
          </w:p>
        </w:tc>
        <w:tc>
          <w:tcPr>
            <w:tcW w:type="dxa" w:w="1459"/>
          </w:tcPr>
          <w:p>
            <w:pPr>
              <w:keepNext/>
              <w:spacing w:line="480" w:lineRule="auto"/>
            </w:pPr>
            <w:r>
              <w:rPr>
                <w:sz w:val="16"/>
              </w:rPr>
              <w:t>0.674994</w:t>
            </w:r>
          </w:p>
        </w:tc>
      </w:tr>
      <w:tr>
        <w:tc>
          <w:tcPr>
            <w:tcW w:type="dxa" w:w="4216"/>
          </w:tcPr>
          <w:p>
            <w:pPr>
              <w:keepNext/>
              <w:spacing w:line="480" w:lineRule="auto"/>
            </w:pPr>
            <w:r>
              <w:rPr>
                <w:sz w:val="16"/>
              </w:rPr>
              <w:t>Root density decay</w:t>
            </w:r>
          </w:p>
        </w:tc>
        <w:tc>
          <w:tcPr>
            <w:tcW w:type="dxa" w:w="2513"/>
          </w:tcPr>
          <w:p>
            <w:pPr>
              <w:keepNext/>
              <w:spacing w:line="480" w:lineRule="auto"/>
            </w:pPr>
            <w:r>
              <w:rPr>
                <w:sz w:val="16"/>
              </w:rPr>
              <w:t>m⁻¹</w:t>
            </w:r>
          </w:p>
        </w:tc>
        <w:tc>
          <w:tcPr>
            <w:tcW w:type="dxa" w:w="1459"/>
          </w:tcPr>
          <w:p>
            <w:pPr>
              <w:keepNext/>
              <w:spacing w:line="480" w:lineRule="auto"/>
            </w:pPr>
            <w:r>
              <w:rPr>
                <w:sz w:val="16"/>
              </w:rPr>
              <w:t>3.41 × 10⁻¹⁰</w:t>
            </w:r>
          </w:p>
        </w:tc>
        <w:tc>
          <w:tcPr>
            <w:tcW w:type="dxa" w:w="1459"/>
          </w:tcPr>
          <w:p>
            <w:pPr>
              <w:keepNext/>
              <w:spacing w:line="480" w:lineRule="auto"/>
            </w:pPr>
            <w:r>
              <w:rPr>
                <w:sz w:val="16"/>
              </w:rPr>
              <w:t>2.27 × 10⁻¹³</w:t>
            </w:r>
          </w:p>
        </w:tc>
      </w:tr>
      <w:tr>
        <w:tc>
          <w:tcPr>
            <w:tcW w:type="dxa" w:w="4216"/>
          </w:tcPr>
          <w:p>
            <w:pPr>
              <w:keepNext/>
              <w:spacing w:line="480" w:lineRule="auto"/>
            </w:pPr>
            <w:r>
              <w:rPr>
                <w:sz w:val="16"/>
              </w:rPr>
              <w:t>Maximum rooting depth</w:t>
            </w:r>
          </w:p>
        </w:tc>
        <w:tc>
          <w:tcPr>
            <w:tcW w:type="dxa" w:w="2513"/>
          </w:tcPr>
          <w:p>
            <w:pPr>
              <w:keepNext/>
              <w:spacing w:line="480" w:lineRule="auto"/>
            </w:pPr>
            <w:r>
              <w:rPr>
                <w:sz w:val="16"/>
              </w:rPr>
              <w:t>mm</w:t>
            </w:r>
          </w:p>
        </w:tc>
        <w:tc>
          <w:tcPr>
            <w:tcW w:type="dxa" w:w="1459"/>
          </w:tcPr>
          <w:p>
            <w:pPr>
              <w:keepNext/>
              <w:spacing w:line="480" w:lineRule="auto"/>
            </w:pPr>
            <w:r>
              <w:rPr>
                <w:sz w:val="16"/>
              </w:rPr>
              <w:t>1888.654910</w:t>
            </w:r>
          </w:p>
        </w:tc>
        <w:tc>
          <w:tcPr>
            <w:tcW w:type="dxa" w:w="1459"/>
          </w:tcPr>
          <w:p>
            <w:pPr>
              <w:keepNext/>
              <w:spacing w:line="480" w:lineRule="auto"/>
            </w:pPr>
            <w:r>
              <w:rPr>
                <w:sz w:val="16"/>
              </w:rPr>
              <w:t>1699.999998</w:t>
            </w:r>
          </w:p>
        </w:tc>
      </w:tr>
      <w:tr>
        <w:tc>
          <w:tcPr>
            <w:tcW w:type="dxa" w:w="4216"/>
          </w:tcPr>
          <w:p>
            <w:pPr>
              <w:keepNext/>
              <w:spacing w:line="480" w:lineRule="auto"/>
            </w:pPr>
            <w:r>
              <w:rPr>
                <w:sz w:val="16"/>
              </w:rPr>
              <w:t>Root compensation fraction</w:t>
            </w:r>
          </w:p>
        </w:tc>
        <w:tc>
          <w:tcPr>
            <w:tcW w:type="dxa" w:w="2513"/>
          </w:tcPr>
          <w:p>
            <w:pPr>
              <w:keepNext/>
              <w:spacing w:line="480" w:lineRule="auto"/>
            </w:pPr>
            <w:r>
              <w:rPr>
                <w:sz w:val="16"/>
              </w:rPr>
              <w:t>dimensionless</w:t>
            </w:r>
          </w:p>
        </w:tc>
        <w:tc>
          <w:tcPr>
            <w:tcW w:type="dxa" w:w="1459"/>
          </w:tcPr>
          <w:p>
            <w:pPr>
              <w:keepNext/>
              <w:spacing w:line="480" w:lineRule="auto"/>
            </w:pPr>
            <w:r>
              <w:rPr>
                <w:sz w:val="16"/>
              </w:rPr>
              <w:t>1.000000</w:t>
            </w:r>
          </w:p>
        </w:tc>
        <w:tc>
          <w:tcPr>
            <w:tcW w:type="dxa" w:w="1459"/>
          </w:tcPr>
          <w:p>
            <w:pPr>
              <w:keepNext/>
              <w:spacing w:line="480" w:lineRule="auto"/>
            </w:pPr>
            <w:r>
              <w:rPr>
                <w:sz w:val="16"/>
              </w:rPr>
              <w:t>6.62 × 10⁻⁸</w:t>
            </w:r>
          </w:p>
        </w:tc>
      </w:tr>
      <w:tr>
        <w:tc>
          <w:tcPr>
            <w:tcW w:type="dxa" w:w="4216"/>
          </w:tcPr>
          <w:p>
            <w:pPr>
              <w:keepNext w:val="0"/>
              <w:spacing w:line="480" w:lineRule="auto"/>
            </w:pPr>
            <w:r>
              <w:rPr>
                <w:sz w:val="16"/>
              </w:rPr>
              <w:t>Readily evaporable water fraction</w:t>
            </w:r>
          </w:p>
        </w:tc>
        <w:tc>
          <w:tcPr>
            <w:tcW w:type="dxa" w:w="2513"/>
          </w:tcPr>
          <w:p>
            <w:pPr>
              <w:keepNext w:val="0"/>
              <w:spacing w:line="480" w:lineRule="auto"/>
            </w:pPr>
            <w:r>
              <w:rPr>
                <w:sz w:val="16"/>
              </w:rPr>
              <w:t>dimensionless</w:t>
            </w:r>
          </w:p>
        </w:tc>
        <w:tc>
          <w:tcPr>
            <w:tcW w:type="dxa" w:w="1459"/>
          </w:tcPr>
          <w:p>
            <w:pPr>
              <w:keepNext w:val="0"/>
              <w:spacing w:line="480" w:lineRule="auto"/>
            </w:pPr>
            <w:r>
              <w:rPr>
                <w:sz w:val="16"/>
              </w:rPr>
              <w:t>0.300000</w:t>
            </w:r>
          </w:p>
        </w:tc>
        <w:tc>
          <w:tcPr>
            <w:tcW w:type="dxa" w:w="1459"/>
          </w:tcPr>
          <w:p>
            <w:pPr>
              <w:keepNext w:val="0"/>
              <w:spacing w:line="480" w:lineRule="auto"/>
            </w:pPr>
            <w:r>
              <w:rPr>
                <w:sz w:val="16"/>
              </w:rPr>
              <w:t>0.300000</w:t>
            </w:r>
          </w:p>
        </w:tc>
      </w:tr>
    </w:tbl>
    <w:p>
      <w:pPr>
        <w:spacing w:line="480" w:lineRule="auto"/>
      </w:pPr>
      <w:r>
        <w:t>Effective shared crop parameters from the selected current cards. RUE uses intercepted PAR with PAR fraction 0.45. DVS-2 SLA equals its DVS-1 value; senescence is a thermal hazard with a separate daily stress loss. Wheat BBCH 89 terminates remaining green leaf area; maize retains its terminal hazard at R6. Grain mass is fixed. Water coefficients are estimated from Wuqiao 2016–2018; growth coefficients retain inherited multisite estimates. Root depth is limited by profile depth. Dashes denote crop-specific processes. No maximum-LAI parameter is fitted.</w:t>
      </w:r>
    </w:p>
    <w:p>
      <w:pPr>
        <w:pStyle w:val="Heading1"/>
        <w:spacing w:line="480" w:lineRule="auto"/>
      </w:pPr>
      <w:r>
        <w:t>S3. Study-area and spatial aggregation checks</w:t>
      </w:r>
    </w:p>
    <w:p>
      <w:pPr>
        <w:spacing w:line="480" w:lineRule="auto"/>
      </w:pPr>
      <w:r>
        <w:t xml:space="preserve">The SRTM-derived terrain grid </w:t>
      </w:r>
      <w:r>
        <w:fldChar w:fldCharType="begin"/>
      </w:r>
      <w:r>
        <w:instrText xml:space="preserve"> ADDIN ZOTERO_ITEM CSL_CITATION {"citationID":"fbb66f3bf690a4fd","properties":{"formattedCitation":"(NASA JPL, 2013)","plainCitation":"(NASA JPL, 2013)","noteIndex":0},"citationItems":[{"id":"srtm","itemData":{"id":"srtm","type":"dataset","title":"NASA Shuttle Radar Topography Mission Global 1 arc second","author":[{"literal":"NASA JPL"}],"issued":{"date-parts":[[2013]]},"DOI":"10.5067/MEASURES/SRTM/SRTMGL1.003","URL":"https://www.earthdata.nasa.gov/data/catalog/lpcloud-srtmgl1-003","publisher":"NASA Land Processes Distributed Active Archive Center"}}],"schema":"https://github.com/citation-style-language/schema/raw/master/csl-citation.json"} </w:instrText>
      </w:r>
      <w:r>
        <w:fldChar w:fldCharType="separate"/>
      </w:r>
      <w:r>
        <w:t>(NASA JPL, 2013)</w:t>
      </w:r>
      <w:r>
        <w:fldChar w:fldCharType="end"/>
      </w:r>
      <w:r>
        <w:t xml:space="preserve"> contains 720 eligible lowland components; the connected component retained by the operational definition covers 404,658 km². Disconnected eligible terrain totals 6,465 km² and contains approximately 7,068 ha of CPM-corrected rotation area. The main definition reaches the southern and eastern bounding-box edges, so geographic sensitivity remains relevant to regional interpretation. Nine elevation–slope alternatives combine elevations 100, 200 and 300 m with slopes 1°, 2° and 3°. Seven annual mapped-area layers cover 2015–2021.</w:t>
      </w:r>
    </w:p>
    <w:p>
      <w:pPr>
        <w:spacing w:line="480" w:lineRule="auto"/>
      </w:pPr>
      <w:r>
        <w:t xml:space="preserve">A common-extent comparison between ChinaCP plus CPM </w:t>
      </w:r>
      <w:r>
        <w:fldChar w:fldCharType="begin"/>
      </w:r>
      <w:r>
        <w:instrText xml:space="preserve"> ADDIN ZOTERO_ITEM CSL_CITATION {"citationID":"77290f3bd20b59cc","properties":{"formattedCitation":"(Qiu et al., 2022)","plainCitation":"(Qiu et al., 2022)","noteIndex":0},"citationItems":[{"id":"chinacp2022","itemData":{"id":"chinacp2022","type":"journal-article","title":"Maps of cropping patterns in China during 2015–2021","author":[{"given":"Bingwen","family":"Qiu"},{"given":"Xiang","family":"Hu"},{"given":"Chongcheng","family":"Chen"},{"given":"Zhenghong","family":"Tang"},{"given":"Peng","family":"Yang"},{"given":"Xiaolin","family":"Zhu"},{"given":"Chao","family":"Yan"},{"given":"Zeyu","family":"Jian"}],"issued":{"date-parts":[[2022,8,5]]},"container-title":"Scientific Data","volume":"9","issue":"1","article-number":"479","DOI":"10.1038/s41597-022-01589-8","URL":"http://dx.doi.org/10.1038/s41597-022-01589-8","publisher":"Springer Science and Business Media LLC","page":"479"}}],"schema":"https://github.com/citation-style-language/schema/raw/master/csl-citation.json"} </w:instrText>
      </w:r>
      <w:r>
        <w:fldChar w:fldCharType="separate"/>
      </w:r>
      <w:r>
        <w:t>(Qiu et al., 2022)</w:t>
      </w:r>
      <w:r>
        <w:fldChar w:fldCharType="end"/>
      </w:r>
      <w:r>
        <w:t xml:space="preserve"> and the 2020 China Crop Dataset layer </w:t>
      </w:r>
      <w:r>
        <w:fldChar w:fldCharType="begin"/>
      </w:r>
      <w:r>
        <w:instrText xml:space="preserve"> ADDIN ZOTERO_ITEM CSL_CITATION {"citationID":"1f33d7b8119c6105","properties":{"formattedCitation":"(Fu et al., 2026; Fu et al., 2025)","plainCitation":"(Fu et al., 2026; Fu et al., 2025)","noteIndex":0},"citationItems":[{"id":"fu2025_ccd_dataset","itemData":{"id":"fu2025_ccd_dataset","type":"dataset","title":"China Crop Dataset: A long-term and high-resolution crop distribution dataset in China","author":[{"given":"Yangyang","family":"Fu"},{"given":"Jie","family":"Dong"},{"given":"Ruoque","family":"Shen"},{"given":"Qiongyan","family":"Peng"},{"given":"Xiangqian","family":"Li"},{"given":"Yi","family":"Zheng"},{"given":"Baihong","family":"Pan"},{"given":"Jinwei","family":"Dong"},{"given":"Bingwen","family":"Qiu"},{"given":"Jianxi","family":"Huang"},{"given":"Wenping","family":"Yuan"}],"issued":{"date-parts":[[2025,11,28]]},"accessed":{"date-parts":[[2026,10,4]]},"publisher":"Science Data Bank","version":"1.0.0 (repository citationV1)","DOI":"10.57760/sciencedb.32361","URL":"https://doi.org/10.57760/sciencedb.32361","note":"Datasetidentityverifiedfromexistingofficialrepositorymetadata.30mChinaCropDataset2001–2024;class9=winterwheat–maizerotation. The2020layerincomparisonispartofthisdataset,notCCD-Maize-only. Snapshot CCD_repository_metadata.json SHA-256 205dbd2ca8692b8ff4605df6ae110d71b0ff5a2a6aef9bb3052bcb3e8c34912e."}},{"id":"fu2026_ccd_descriptor","itemData":{"id":"fu2026_ccd_descriptor","type":"article-journal","title":"A 30-m annual distribution dataset of major crops in China from 2001-2024","author":[{"family":"Fu","given":"Yangyang"},{"family":"Dong","given":"Jie"},{"family":"Shen","given":"Ruoque"},{"family":"Peng","given":"Qiongyan"},{"family":"Li","given":"Xiangqian"},{"family":"Zheng","given":"Yi"},{"family":"Pan","given":"Baihong"},{"family":"Dong","given":"Jinwei"},{"family":"Qiu","given":"Bingwen"},{"family":"Huang","given":"Jianxi"},{"family":"Huang","given":"Xiaojuan"},{"family":"Yuan","given":"Wenping"}],"issued":{"date-parts":[[2026,5,11]]},"accessed":{"date-parts":[[2026,10,4]]},"container-title":"Scientific Data","volume":"13","issue":"1","page":"1074","DOI":"10.1038/s41597-026-07370-5","URL":"https://www.nature.com/articles/s41597-026-07370-5","note":"PublishedNature-familyDataDescriptorverifiedfromexistingpublisherHTMLcitationmetadata;DataRecordsidentifiessameScienceDataBankdataset. Snapshot CCD2026_Nature_publisher.html SHA-256 b93d7b665293aa3d8393bfb50b187c9c1cc756e2ba00f6bd46c1f628d7871c20."}}],"schema":"https://github.com/citation-style-language/schema/raw/master/csl-citation.json"} </w:instrText>
      </w:r>
      <w:r>
        <w:fldChar w:fldCharType="separate"/>
      </w:r>
      <w:r>
        <w:t>(Fu et al., 2026; Fu et al., 2025)</w:t>
      </w:r>
      <w:r>
        <w:fldChar w:fldCharType="end"/>
      </w:r>
      <w:r>
        <w:t xml:space="preserve"> yields 9.694 and 7.841 million ha, respectively; CCD2020 is 19.11% lower on that common support. This disagreement is map uncertainty rather than proof of either product’s accuracy. The modeled 2020 area is held fixed to isolate climate and irrigation effects. Historical crop expansion, rotation switching and double-counting of harvested crop area are not estimated.</w:t>
      </w:r>
    </w:p>
    <w:p>
      <w:pPr>
        <w:spacing w:line="480" w:lineRule="auto"/>
      </w:pPr>
      <w:r>
        <w:t>Thirty-two actual-cell representatives use rotation-area weights and selection-period climate means. Eight purposively selected non-representative cells test approximation under all five continuous irrigation fractions. Each crop–fraction comparison retains 96 evaluation cell-years in 2014–2025. Absolute grain, ET and management-response differences compare actual-cell with representative-cell model predictions. The sample measures aggregation sensitivity rather than observed regional accuracy or a probabilistic error bound (Table S4; Figure S1).</w:t>
      </w:r>
    </w:p>
    <w:p>
      <w:pPr>
        <w:pStyle w:val="Caption"/>
        <w:keepNext/>
        <w:spacing w:line="480" w:lineRule="auto"/>
      </w:pPr>
      <w:r>
        <w:t>Table S4. Crop-model spatial aggregation errors in eight purposively selected simulation cells.</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378"/>
        <w:gridCol w:w="1378"/>
        <w:gridCol w:w="1378"/>
        <w:gridCol w:w="1378"/>
        <w:gridCol w:w="1378"/>
        <w:gridCol w:w="1378"/>
        <w:gridCol w:w="1378"/>
      </w:tblGrid>
      <w:tr>
        <w:tc>
          <w:tcPr>
            <w:tcW w:type="dxa" w:w="1378"/>
            <w:tcBorders>
              <w:bottom w:val="single" w:sz="6" w:color="000000"/>
            </w:tcBorders>
          </w:tcPr>
          <w:p>
            <w:pPr>
              <w:keepNext/>
              <w:spacing w:line="480" w:lineRule="auto"/>
            </w:pPr>
            <w:r>
              <w:rPr>
                <w:b/>
                <w:sz w:val="16"/>
              </w:rPr>
              <w:t>Crop</w:t>
            </w:r>
          </w:p>
        </w:tc>
        <w:tc>
          <w:tcPr>
            <w:tcW w:type="dxa" w:w="1378"/>
            <w:tcBorders>
              <w:bottom w:val="single" w:sz="6" w:color="000000"/>
            </w:tcBorders>
          </w:tcPr>
          <w:p>
            <w:pPr>
              <w:keepNext/>
              <w:spacing w:line="480" w:lineRule="auto"/>
            </w:pPr>
            <w:r>
              <w:rPr>
                <w:b/>
                <w:sz w:val="16"/>
              </w:rPr>
              <w:t>Irrigation fraction</w:t>
            </w:r>
          </w:p>
        </w:tc>
        <w:tc>
          <w:tcPr>
            <w:tcW w:type="dxa" w:w="1378"/>
            <w:tcBorders>
              <w:bottom w:val="single" w:sz="6" w:color="000000"/>
            </w:tcBorders>
          </w:tcPr>
          <w:p>
            <w:pPr>
              <w:keepNext/>
              <w:spacing w:line="480" w:lineRule="auto"/>
            </w:pPr>
            <w:r>
              <w:rPr>
                <w:b/>
                <w:sz w:val="16"/>
              </w:rPr>
              <w:t>Variable</w:t>
            </w:r>
          </w:p>
        </w:tc>
        <w:tc>
          <w:tcPr>
            <w:tcW w:type="dxa" w:w="1378"/>
            <w:tcBorders>
              <w:bottom w:val="single" w:sz="6" w:color="000000"/>
            </w:tcBorders>
          </w:tcPr>
          <w:p>
            <w:pPr>
              <w:keepNext/>
              <w:spacing w:line="480" w:lineRule="auto"/>
            </w:pPr>
            <w:r>
              <w:rPr>
                <w:b/>
                <w:sz w:val="16"/>
              </w:rPr>
              <w:t>Unit</w:t>
            </w:r>
          </w:p>
        </w:tc>
        <w:tc>
          <w:tcPr>
            <w:tcW w:type="dxa" w:w="1378"/>
            <w:tcBorders>
              <w:bottom w:val="single" w:sz="6" w:color="000000"/>
            </w:tcBorders>
          </w:tcPr>
          <w:p>
            <w:pPr>
              <w:keepNext/>
              <w:spacing w:line="480" w:lineRule="auto"/>
            </w:pPr>
            <w:r>
              <w:rPr>
                <w:b/>
                <w:sz w:val="16"/>
              </w:rPr>
              <w:t>N</w:t>
            </w:r>
          </w:p>
        </w:tc>
        <w:tc>
          <w:tcPr>
            <w:tcW w:type="dxa" w:w="1378"/>
            <w:tcBorders>
              <w:bottom w:val="single" w:sz="6" w:color="000000"/>
            </w:tcBorders>
          </w:tcPr>
          <w:p>
            <w:pPr>
              <w:keepNext/>
              <w:spacing w:line="480" w:lineRule="auto"/>
            </w:pPr>
            <w:r>
              <w:rPr>
                <w:b/>
                <w:sz w:val="16"/>
              </w:rPr>
              <w:t>RMSE</w:t>
            </w:r>
          </w:p>
        </w:tc>
        <w:tc>
          <w:tcPr>
            <w:tcW w:type="dxa" w:w="1378"/>
            <w:tcBorders>
              <w:bottom w:val="single" w:sz="6" w:color="000000"/>
            </w:tcBorders>
          </w:tcPr>
          <w:p>
            <w:pPr>
              <w:keepNext/>
              <w:spacing w:line="480" w:lineRule="auto"/>
            </w:pPr>
            <w:r>
              <w:rPr>
                <w:b/>
                <w:sz w:val="16"/>
              </w:rPr>
              <w:t>Bias</w:t>
            </w:r>
          </w:p>
        </w:tc>
      </w:tr>
      <w:tr>
        <w:tc>
          <w:tcPr>
            <w:tcW w:type="dxa" w:w="1378"/>
          </w:tcPr>
          <w:p>
            <w:pPr>
              <w:keepNext/>
              <w:spacing w:line="480" w:lineRule="auto"/>
            </w:pPr>
            <w:r>
              <w:rPr>
                <w:sz w:val="16"/>
              </w:rPr>
              <w:t>Maize</w:t>
            </w:r>
          </w:p>
        </w:tc>
        <w:tc>
          <w:tcPr>
            <w:tcW w:type="dxa" w:w="1378"/>
          </w:tcPr>
          <w:p>
            <w:pPr>
              <w:keepNext/>
              <w:spacing w:line="480" w:lineRule="auto"/>
            </w:pPr>
            <w:r>
              <w:rPr>
                <w:sz w:val="16"/>
              </w:rPr>
              <w:t>0.000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1.17</w:t>
            </w:r>
          </w:p>
        </w:tc>
        <w:tc>
          <w:tcPr>
            <w:tcW w:type="dxa" w:w="1378"/>
          </w:tcPr>
          <w:p>
            <w:pPr>
              <w:keepNext/>
              <w:spacing w:line="480" w:lineRule="auto"/>
            </w:pPr>
            <w:r>
              <w:rPr>
                <w:sz w:val="16"/>
              </w:rPr>
              <w:t>0.18</w:t>
            </w:r>
          </w:p>
        </w:tc>
      </w:tr>
      <w:tr>
        <w:tc>
          <w:tcPr>
            <w:tcW w:type="dxa" w:w="1378"/>
          </w:tcPr>
          <w:p>
            <w:pPr>
              <w:keepNext/>
              <w:spacing w:line="480" w:lineRule="auto"/>
            </w:pPr>
            <w:r>
              <w:rPr>
                <w:sz w:val="16"/>
              </w:rPr>
              <w:t>Maize</w:t>
            </w:r>
          </w:p>
        </w:tc>
        <w:tc>
          <w:tcPr>
            <w:tcW w:type="dxa" w:w="1378"/>
          </w:tcPr>
          <w:p>
            <w:pPr>
              <w:keepNext/>
              <w:spacing w:line="480" w:lineRule="auto"/>
            </w:pPr>
            <w:r>
              <w:rPr>
                <w:sz w:val="16"/>
              </w:rPr>
              <w:t>0.000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35.21</w:t>
            </w:r>
          </w:p>
        </w:tc>
        <w:tc>
          <w:tcPr>
            <w:tcW w:type="dxa" w:w="1378"/>
          </w:tcPr>
          <w:p>
            <w:pPr>
              <w:keepNext/>
              <w:spacing w:line="480" w:lineRule="auto"/>
            </w:pPr>
            <w:r>
              <w:rPr>
                <w:sz w:val="16"/>
              </w:rPr>
              <w:t>6.41</w:t>
            </w:r>
          </w:p>
        </w:tc>
      </w:tr>
      <w:tr>
        <w:tc>
          <w:tcPr>
            <w:tcW w:type="dxa" w:w="1378"/>
          </w:tcPr>
          <w:p>
            <w:pPr>
              <w:keepNext/>
              <w:spacing w:line="480" w:lineRule="auto"/>
            </w:pPr>
            <w:r>
              <w:rPr>
                <w:sz w:val="16"/>
              </w:rPr>
              <w:t>Maize</w:t>
            </w:r>
          </w:p>
        </w:tc>
        <w:tc>
          <w:tcPr>
            <w:tcW w:type="dxa" w:w="1378"/>
          </w:tcPr>
          <w:p>
            <w:pPr>
              <w:keepNext/>
              <w:spacing w:line="480" w:lineRule="auto"/>
            </w:pPr>
            <w:r>
              <w:rPr>
                <w:sz w:val="16"/>
              </w:rPr>
              <w:t>0.250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0.72</w:t>
            </w:r>
          </w:p>
        </w:tc>
        <w:tc>
          <w:tcPr>
            <w:tcW w:type="dxa" w:w="1378"/>
          </w:tcPr>
          <w:p>
            <w:pPr>
              <w:keepNext/>
              <w:spacing w:line="480" w:lineRule="auto"/>
            </w:pPr>
            <w:r>
              <w:rPr>
                <w:sz w:val="16"/>
              </w:rPr>
              <w:t>0.13</w:t>
            </w:r>
          </w:p>
        </w:tc>
      </w:tr>
      <w:tr>
        <w:tc>
          <w:tcPr>
            <w:tcW w:type="dxa" w:w="1378"/>
          </w:tcPr>
          <w:p>
            <w:pPr>
              <w:keepNext/>
              <w:spacing w:line="480" w:lineRule="auto"/>
            </w:pPr>
            <w:r>
              <w:rPr>
                <w:sz w:val="16"/>
              </w:rPr>
              <w:t>Maize</w:t>
            </w:r>
          </w:p>
        </w:tc>
        <w:tc>
          <w:tcPr>
            <w:tcW w:type="dxa" w:w="1378"/>
          </w:tcPr>
          <w:p>
            <w:pPr>
              <w:keepNext/>
              <w:spacing w:line="480" w:lineRule="auto"/>
            </w:pPr>
            <w:r>
              <w:rPr>
                <w:sz w:val="16"/>
              </w:rPr>
              <w:t>0.250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27.39</w:t>
            </w:r>
          </w:p>
        </w:tc>
        <w:tc>
          <w:tcPr>
            <w:tcW w:type="dxa" w:w="1378"/>
          </w:tcPr>
          <w:p>
            <w:pPr>
              <w:keepNext/>
              <w:spacing w:line="480" w:lineRule="auto"/>
            </w:pPr>
            <w:r>
              <w:rPr>
                <w:sz w:val="16"/>
              </w:rPr>
              <w:t>5.17</w:t>
            </w:r>
          </w:p>
        </w:tc>
      </w:tr>
      <w:tr>
        <w:tc>
          <w:tcPr>
            <w:tcW w:type="dxa" w:w="1378"/>
          </w:tcPr>
          <w:p>
            <w:pPr>
              <w:keepNext/>
              <w:spacing w:line="480" w:lineRule="auto"/>
            </w:pPr>
            <w:r>
              <w:rPr>
                <w:sz w:val="16"/>
              </w:rPr>
              <w:t>Maize</w:t>
            </w:r>
          </w:p>
        </w:tc>
        <w:tc>
          <w:tcPr>
            <w:tcW w:type="dxa" w:w="1378"/>
          </w:tcPr>
          <w:p>
            <w:pPr>
              <w:keepNext/>
              <w:spacing w:line="480" w:lineRule="auto"/>
            </w:pPr>
            <w:r>
              <w:rPr>
                <w:sz w:val="16"/>
              </w:rPr>
              <w:t>0.500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0.50</w:t>
            </w:r>
          </w:p>
        </w:tc>
        <w:tc>
          <w:tcPr>
            <w:tcW w:type="dxa" w:w="1378"/>
          </w:tcPr>
          <w:p>
            <w:pPr>
              <w:keepNext/>
              <w:spacing w:line="480" w:lineRule="auto"/>
            </w:pPr>
            <w:r>
              <w:rPr>
                <w:sz w:val="16"/>
              </w:rPr>
              <w:t>0.08</w:t>
            </w:r>
          </w:p>
        </w:tc>
      </w:tr>
      <w:tr>
        <w:tc>
          <w:tcPr>
            <w:tcW w:type="dxa" w:w="1378"/>
          </w:tcPr>
          <w:p>
            <w:pPr>
              <w:keepNext/>
              <w:spacing w:line="480" w:lineRule="auto"/>
            </w:pPr>
            <w:r>
              <w:rPr>
                <w:sz w:val="16"/>
              </w:rPr>
              <w:t>Maize</w:t>
            </w:r>
          </w:p>
        </w:tc>
        <w:tc>
          <w:tcPr>
            <w:tcW w:type="dxa" w:w="1378"/>
          </w:tcPr>
          <w:p>
            <w:pPr>
              <w:keepNext/>
              <w:spacing w:line="480" w:lineRule="auto"/>
            </w:pPr>
            <w:r>
              <w:rPr>
                <w:sz w:val="16"/>
              </w:rPr>
              <w:t>0.500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22.19</w:t>
            </w:r>
          </w:p>
        </w:tc>
        <w:tc>
          <w:tcPr>
            <w:tcW w:type="dxa" w:w="1378"/>
          </w:tcPr>
          <w:p>
            <w:pPr>
              <w:keepNext/>
              <w:spacing w:line="480" w:lineRule="auto"/>
            </w:pPr>
            <w:r>
              <w:rPr>
                <w:sz w:val="16"/>
              </w:rPr>
              <w:t>3.82</w:t>
            </w:r>
          </w:p>
        </w:tc>
      </w:tr>
      <w:tr>
        <w:tc>
          <w:tcPr>
            <w:tcW w:type="dxa" w:w="1378"/>
          </w:tcPr>
          <w:p>
            <w:pPr>
              <w:keepNext/>
              <w:spacing w:line="480" w:lineRule="auto"/>
            </w:pPr>
            <w:r>
              <w:rPr>
                <w:sz w:val="16"/>
              </w:rPr>
              <w:t>Maize</w:t>
            </w:r>
          </w:p>
        </w:tc>
        <w:tc>
          <w:tcPr>
            <w:tcW w:type="dxa" w:w="1378"/>
          </w:tcPr>
          <w:p>
            <w:pPr>
              <w:keepNext/>
              <w:spacing w:line="480" w:lineRule="auto"/>
            </w:pPr>
            <w:r>
              <w:rPr>
                <w:sz w:val="16"/>
              </w:rPr>
              <w:t>0.750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0.39</w:t>
            </w:r>
          </w:p>
        </w:tc>
        <w:tc>
          <w:tcPr>
            <w:tcW w:type="dxa" w:w="1378"/>
          </w:tcPr>
          <w:p>
            <w:pPr>
              <w:keepNext/>
              <w:spacing w:line="480" w:lineRule="auto"/>
            </w:pPr>
            <w:r>
              <w:rPr>
                <w:sz w:val="16"/>
              </w:rPr>
              <w:t>0.08</w:t>
            </w:r>
          </w:p>
        </w:tc>
      </w:tr>
      <w:tr>
        <w:tc>
          <w:tcPr>
            <w:tcW w:type="dxa" w:w="1378"/>
          </w:tcPr>
          <w:p>
            <w:pPr>
              <w:keepNext/>
              <w:spacing w:line="480" w:lineRule="auto"/>
            </w:pPr>
            <w:r>
              <w:rPr>
                <w:sz w:val="16"/>
              </w:rPr>
              <w:t>Maize</w:t>
            </w:r>
          </w:p>
        </w:tc>
        <w:tc>
          <w:tcPr>
            <w:tcW w:type="dxa" w:w="1378"/>
          </w:tcPr>
          <w:p>
            <w:pPr>
              <w:keepNext/>
              <w:spacing w:line="480" w:lineRule="auto"/>
            </w:pPr>
            <w:r>
              <w:rPr>
                <w:sz w:val="16"/>
              </w:rPr>
              <w:t>0.750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17.85</w:t>
            </w:r>
          </w:p>
        </w:tc>
        <w:tc>
          <w:tcPr>
            <w:tcW w:type="dxa" w:w="1378"/>
          </w:tcPr>
          <w:p>
            <w:pPr>
              <w:keepNext/>
              <w:spacing w:line="480" w:lineRule="auto"/>
            </w:pPr>
            <w:r>
              <w:rPr>
                <w:sz w:val="16"/>
              </w:rPr>
              <w:t>4.38</w:t>
            </w:r>
          </w:p>
        </w:tc>
      </w:tr>
      <w:tr>
        <w:tc>
          <w:tcPr>
            <w:tcW w:type="dxa" w:w="1378"/>
          </w:tcPr>
          <w:p>
            <w:pPr>
              <w:keepNext/>
              <w:spacing w:line="480" w:lineRule="auto"/>
            </w:pPr>
            <w:r>
              <w:rPr>
                <w:sz w:val="16"/>
              </w:rPr>
              <w:t>Maize</w:t>
            </w:r>
          </w:p>
        </w:tc>
        <w:tc>
          <w:tcPr>
            <w:tcW w:type="dxa" w:w="1378"/>
          </w:tcPr>
          <w:p>
            <w:pPr>
              <w:keepNext/>
              <w:spacing w:line="480" w:lineRule="auto"/>
            </w:pPr>
            <w:r>
              <w:rPr>
                <w:sz w:val="16"/>
              </w:rPr>
              <w:t>1.000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0.35</w:t>
            </w:r>
          </w:p>
        </w:tc>
        <w:tc>
          <w:tcPr>
            <w:tcW w:type="dxa" w:w="1378"/>
          </w:tcPr>
          <w:p>
            <w:pPr>
              <w:keepNext/>
              <w:spacing w:line="480" w:lineRule="auto"/>
            </w:pPr>
            <w:r>
              <w:rPr>
                <w:sz w:val="16"/>
              </w:rPr>
              <w:t>0.09</w:t>
            </w:r>
          </w:p>
        </w:tc>
      </w:tr>
      <w:tr>
        <w:tc>
          <w:tcPr>
            <w:tcW w:type="dxa" w:w="1378"/>
          </w:tcPr>
          <w:p>
            <w:pPr>
              <w:keepNext/>
              <w:spacing w:line="480" w:lineRule="auto"/>
            </w:pPr>
            <w:r>
              <w:rPr>
                <w:sz w:val="16"/>
              </w:rPr>
              <w:t>Maize</w:t>
            </w:r>
          </w:p>
        </w:tc>
        <w:tc>
          <w:tcPr>
            <w:tcW w:type="dxa" w:w="1378"/>
          </w:tcPr>
          <w:p>
            <w:pPr>
              <w:keepNext/>
              <w:spacing w:line="480" w:lineRule="auto"/>
            </w:pPr>
            <w:r>
              <w:rPr>
                <w:sz w:val="16"/>
              </w:rPr>
              <w:t>1.000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14.97</w:t>
            </w:r>
          </w:p>
        </w:tc>
        <w:tc>
          <w:tcPr>
            <w:tcW w:type="dxa" w:w="1378"/>
          </w:tcPr>
          <w:p>
            <w:pPr>
              <w:keepNext/>
              <w:spacing w:line="480" w:lineRule="auto"/>
            </w:pPr>
            <w:r>
              <w:rPr>
                <w:sz w:val="16"/>
              </w:rPr>
              <w:t>5.69</w:t>
            </w:r>
          </w:p>
        </w:tc>
      </w:tr>
      <w:tr>
        <w:tc>
          <w:tcPr>
            <w:tcW w:type="dxa" w:w="1378"/>
          </w:tcPr>
          <w:p>
            <w:pPr>
              <w:keepNext/>
              <w:spacing w:line="480" w:lineRule="auto"/>
            </w:pPr>
            <w:r>
              <w:rPr>
                <w:sz w:val="16"/>
              </w:rPr>
              <w:t>Wheat</w:t>
            </w:r>
          </w:p>
        </w:tc>
        <w:tc>
          <w:tcPr>
            <w:tcW w:type="dxa" w:w="1378"/>
          </w:tcPr>
          <w:p>
            <w:pPr>
              <w:keepNext/>
              <w:spacing w:line="480" w:lineRule="auto"/>
            </w:pPr>
            <w:r>
              <w:rPr>
                <w:sz w:val="16"/>
              </w:rPr>
              <w:t>0.000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1.49</w:t>
            </w:r>
          </w:p>
        </w:tc>
        <w:tc>
          <w:tcPr>
            <w:tcW w:type="dxa" w:w="1378"/>
          </w:tcPr>
          <w:p>
            <w:pPr>
              <w:keepNext/>
              <w:spacing w:line="480" w:lineRule="auto"/>
            </w:pPr>
            <w:r>
              <w:rPr>
                <w:sz w:val="16"/>
              </w:rPr>
              <w:t>0.19</w:t>
            </w:r>
          </w:p>
        </w:tc>
      </w:tr>
      <w:tr>
        <w:tc>
          <w:tcPr>
            <w:tcW w:type="dxa" w:w="1378"/>
          </w:tcPr>
          <w:p>
            <w:pPr>
              <w:keepNext/>
              <w:spacing w:line="480" w:lineRule="auto"/>
            </w:pPr>
            <w:r>
              <w:rPr>
                <w:sz w:val="16"/>
              </w:rPr>
              <w:t>Wheat</w:t>
            </w:r>
          </w:p>
        </w:tc>
        <w:tc>
          <w:tcPr>
            <w:tcW w:type="dxa" w:w="1378"/>
          </w:tcPr>
          <w:p>
            <w:pPr>
              <w:keepNext/>
              <w:spacing w:line="480" w:lineRule="auto"/>
            </w:pPr>
            <w:r>
              <w:rPr>
                <w:sz w:val="16"/>
              </w:rPr>
              <w:t>0.000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51.66</w:t>
            </w:r>
          </w:p>
        </w:tc>
        <w:tc>
          <w:tcPr>
            <w:tcW w:type="dxa" w:w="1378"/>
          </w:tcPr>
          <w:p>
            <w:pPr>
              <w:keepNext/>
              <w:spacing w:line="480" w:lineRule="auto"/>
            </w:pPr>
            <w:r>
              <w:rPr>
                <w:sz w:val="16"/>
              </w:rPr>
              <w:t>-3.18</w:t>
            </w:r>
          </w:p>
        </w:tc>
      </w:tr>
      <w:tr>
        <w:tc>
          <w:tcPr>
            <w:tcW w:type="dxa" w:w="1378"/>
          </w:tcPr>
          <w:p>
            <w:pPr>
              <w:keepNext/>
              <w:spacing w:line="480" w:lineRule="auto"/>
            </w:pPr>
            <w:r>
              <w:rPr>
                <w:sz w:val="16"/>
              </w:rPr>
              <w:t>Wheat</w:t>
            </w:r>
          </w:p>
        </w:tc>
        <w:tc>
          <w:tcPr>
            <w:tcW w:type="dxa" w:w="1378"/>
          </w:tcPr>
          <w:p>
            <w:pPr>
              <w:keepNext/>
              <w:spacing w:line="480" w:lineRule="auto"/>
            </w:pPr>
            <w:r>
              <w:rPr>
                <w:sz w:val="16"/>
              </w:rPr>
              <w:t>0.250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1.39</w:t>
            </w:r>
          </w:p>
        </w:tc>
        <w:tc>
          <w:tcPr>
            <w:tcW w:type="dxa" w:w="1378"/>
          </w:tcPr>
          <w:p>
            <w:pPr>
              <w:keepNext/>
              <w:spacing w:line="480" w:lineRule="auto"/>
            </w:pPr>
            <w:r>
              <w:rPr>
                <w:sz w:val="16"/>
              </w:rPr>
              <w:t>0.07</w:t>
            </w:r>
          </w:p>
        </w:tc>
      </w:tr>
      <w:tr>
        <w:tc>
          <w:tcPr>
            <w:tcW w:type="dxa" w:w="1378"/>
          </w:tcPr>
          <w:p>
            <w:pPr>
              <w:keepNext/>
              <w:spacing w:line="480" w:lineRule="auto"/>
            </w:pPr>
            <w:r>
              <w:rPr>
                <w:sz w:val="16"/>
              </w:rPr>
              <w:t>Wheat</w:t>
            </w:r>
          </w:p>
        </w:tc>
        <w:tc>
          <w:tcPr>
            <w:tcW w:type="dxa" w:w="1378"/>
          </w:tcPr>
          <w:p>
            <w:pPr>
              <w:keepNext/>
              <w:spacing w:line="480" w:lineRule="auto"/>
            </w:pPr>
            <w:r>
              <w:rPr>
                <w:sz w:val="16"/>
              </w:rPr>
              <w:t>0.250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43.32</w:t>
            </w:r>
          </w:p>
        </w:tc>
        <w:tc>
          <w:tcPr>
            <w:tcW w:type="dxa" w:w="1378"/>
          </w:tcPr>
          <w:p>
            <w:pPr>
              <w:keepNext/>
              <w:spacing w:line="480" w:lineRule="auto"/>
            </w:pPr>
            <w:r>
              <w:rPr>
                <w:sz w:val="16"/>
              </w:rPr>
              <w:t>-4.26</w:t>
            </w:r>
          </w:p>
        </w:tc>
      </w:tr>
      <w:tr>
        <w:tc>
          <w:tcPr>
            <w:tcW w:type="dxa" w:w="1378"/>
          </w:tcPr>
          <w:p>
            <w:pPr>
              <w:keepNext/>
              <w:spacing w:line="480" w:lineRule="auto"/>
            </w:pPr>
            <w:r>
              <w:rPr>
                <w:sz w:val="16"/>
              </w:rPr>
              <w:t>Wheat</w:t>
            </w:r>
          </w:p>
        </w:tc>
        <w:tc>
          <w:tcPr>
            <w:tcW w:type="dxa" w:w="1378"/>
          </w:tcPr>
          <w:p>
            <w:pPr>
              <w:keepNext/>
              <w:spacing w:line="480" w:lineRule="auto"/>
            </w:pPr>
            <w:r>
              <w:rPr>
                <w:sz w:val="16"/>
              </w:rPr>
              <w:t>0.500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1.19</w:t>
            </w:r>
          </w:p>
        </w:tc>
        <w:tc>
          <w:tcPr>
            <w:tcW w:type="dxa" w:w="1378"/>
          </w:tcPr>
          <w:p>
            <w:pPr>
              <w:keepNext/>
              <w:spacing w:line="480" w:lineRule="auto"/>
            </w:pPr>
            <w:r>
              <w:rPr>
                <w:sz w:val="16"/>
              </w:rPr>
              <w:t>-7.41 × 10⁻³</w:t>
            </w:r>
          </w:p>
        </w:tc>
      </w:tr>
      <w:tr>
        <w:tc>
          <w:tcPr>
            <w:tcW w:type="dxa" w:w="1378"/>
          </w:tcPr>
          <w:p>
            <w:pPr>
              <w:keepNext/>
              <w:spacing w:line="480" w:lineRule="auto"/>
            </w:pPr>
            <w:r>
              <w:rPr>
                <w:sz w:val="16"/>
              </w:rPr>
              <w:t>Wheat</w:t>
            </w:r>
          </w:p>
        </w:tc>
        <w:tc>
          <w:tcPr>
            <w:tcW w:type="dxa" w:w="1378"/>
          </w:tcPr>
          <w:p>
            <w:pPr>
              <w:keepNext/>
              <w:spacing w:line="480" w:lineRule="auto"/>
            </w:pPr>
            <w:r>
              <w:rPr>
                <w:sz w:val="16"/>
              </w:rPr>
              <w:t>0.500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37.97</w:t>
            </w:r>
          </w:p>
        </w:tc>
        <w:tc>
          <w:tcPr>
            <w:tcW w:type="dxa" w:w="1378"/>
          </w:tcPr>
          <w:p>
            <w:pPr>
              <w:keepNext/>
              <w:spacing w:line="480" w:lineRule="auto"/>
            </w:pPr>
            <w:r>
              <w:rPr>
                <w:sz w:val="16"/>
              </w:rPr>
              <w:t>-4.56</w:t>
            </w:r>
          </w:p>
        </w:tc>
      </w:tr>
      <w:tr>
        <w:tc>
          <w:tcPr>
            <w:tcW w:type="dxa" w:w="1378"/>
          </w:tcPr>
          <w:p>
            <w:pPr>
              <w:keepNext/>
              <w:spacing w:line="480" w:lineRule="auto"/>
            </w:pPr>
            <w:r>
              <w:rPr>
                <w:sz w:val="16"/>
              </w:rPr>
              <w:t>Wheat</w:t>
            </w:r>
          </w:p>
        </w:tc>
        <w:tc>
          <w:tcPr>
            <w:tcW w:type="dxa" w:w="1378"/>
          </w:tcPr>
          <w:p>
            <w:pPr>
              <w:keepNext/>
              <w:spacing w:line="480" w:lineRule="auto"/>
            </w:pPr>
            <w:r>
              <w:rPr>
                <w:sz w:val="16"/>
              </w:rPr>
              <w:t>0.750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0.89</w:t>
            </w:r>
          </w:p>
        </w:tc>
        <w:tc>
          <w:tcPr>
            <w:tcW w:type="dxa" w:w="1378"/>
          </w:tcPr>
          <w:p>
            <w:pPr>
              <w:keepNext/>
              <w:spacing w:line="480" w:lineRule="auto"/>
            </w:pPr>
            <w:r>
              <w:rPr>
                <w:sz w:val="16"/>
              </w:rPr>
              <w:t>-0.01</w:t>
            </w:r>
          </w:p>
        </w:tc>
      </w:tr>
      <w:tr>
        <w:tc>
          <w:tcPr>
            <w:tcW w:type="dxa" w:w="1378"/>
          </w:tcPr>
          <w:p>
            <w:pPr>
              <w:keepNext/>
              <w:spacing w:line="480" w:lineRule="auto"/>
            </w:pPr>
            <w:r>
              <w:rPr>
                <w:sz w:val="16"/>
              </w:rPr>
              <w:t>Wheat</w:t>
            </w:r>
          </w:p>
        </w:tc>
        <w:tc>
          <w:tcPr>
            <w:tcW w:type="dxa" w:w="1378"/>
          </w:tcPr>
          <w:p>
            <w:pPr>
              <w:keepNext/>
              <w:spacing w:line="480" w:lineRule="auto"/>
            </w:pPr>
            <w:r>
              <w:rPr>
                <w:sz w:val="16"/>
              </w:rPr>
              <w:t>0.750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31.90</w:t>
            </w:r>
          </w:p>
        </w:tc>
        <w:tc>
          <w:tcPr>
            <w:tcW w:type="dxa" w:w="1378"/>
          </w:tcPr>
          <w:p>
            <w:pPr>
              <w:keepNext/>
              <w:spacing w:line="480" w:lineRule="auto"/>
            </w:pPr>
            <w:r>
              <w:rPr>
                <w:sz w:val="16"/>
              </w:rPr>
              <w:t>-2.05</w:t>
            </w:r>
          </w:p>
        </w:tc>
      </w:tr>
      <w:tr>
        <w:tc>
          <w:tcPr>
            <w:tcW w:type="dxa" w:w="1378"/>
          </w:tcPr>
          <w:p>
            <w:pPr>
              <w:keepNext/>
              <w:spacing w:line="480" w:lineRule="auto"/>
            </w:pPr>
            <w:r>
              <w:rPr>
                <w:sz w:val="16"/>
              </w:rPr>
              <w:t>Wheat</w:t>
            </w:r>
          </w:p>
        </w:tc>
        <w:tc>
          <w:tcPr>
            <w:tcW w:type="dxa" w:w="1378"/>
          </w:tcPr>
          <w:p>
            <w:pPr>
              <w:keepNext/>
              <w:spacing w:line="480" w:lineRule="auto"/>
            </w:pPr>
            <w:r>
              <w:rPr>
                <w:sz w:val="16"/>
              </w:rPr>
              <w:t>1.000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0.64</w:t>
            </w:r>
          </w:p>
        </w:tc>
        <w:tc>
          <w:tcPr>
            <w:tcW w:type="dxa" w:w="1378"/>
          </w:tcPr>
          <w:p>
            <w:pPr>
              <w:keepNext/>
              <w:spacing w:line="480" w:lineRule="auto"/>
            </w:pPr>
            <w:r>
              <w:rPr>
                <w:sz w:val="16"/>
              </w:rPr>
              <w:t>0.11</w:t>
            </w:r>
          </w:p>
        </w:tc>
      </w:tr>
      <w:tr>
        <w:tc>
          <w:tcPr>
            <w:tcW w:type="dxa" w:w="1378"/>
          </w:tcPr>
          <w:p>
            <w:pPr>
              <w:keepNext w:val="0"/>
              <w:spacing w:line="480" w:lineRule="auto"/>
            </w:pPr>
            <w:r>
              <w:rPr>
                <w:sz w:val="16"/>
              </w:rPr>
              <w:t>Wheat</w:t>
            </w:r>
          </w:p>
        </w:tc>
        <w:tc>
          <w:tcPr>
            <w:tcW w:type="dxa" w:w="1378"/>
          </w:tcPr>
          <w:p>
            <w:pPr>
              <w:keepNext w:val="0"/>
              <w:spacing w:line="480" w:lineRule="auto"/>
            </w:pPr>
            <w:r>
              <w:rPr>
                <w:sz w:val="16"/>
              </w:rPr>
              <w:t>1.000</w:t>
            </w:r>
          </w:p>
        </w:tc>
        <w:tc>
          <w:tcPr>
            <w:tcW w:type="dxa" w:w="1378"/>
          </w:tcPr>
          <w:p>
            <w:pPr>
              <w:keepNext w:val="0"/>
              <w:spacing w:line="480" w:lineRule="auto"/>
            </w:pPr>
            <w:r>
              <w:rPr>
                <w:sz w:val="16"/>
              </w:rPr>
              <w:t>ET</w:t>
            </w:r>
          </w:p>
        </w:tc>
        <w:tc>
          <w:tcPr>
            <w:tcW w:type="dxa" w:w="1378"/>
          </w:tcPr>
          <w:p>
            <w:pPr>
              <w:keepNext w:val="0"/>
              <w:spacing w:line="480" w:lineRule="auto"/>
            </w:pPr>
            <w:r>
              <w:rPr>
                <w:sz w:val="16"/>
              </w:rPr>
              <w:t>mm</w:t>
            </w:r>
          </w:p>
        </w:tc>
        <w:tc>
          <w:tcPr>
            <w:tcW w:type="dxa" w:w="1378"/>
          </w:tcPr>
          <w:p>
            <w:pPr>
              <w:keepNext w:val="0"/>
              <w:spacing w:line="480" w:lineRule="auto"/>
            </w:pPr>
            <w:r>
              <w:rPr>
                <w:sz w:val="16"/>
              </w:rPr>
              <w:t>96</w:t>
            </w:r>
          </w:p>
        </w:tc>
        <w:tc>
          <w:tcPr>
            <w:tcW w:type="dxa" w:w="1378"/>
          </w:tcPr>
          <w:p>
            <w:pPr>
              <w:keepNext w:val="0"/>
              <w:spacing w:line="480" w:lineRule="auto"/>
            </w:pPr>
            <w:r>
              <w:rPr>
                <w:sz w:val="16"/>
              </w:rPr>
              <w:t>24.70</w:t>
            </w:r>
          </w:p>
        </w:tc>
        <w:tc>
          <w:tcPr>
            <w:tcW w:type="dxa" w:w="1378"/>
          </w:tcPr>
          <w:p>
            <w:pPr>
              <w:keepNext w:val="0"/>
              <w:spacing w:line="480" w:lineRule="auto"/>
            </w:pPr>
            <w:r>
              <w:rPr>
                <w:sz w:val="16"/>
              </w:rPr>
              <w:t>3.21</w:t>
            </w:r>
          </w:p>
        </w:tc>
      </w:tr>
    </w:tbl>
    <w:p>
      <w:pPr>
        <w:spacing w:line="480" w:lineRule="auto"/>
      </w:pPr>
      <w:r>
        <w:t>Current model aggregation discrepancies against eight actual-cell simulations under all five irrigation fractions. Grain is converted from kg ha⁻¹ to t ha⁻¹ in every displayed grain-valued column. Exactly zero irrigation discrepancies are omitted from display; full inputs and metrics remain in the current-results product.</w:t>
      </w:r>
    </w:p>
    <w:p>
      <w:pPr>
        <w:keepNext/>
        <w:spacing w:after="60" w:line="480" w:lineRule="auto"/>
        <w:jc w:val="center"/>
      </w:pPr>
      <w:r>
        <w:drawing>
          <wp:inline xmlns:a="http://schemas.openxmlformats.org/drawingml/2006/main" xmlns:pic="http://schemas.openxmlformats.org/drawingml/2006/picture">
            <wp:extent cx="5715000" cy="2381250"/>
            <wp:docPr id="1" name="Picture 1"/>
            <wp:cNvGraphicFramePr>
              <a:graphicFrameLocks noChangeAspect="1"/>
            </wp:cNvGraphicFramePr>
            <a:graphic>
              <a:graphicData uri="http://schemas.openxmlformats.org/drawingml/2006/picture">
                <pic:pic>
                  <pic:nvPicPr>
                    <pic:cNvPr id="0" name="all_quota_spatial_errors.png"/>
                    <pic:cNvPicPr/>
                  </pic:nvPicPr>
                  <pic:blipFill>
                    <a:blip r:embed="rId10"/>
                    <a:stretch>
                      <a:fillRect/>
                    </a:stretch>
                  </pic:blipFill>
                  <pic:spPr>
                    <a:xfrm>
                      <a:off x="0" y="0"/>
                      <a:ext cx="5715000" cy="2381250"/>
                    </a:xfrm>
                    <a:prstGeom prst="rect"/>
                  </pic:spPr>
                </pic:pic>
              </a:graphicData>
            </a:graphic>
          </wp:inline>
        </w:drawing>
      </w:r>
    </w:p>
    <w:p>
      <w:pPr>
        <w:pStyle w:val="Caption"/>
        <w:keepLines/>
        <w:spacing w:line="480" w:lineRule="auto"/>
      </w:pPr>
      <w:r>
        <w:t>Figure S1. Current crop-model spatial aggregation errors under all five irrigation fractions in eight purposively selected cells during 2014–2025. Actual-cell and representative predictions share the current native model and crop parameters. These discrepancies assess spatial representation rather than field-observation accuracy.</w:t>
      </w:r>
    </w:p>
    <w:p>
      <w:pPr>
        <w:pStyle w:val="Heading1"/>
        <w:spacing w:line="480" w:lineRule="auto"/>
      </w:pPr>
      <w:r>
        <w:t>S4. Annual field yields and irrigation-treatment contrasts</w:t>
      </w:r>
    </w:p>
    <w:p>
      <w:pPr>
        <w:spacing w:line="480" w:lineRule="auto"/>
      </w:pPr>
      <w:r>
        <w:t>Annual Wuqiao grain targets comprise sixteen treatment-year means per crop in 2016–2019, digitized with standard errors from the primary Supplementary Figure S2. Grain retains its 13% moisture basis in comparisons. The twelve 2016–2018 means per crop enter calibration after a single multiplication by 0.87 to dry matter. The four 2019 means remain outside fitting and selection but had been inspected during earlier development. Four-year means summarize the same years and supply no additional independent targets.</w:t>
      </w:r>
    </w:p>
    <w:p>
      <w:pPr>
        <w:spacing w:line="480" w:lineRule="auto"/>
      </w:pPr>
      <w:r>
        <w:t>Annual grain calibration RMSE is 1.249 t ha⁻¹ for wheat and 2.267 t ha⁻¹ for maize; retrospective-testing RMSE is 3.161 and 1.700 t ha⁻¹ at 13% moisture. Within-year W1–W3 minus W0 grain-contrast RMSE is 0.519 and 1.669 t ha⁻¹ in calibration and 1.316 and 1.323 t ha⁻¹ in 2019 (Table S5; Figure S2). Maize treatment labels retain preceding wheat management because maize irrigation is identical within each year.</w:t>
      </w:r>
    </w:p>
    <w:p>
      <w:pPr>
        <w:spacing w:line="480" w:lineRule="auto"/>
      </w:pPr>
      <w:r>
        <w:t>All printed seasonal ET targets remain eligible after matching the 2016 maize rainfall period. Maize-season rainfall of 499.1 mm excludes the 100.5 mm during wheat from the 599.6-mm rotation total. Reconstructed balance residuals for W0–W3 are +0.1, +0.1, −0.9 and +0.1 mm. Source ET and depletion values remain unchanged. Storage-depletion diagnostics share the source ET balance and its unconfirmed exact sampling dates; they are conditional accounting comparisons rather than independent soil-water validation.</w:t>
      </w:r>
    </w:p>
    <w:p>
      <w:pPr>
        <w:pStyle w:val="Caption"/>
        <w:keepNext/>
        <w:spacing w:line="480" w:lineRule="auto"/>
      </w:pPr>
      <w:r>
        <w:t>Table S5. Wuqiao annual grain and within-year treatment contrasts by fitting and testing partition.</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206"/>
        <w:gridCol w:w="1206"/>
        <w:gridCol w:w="1206"/>
        <w:gridCol w:w="1206"/>
        <w:gridCol w:w="1206"/>
        <w:gridCol w:w="1206"/>
        <w:gridCol w:w="1206"/>
        <w:gridCol w:w="1206"/>
      </w:tblGrid>
      <w:tr>
        <w:tc>
          <w:tcPr>
            <w:tcW w:type="dxa" w:w="1206"/>
            <w:tcBorders>
              <w:bottom w:val="single" w:sz="6" w:color="000000"/>
            </w:tcBorders>
          </w:tcPr>
          <w:p>
            <w:pPr>
              <w:keepNext/>
              <w:spacing w:line="480" w:lineRule="auto"/>
            </w:pPr>
            <w:r>
              <w:rPr>
                <w:b/>
                <w:sz w:val="16"/>
              </w:rPr>
              <w:t>Crop</w:t>
            </w:r>
          </w:p>
        </w:tc>
        <w:tc>
          <w:tcPr>
            <w:tcW w:type="dxa" w:w="1206"/>
            <w:tcBorders>
              <w:bottom w:val="single" w:sz="6" w:color="000000"/>
            </w:tcBorders>
          </w:tcPr>
          <w:p>
            <w:pPr>
              <w:keepNext/>
              <w:spacing w:line="480" w:lineRule="auto"/>
            </w:pPr>
            <w:r>
              <w:rPr>
                <w:b/>
                <w:sz w:val="16"/>
              </w:rPr>
              <w:t>Dataset</w:t>
            </w:r>
          </w:p>
        </w:tc>
        <w:tc>
          <w:tcPr>
            <w:tcW w:type="dxa" w:w="1206"/>
            <w:tcBorders>
              <w:bottom w:val="single" w:sz="6" w:color="000000"/>
            </w:tcBorders>
          </w:tcPr>
          <w:p>
            <w:pPr>
              <w:keepNext/>
              <w:spacing w:line="480" w:lineRule="auto"/>
            </w:pPr>
            <w:r>
              <w:rPr>
                <w:b/>
                <w:sz w:val="16"/>
              </w:rPr>
              <w:t>Comparison</w:t>
            </w:r>
          </w:p>
        </w:tc>
        <w:tc>
          <w:tcPr>
            <w:tcW w:type="dxa" w:w="1206"/>
            <w:tcBorders>
              <w:bottom w:val="single" w:sz="6" w:color="000000"/>
            </w:tcBorders>
          </w:tcPr>
          <w:p>
            <w:pPr>
              <w:keepNext/>
              <w:spacing w:line="480" w:lineRule="auto"/>
            </w:pPr>
            <w:r>
              <w:rPr>
                <w:b/>
                <w:sz w:val="16"/>
              </w:rPr>
              <w:t>N</w:t>
            </w:r>
          </w:p>
        </w:tc>
        <w:tc>
          <w:tcPr>
            <w:tcW w:type="dxa" w:w="1206"/>
            <w:tcBorders>
              <w:bottom w:val="single" w:sz="6" w:color="000000"/>
            </w:tcBorders>
          </w:tcPr>
          <w:p>
            <w:pPr>
              <w:keepNext/>
              <w:spacing w:line="480" w:lineRule="auto"/>
            </w:pPr>
            <w:r>
              <w:rPr>
                <w:b/>
                <w:sz w:val="16"/>
              </w:rPr>
              <w:t>RMSE (t/ha)</w:t>
            </w:r>
          </w:p>
        </w:tc>
        <w:tc>
          <w:tcPr>
            <w:tcW w:type="dxa" w:w="1206"/>
            <w:tcBorders>
              <w:bottom w:val="single" w:sz="6" w:color="000000"/>
            </w:tcBorders>
          </w:tcPr>
          <w:p>
            <w:pPr>
              <w:keepNext/>
              <w:spacing w:line="480" w:lineRule="auto"/>
            </w:pPr>
            <w:r>
              <w:rPr>
                <w:b/>
                <w:sz w:val="16"/>
              </w:rPr>
              <w:t>Bias (t/ha)</w:t>
            </w:r>
          </w:p>
        </w:tc>
        <w:tc>
          <w:tcPr>
            <w:tcW w:type="dxa" w:w="1206"/>
            <w:tcBorders>
              <w:bottom w:val="single" w:sz="6" w:color="000000"/>
            </w:tcBorders>
          </w:tcPr>
          <w:p>
            <w:pPr>
              <w:keepNext/>
              <w:spacing w:line="480" w:lineRule="auto"/>
            </w:pPr>
            <w:r>
              <w:rPr>
                <w:b/>
                <w:sz w:val="16"/>
              </w:rPr>
              <w:t>NSE</w:t>
            </w:r>
          </w:p>
        </w:tc>
        <w:tc>
          <w:tcPr>
            <w:tcW w:type="dxa" w:w="1206"/>
            <w:tcBorders>
              <w:bottom w:val="single" w:sz="6" w:color="000000"/>
            </w:tcBorders>
          </w:tcPr>
          <w:p>
            <w:pPr>
              <w:keepNext/>
              <w:spacing w:line="480" w:lineRule="auto"/>
            </w:pPr>
            <w:r>
              <w:rPr>
                <w:b/>
                <w:sz w:val="16"/>
              </w:rPr>
              <w:t>R²</w:t>
            </w:r>
          </w:p>
        </w:tc>
      </w:tr>
      <w:tr>
        <w:tc>
          <w:tcPr>
            <w:tcW w:type="dxa" w:w="1206"/>
          </w:tcPr>
          <w:p>
            <w:pPr>
              <w:keepNext/>
              <w:spacing w:line="480" w:lineRule="auto"/>
            </w:pPr>
            <w:r>
              <w:rPr>
                <w:sz w:val="16"/>
              </w:rPr>
              <w:t>Maize</w:t>
            </w:r>
          </w:p>
        </w:tc>
        <w:tc>
          <w:tcPr>
            <w:tcW w:type="dxa" w:w="1206"/>
          </w:tcPr>
          <w:p>
            <w:pPr>
              <w:keepNext/>
              <w:spacing w:line="480" w:lineRule="auto"/>
            </w:pPr>
            <w:r>
              <w:rPr>
                <w:sz w:val="16"/>
              </w:rPr>
              <w:t>Calibration (2016–2018)</w:t>
            </w:r>
          </w:p>
        </w:tc>
        <w:tc>
          <w:tcPr>
            <w:tcW w:type="dxa" w:w="1206"/>
          </w:tcPr>
          <w:p>
            <w:pPr>
              <w:keepNext/>
              <w:spacing w:line="480" w:lineRule="auto"/>
            </w:pPr>
            <w:r>
              <w:rPr>
                <w:sz w:val="16"/>
              </w:rPr>
              <w:t>Annual grain yield</w:t>
            </w:r>
          </w:p>
        </w:tc>
        <w:tc>
          <w:tcPr>
            <w:tcW w:type="dxa" w:w="1206"/>
          </w:tcPr>
          <w:p>
            <w:pPr>
              <w:keepNext/>
              <w:spacing w:line="480" w:lineRule="auto"/>
            </w:pPr>
            <w:r>
              <w:rPr>
                <w:sz w:val="16"/>
              </w:rPr>
              <w:t>12</w:t>
            </w:r>
          </w:p>
        </w:tc>
        <w:tc>
          <w:tcPr>
            <w:tcW w:type="dxa" w:w="1206"/>
          </w:tcPr>
          <w:p>
            <w:pPr>
              <w:keepNext/>
              <w:spacing w:line="480" w:lineRule="auto"/>
            </w:pPr>
            <w:r>
              <w:rPr>
                <w:sz w:val="16"/>
              </w:rPr>
              <w:t>2.267</w:t>
            </w:r>
          </w:p>
        </w:tc>
        <w:tc>
          <w:tcPr>
            <w:tcW w:type="dxa" w:w="1206"/>
          </w:tcPr>
          <w:p>
            <w:pPr>
              <w:keepNext/>
              <w:spacing w:line="480" w:lineRule="auto"/>
            </w:pPr>
            <w:r>
              <w:rPr>
                <w:sz w:val="16"/>
              </w:rPr>
              <w:t>-1.738</w:t>
            </w:r>
          </w:p>
        </w:tc>
        <w:tc>
          <w:tcPr>
            <w:tcW w:type="dxa" w:w="1206"/>
          </w:tcPr>
          <w:p>
            <w:pPr>
              <w:keepNext/>
              <w:spacing w:line="480" w:lineRule="auto"/>
            </w:pPr>
            <w:r>
              <w:rPr>
                <w:sz w:val="16"/>
              </w:rPr>
              <w:t>-2.940</w:t>
            </w:r>
          </w:p>
        </w:tc>
        <w:tc>
          <w:tcPr>
            <w:tcW w:type="dxa" w:w="1206"/>
          </w:tcPr>
          <w:p>
            <w:pPr>
              <w:keepNext/>
              <w:spacing w:line="480" w:lineRule="auto"/>
            </w:pPr>
            <w:r>
              <w:rPr>
                <w:sz w:val="16"/>
              </w:rPr>
              <w:t>0.128</w:t>
            </w:r>
          </w:p>
        </w:tc>
      </w:tr>
      <w:tr>
        <w:tc>
          <w:tcPr>
            <w:tcW w:type="dxa" w:w="1206"/>
          </w:tcPr>
          <w:p>
            <w:pPr>
              <w:keepNext/>
              <w:spacing w:line="480" w:lineRule="auto"/>
            </w:pPr>
            <w:r>
              <w:rPr>
                <w:sz w:val="16"/>
              </w:rPr>
              <w:t>Maize</w:t>
            </w:r>
          </w:p>
        </w:tc>
        <w:tc>
          <w:tcPr>
            <w:tcW w:type="dxa" w:w="1206"/>
          </w:tcPr>
          <w:p>
            <w:pPr>
              <w:keepNext/>
              <w:spacing w:line="480" w:lineRule="auto"/>
            </w:pPr>
            <w:r>
              <w:rPr>
                <w:sz w:val="16"/>
              </w:rPr>
              <w:t>Calibration (2016–2018)</w:t>
            </w:r>
          </w:p>
        </w:tc>
        <w:tc>
          <w:tcPr>
            <w:tcW w:type="dxa" w:w="1206"/>
          </w:tcPr>
          <w:p>
            <w:pPr>
              <w:keepNext/>
              <w:spacing w:line="480" w:lineRule="auto"/>
            </w:pPr>
            <w:r>
              <w:rPr>
                <w:sz w:val="16"/>
              </w:rPr>
              <w:t>Within-year W1–W3 minus W0</w:t>
            </w:r>
          </w:p>
        </w:tc>
        <w:tc>
          <w:tcPr>
            <w:tcW w:type="dxa" w:w="1206"/>
          </w:tcPr>
          <w:p>
            <w:pPr>
              <w:keepNext/>
              <w:spacing w:line="480" w:lineRule="auto"/>
            </w:pPr>
            <w:r>
              <w:rPr>
                <w:sz w:val="16"/>
              </w:rPr>
              <w:t>9</w:t>
            </w:r>
          </w:p>
        </w:tc>
        <w:tc>
          <w:tcPr>
            <w:tcW w:type="dxa" w:w="1206"/>
          </w:tcPr>
          <w:p>
            <w:pPr>
              <w:keepNext/>
              <w:spacing w:line="480" w:lineRule="auto"/>
            </w:pPr>
            <w:r>
              <w:rPr>
                <w:sz w:val="16"/>
              </w:rPr>
              <w:t>1.669</w:t>
            </w:r>
          </w:p>
        </w:tc>
        <w:tc>
          <w:tcPr>
            <w:tcW w:type="dxa" w:w="1206"/>
          </w:tcPr>
          <w:p>
            <w:pPr>
              <w:keepNext/>
              <w:spacing w:line="480" w:lineRule="auto"/>
            </w:pPr>
            <w:r>
              <w:rPr>
                <w:sz w:val="16"/>
              </w:rPr>
              <w:t>0.296</w:t>
            </w:r>
          </w:p>
        </w:tc>
        <w:tc>
          <w:tcPr>
            <w:tcW w:type="dxa" w:w="1206"/>
          </w:tcPr>
          <w:p>
            <w:pPr>
              <w:keepNext/>
              <w:spacing w:line="480" w:lineRule="auto"/>
            </w:pPr>
            <w:r>
              <w:rPr>
                <w:sz w:val="16"/>
              </w:rPr>
              <w:t>-0.788</w:t>
            </w:r>
          </w:p>
        </w:tc>
        <w:tc>
          <w:tcPr>
            <w:tcW w:type="dxa" w:w="1206"/>
          </w:tcPr>
          <w:p>
            <w:pPr>
              <w:keepNext/>
              <w:spacing w:line="480" w:lineRule="auto"/>
            </w:pPr>
            <w:r>
              <w:rPr>
                <w:sz w:val="16"/>
              </w:rPr>
              <w:t>0.076</w:t>
            </w:r>
          </w:p>
        </w:tc>
      </w:tr>
      <w:tr>
        <w:tc>
          <w:tcPr>
            <w:tcW w:type="dxa" w:w="1206"/>
          </w:tcPr>
          <w:p>
            <w:pPr>
              <w:keepNext/>
              <w:spacing w:line="480" w:lineRule="auto"/>
            </w:pPr>
            <w:r>
              <w:rPr>
                <w:sz w:val="16"/>
              </w:rPr>
              <w:t>Maize</w:t>
            </w:r>
          </w:p>
        </w:tc>
        <w:tc>
          <w:tcPr>
            <w:tcW w:type="dxa" w:w="1206"/>
          </w:tcPr>
          <w:p>
            <w:pPr>
              <w:keepNext/>
              <w:spacing w:line="480" w:lineRule="auto"/>
            </w:pPr>
            <w:r>
              <w:rPr>
                <w:sz w:val="16"/>
              </w:rPr>
              <w:t>Retrospective evaluation (2019)</w:t>
            </w:r>
          </w:p>
        </w:tc>
        <w:tc>
          <w:tcPr>
            <w:tcW w:type="dxa" w:w="1206"/>
          </w:tcPr>
          <w:p>
            <w:pPr>
              <w:keepNext/>
              <w:spacing w:line="480" w:lineRule="auto"/>
            </w:pPr>
            <w:r>
              <w:rPr>
                <w:sz w:val="16"/>
              </w:rPr>
              <w:t>Annual grain yield</w:t>
            </w:r>
          </w:p>
        </w:tc>
        <w:tc>
          <w:tcPr>
            <w:tcW w:type="dxa" w:w="1206"/>
          </w:tcPr>
          <w:p>
            <w:pPr>
              <w:keepNext/>
              <w:spacing w:line="480" w:lineRule="auto"/>
            </w:pPr>
            <w:r>
              <w:rPr>
                <w:sz w:val="16"/>
              </w:rPr>
              <w:t>4</w:t>
            </w:r>
          </w:p>
        </w:tc>
        <w:tc>
          <w:tcPr>
            <w:tcW w:type="dxa" w:w="1206"/>
          </w:tcPr>
          <w:p>
            <w:pPr>
              <w:keepNext/>
              <w:spacing w:line="480" w:lineRule="auto"/>
            </w:pPr>
            <w:r>
              <w:rPr>
                <w:sz w:val="16"/>
              </w:rPr>
              <w:t>1.700</w:t>
            </w:r>
          </w:p>
        </w:tc>
        <w:tc>
          <w:tcPr>
            <w:tcW w:type="dxa" w:w="1206"/>
          </w:tcPr>
          <w:p>
            <w:pPr>
              <w:keepNext/>
              <w:spacing w:line="480" w:lineRule="auto"/>
            </w:pPr>
            <w:r>
              <w:rPr>
                <w:sz w:val="16"/>
              </w:rPr>
              <w:t>1.403</w:t>
            </w:r>
          </w:p>
        </w:tc>
        <w:tc>
          <w:tcPr>
            <w:tcW w:type="dxa" w:w="1206"/>
          </w:tcPr>
          <w:p>
            <w:pPr>
              <w:keepNext/>
              <w:spacing w:line="480" w:lineRule="auto"/>
            </w:pPr>
            <w:r>
              <w:rPr>
                <w:sz w:val="16"/>
              </w:rPr>
              <w:t>-3.641</w:t>
            </w:r>
          </w:p>
        </w:tc>
        <w:tc>
          <w:tcPr>
            <w:tcW w:type="dxa" w:w="1206"/>
          </w:tcPr>
          <w:p>
            <w:pPr>
              <w:keepNext/>
              <w:spacing w:line="480" w:lineRule="auto"/>
            </w:pPr>
            <w:r>
              <w:rPr>
                <w:sz w:val="16"/>
              </w:rPr>
              <w:t>0.972</w:t>
            </w:r>
          </w:p>
        </w:tc>
      </w:tr>
      <w:tr>
        <w:tc>
          <w:tcPr>
            <w:tcW w:type="dxa" w:w="1206"/>
          </w:tcPr>
          <w:p>
            <w:pPr>
              <w:keepNext/>
              <w:spacing w:line="480" w:lineRule="auto"/>
            </w:pPr>
            <w:r>
              <w:rPr>
                <w:sz w:val="16"/>
              </w:rPr>
              <w:t>Maize</w:t>
            </w:r>
          </w:p>
        </w:tc>
        <w:tc>
          <w:tcPr>
            <w:tcW w:type="dxa" w:w="1206"/>
          </w:tcPr>
          <w:p>
            <w:pPr>
              <w:keepNext/>
              <w:spacing w:line="480" w:lineRule="auto"/>
            </w:pPr>
            <w:r>
              <w:rPr>
                <w:sz w:val="16"/>
              </w:rPr>
              <w:t>Retrospective evaluation (2019)</w:t>
            </w:r>
          </w:p>
        </w:tc>
        <w:tc>
          <w:tcPr>
            <w:tcW w:type="dxa" w:w="1206"/>
          </w:tcPr>
          <w:p>
            <w:pPr>
              <w:keepNext/>
              <w:spacing w:line="480" w:lineRule="auto"/>
            </w:pPr>
            <w:r>
              <w:rPr>
                <w:sz w:val="16"/>
              </w:rPr>
              <w:t>Within-year W1–W3 minus W0</w:t>
            </w:r>
          </w:p>
        </w:tc>
        <w:tc>
          <w:tcPr>
            <w:tcW w:type="dxa" w:w="1206"/>
          </w:tcPr>
          <w:p>
            <w:pPr>
              <w:keepNext/>
              <w:spacing w:line="480" w:lineRule="auto"/>
            </w:pPr>
            <w:r>
              <w:rPr>
                <w:sz w:val="16"/>
              </w:rPr>
              <w:t>3</w:t>
            </w:r>
          </w:p>
        </w:tc>
        <w:tc>
          <w:tcPr>
            <w:tcW w:type="dxa" w:w="1206"/>
          </w:tcPr>
          <w:p>
            <w:pPr>
              <w:keepNext/>
              <w:spacing w:line="480" w:lineRule="auto"/>
            </w:pPr>
            <w:r>
              <w:rPr>
                <w:sz w:val="16"/>
              </w:rPr>
              <w:t>1.323</w:t>
            </w:r>
          </w:p>
        </w:tc>
        <w:tc>
          <w:tcPr>
            <w:tcW w:type="dxa" w:w="1206"/>
          </w:tcPr>
          <w:p>
            <w:pPr>
              <w:keepNext/>
              <w:spacing w:line="480" w:lineRule="auto"/>
            </w:pPr>
            <w:r>
              <w:rPr>
                <w:sz w:val="16"/>
              </w:rPr>
              <w:t>-0.836</w:t>
            </w:r>
          </w:p>
        </w:tc>
        <w:tc>
          <w:tcPr>
            <w:tcW w:type="dxa" w:w="1206"/>
          </w:tcPr>
          <w:p>
            <w:pPr>
              <w:keepNext/>
              <w:spacing w:line="480" w:lineRule="auto"/>
            </w:pPr>
            <w:r>
              <w:rPr>
                <w:sz w:val="16"/>
              </w:rPr>
              <w:t>-1.403</w:t>
            </w:r>
          </w:p>
        </w:tc>
        <w:tc>
          <w:tcPr>
            <w:tcW w:type="dxa" w:w="1206"/>
          </w:tcPr>
          <w:p>
            <w:pPr>
              <w:keepNext/>
              <w:spacing w:line="480" w:lineRule="auto"/>
            </w:pPr>
            <w:r>
              <w:rPr>
                <w:sz w:val="16"/>
              </w:rPr>
              <w:t>1.000</w:t>
            </w:r>
          </w:p>
        </w:tc>
      </w:tr>
      <w:tr>
        <w:tc>
          <w:tcPr>
            <w:tcW w:type="dxa" w:w="1206"/>
          </w:tcPr>
          <w:p>
            <w:pPr>
              <w:keepNext/>
              <w:spacing w:line="480" w:lineRule="auto"/>
            </w:pPr>
            <w:r>
              <w:rPr>
                <w:sz w:val="16"/>
              </w:rPr>
              <w:t>Wheat</w:t>
            </w:r>
          </w:p>
        </w:tc>
        <w:tc>
          <w:tcPr>
            <w:tcW w:type="dxa" w:w="1206"/>
          </w:tcPr>
          <w:p>
            <w:pPr>
              <w:keepNext/>
              <w:spacing w:line="480" w:lineRule="auto"/>
            </w:pPr>
            <w:r>
              <w:rPr>
                <w:sz w:val="16"/>
              </w:rPr>
              <w:t>Calibration (2016–2018)</w:t>
            </w:r>
          </w:p>
        </w:tc>
        <w:tc>
          <w:tcPr>
            <w:tcW w:type="dxa" w:w="1206"/>
          </w:tcPr>
          <w:p>
            <w:pPr>
              <w:keepNext/>
              <w:spacing w:line="480" w:lineRule="auto"/>
            </w:pPr>
            <w:r>
              <w:rPr>
                <w:sz w:val="16"/>
              </w:rPr>
              <w:t>Annual grain yield</w:t>
            </w:r>
          </w:p>
        </w:tc>
        <w:tc>
          <w:tcPr>
            <w:tcW w:type="dxa" w:w="1206"/>
          </w:tcPr>
          <w:p>
            <w:pPr>
              <w:keepNext/>
              <w:spacing w:line="480" w:lineRule="auto"/>
            </w:pPr>
            <w:r>
              <w:rPr>
                <w:sz w:val="16"/>
              </w:rPr>
              <w:t>12</w:t>
            </w:r>
          </w:p>
        </w:tc>
        <w:tc>
          <w:tcPr>
            <w:tcW w:type="dxa" w:w="1206"/>
          </w:tcPr>
          <w:p>
            <w:pPr>
              <w:keepNext/>
              <w:spacing w:line="480" w:lineRule="auto"/>
            </w:pPr>
            <w:r>
              <w:rPr>
                <w:sz w:val="16"/>
              </w:rPr>
              <w:t>1.249</w:t>
            </w:r>
          </w:p>
        </w:tc>
        <w:tc>
          <w:tcPr>
            <w:tcW w:type="dxa" w:w="1206"/>
          </w:tcPr>
          <w:p>
            <w:pPr>
              <w:keepNext/>
              <w:spacing w:line="480" w:lineRule="auto"/>
            </w:pPr>
            <w:r>
              <w:rPr>
                <w:sz w:val="16"/>
              </w:rPr>
              <w:t>-0.445</w:t>
            </w:r>
          </w:p>
        </w:tc>
        <w:tc>
          <w:tcPr>
            <w:tcW w:type="dxa" w:w="1206"/>
          </w:tcPr>
          <w:p>
            <w:pPr>
              <w:keepNext/>
              <w:spacing w:line="480" w:lineRule="auto"/>
            </w:pPr>
            <w:r>
              <w:rPr>
                <w:sz w:val="16"/>
              </w:rPr>
              <w:t>0.746</w:t>
            </w:r>
          </w:p>
        </w:tc>
        <w:tc>
          <w:tcPr>
            <w:tcW w:type="dxa" w:w="1206"/>
          </w:tcPr>
          <w:p>
            <w:pPr>
              <w:keepNext/>
              <w:spacing w:line="480" w:lineRule="auto"/>
            </w:pPr>
            <w:r>
              <w:rPr>
                <w:sz w:val="16"/>
              </w:rPr>
              <w:t>0.817</w:t>
            </w:r>
          </w:p>
        </w:tc>
      </w:tr>
      <w:tr>
        <w:tc>
          <w:tcPr>
            <w:tcW w:type="dxa" w:w="1206"/>
          </w:tcPr>
          <w:p>
            <w:pPr>
              <w:keepNext/>
              <w:spacing w:line="480" w:lineRule="auto"/>
            </w:pPr>
            <w:r>
              <w:rPr>
                <w:sz w:val="16"/>
              </w:rPr>
              <w:t>Wheat</w:t>
            </w:r>
          </w:p>
        </w:tc>
        <w:tc>
          <w:tcPr>
            <w:tcW w:type="dxa" w:w="1206"/>
          </w:tcPr>
          <w:p>
            <w:pPr>
              <w:keepNext/>
              <w:spacing w:line="480" w:lineRule="auto"/>
            </w:pPr>
            <w:r>
              <w:rPr>
                <w:sz w:val="16"/>
              </w:rPr>
              <w:t>Calibration (2016–2018)</w:t>
            </w:r>
          </w:p>
        </w:tc>
        <w:tc>
          <w:tcPr>
            <w:tcW w:type="dxa" w:w="1206"/>
          </w:tcPr>
          <w:p>
            <w:pPr>
              <w:keepNext/>
              <w:spacing w:line="480" w:lineRule="auto"/>
            </w:pPr>
            <w:r>
              <w:rPr>
                <w:sz w:val="16"/>
              </w:rPr>
              <w:t>Within-year W1–W3 minus W0</w:t>
            </w:r>
          </w:p>
        </w:tc>
        <w:tc>
          <w:tcPr>
            <w:tcW w:type="dxa" w:w="1206"/>
          </w:tcPr>
          <w:p>
            <w:pPr>
              <w:keepNext/>
              <w:spacing w:line="480" w:lineRule="auto"/>
            </w:pPr>
            <w:r>
              <w:rPr>
                <w:sz w:val="16"/>
              </w:rPr>
              <w:t>9</w:t>
            </w:r>
          </w:p>
        </w:tc>
        <w:tc>
          <w:tcPr>
            <w:tcW w:type="dxa" w:w="1206"/>
          </w:tcPr>
          <w:p>
            <w:pPr>
              <w:keepNext/>
              <w:spacing w:line="480" w:lineRule="auto"/>
            </w:pPr>
            <w:r>
              <w:rPr>
                <w:sz w:val="16"/>
              </w:rPr>
              <w:t>0.519</w:t>
            </w:r>
          </w:p>
        </w:tc>
        <w:tc>
          <w:tcPr>
            <w:tcW w:type="dxa" w:w="1206"/>
          </w:tcPr>
          <w:p>
            <w:pPr>
              <w:keepNext/>
              <w:spacing w:line="480" w:lineRule="auto"/>
            </w:pPr>
            <w:r>
              <w:rPr>
                <w:sz w:val="16"/>
              </w:rPr>
              <w:t>0.064</w:t>
            </w:r>
          </w:p>
        </w:tc>
        <w:tc>
          <w:tcPr>
            <w:tcW w:type="dxa" w:w="1206"/>
          </w:tcPr>
          <w:p>
            <w:pPr>
              <w:keepNext/>
              <w:spacing w:line="480" w:lineRule="auto"/>
            </w:pPr>
            <w:r>
              <w:rPr>
                <w:sz w:val="16"/>
              </w:rPr>
              <w:t>0.857</w:t>
            </w:r>
          </w:p>
        </w:tc>
        <w:tc>
          <w:tcPr>
            <w:tcW w:type="dxa" w:w="1206"/>
          </w:tcPr>
          <w:p>
            <w:pPr>
              <w:keepNext/>
              <w:spacing w:line="480" w:lineRule="auto"/>
            </w:pPr>
            <w:r>
              <w:rPr>
                <w:sz w:val="16"/>
              </w:rPr>
              <w:t>0.882</w:t>
            </w:r>
          </w:p>
        </w:tc>
      </w:tr>
      <w:tr>
        <w:tc>
          <w:tcPr>
            <w:tcW w:type="dxa" w:w="1206"/>
          </w:tcPr>
          <w:p>
            <w:pPr>
              <w:keepNext/>
              <w:spacing w:line="480" w:lineRule="auto"/>
            </w:pPr>
            <w:r>
              <w:rPr>
                <w:sz w:val="16"/>
              </w:rPr>
              <w:t>Wheat</w:t>
            </w:r>
          </w:p>
        </w:tc>
        <w:tc>
          <w:tcPr>
            <w:tcW w:type="dxa" w:w="1206"/>
          </w:tcPr>
          <w:p>
            <w:pPr>
              <w:keepNext/>
              <w:spacing w:line="480" w:lineRule="auto"/>
            </w:pPr>
            <w:r>
              <w:rPr>
                <w:sz w:val="16"/>
              </w:rPr>
              <w:t>Retrospective evaluation (2019)</w:t>
            </w:r>
          </w:p>
        </w:tc>
        <w:tc>
          <w:tcPr>
            <w:tcW w:type="dxa" w:w="1206"/>
          </w:tcPr>
          <w:p>
            <w:pPr>
              <w:keepNext/>
              <w:spacing w:line="480" w:lineRule="auto"/>
            </w:pPr>
            <w:r>
              <w:rPr>
                <w:sz w:val="16"/>
              </w:rPr>
              <w:t>Annual grain yield</w:t>
            </w:r>
          </w:p>
        </w:tc>
        <w:tc>
          <w:tcPr>
            <w:tcW w:type="dxa" w:w="1206"/>
          </w:tcPr>
          <w:p>
            <w:pPr>
              <w:keepNext/>
              <w:spacing w:line="480" w:lineRule="auto"/>
            </w:pPr>
            <w:r>
              <w:rPr>
                <w:sz w:val="16"/>
              </w:rPr>
              <w:t>4</w:t>
            </w:r>
          </w:p>
        </w:tc>
        <w:tc>
          <w:tcPr>
            <w:tcW w:type="dxa" w:w="1206"/>
          </w:tcPr>
          <w:p>
            <w:pPr>
              <w:keepNext/>
              <w:spacing w:line="480" w:lineRule="auto"/>
            </w:pPr>
            <w:r>
              <w:rPr>
                <w:sz w:val="16"/>
              </w:rPr>
              <w:t>3.161</w:t>
            </w:r>
          </w:p>
        </w:tc>
        <w:tc>
          <w:tcPr>
            <w:tcW w:type="dxa" w:w="1206"/>
          </w:tcPr>
          <w:p>
            <w:pPr>
              <w:keepNext/>
              <w:spacing w:line="480" w:lineRule="auto"/>
            </w:pPr>
            <w:r>
              <w:rPr>
                <w:sz w:val="16"/>
              </w:rPr>
              <w:t>3.108</w:t>
            </w:r>
          </w:p>
        </w:tc>
        <w:tc>
          <w:tcPr>
            <w:tcW w:type="dxa" w:w="1206"/>
          </w:tcPr>
          <w:p>
            <w:pPr>
              <w:keepNext/>
              <w:spacing w:line="480" w:lineRule="auto"/>
            </w:pPr>
            <w:r>
              <w:rPr>
                <w:sz w:val="16"/>
              </w:rPr>
              <w:t>-4.654</w:t>
            </w:r>
          </w:p>
        </w:tc>
        <w:tc>
          <w:tcPr>
            <w:tcW w:type="dxa" w:w="1206"/>
          </w:tcPr>
          <w:p>
            <w:pPr>
              <w:keepNext/>
              <w:spacing w:line="480" w:lineRule="auto"/>
            </w:pPr>
            <w:r>
              <w:rPr>
                <w:sz w:val="16"/>
              </w:rPr>
              <w:t>0.870</w:t>
            </w:r>
          </w:p>
        </w:tc>
      </w:tr>
      <w:tr>
        <w:tc>
          <w:tcPr>
            <w:tcW w:type="dxa" w:w="1206"/>
          </w:tcPr>
          <w:p>
            <w:pPr>
              <w:keepNext w:val="0"/>
              <w:spacing w:line="480" w:lineRule="auto"/>
            </w:pPr>
            <w:r>
              <w:rPr>
                <w:sz w:val="16"/>
              </w:rPr>
              <w:t>Wheat</w:t>
            </w:r>
          </w:p>
        </w:tc>
        <w:tc>
          <w:tcPr>
            <w:tcW w:type="dxa" w:w="1206"/>
          </w:tcPr>
          <w:p>
            <w:pPr>
              <w:keepNext w:val="0"/>
              <w:spacing w:line="480" w:lineRule="auto"/>
            </w:pPr>
            <w:r>
              <w:rPr>
                <w:sz w:val="16"/>
              </w:rPr>
              <w:t>Retrospective evaluation (2019)</w:t>
            </w:r>
          </w:p>
        </w:tc>
        <w:tc>
          <w:tcPr>
            <w:tcW w:type="dxa" w:w="1206"/>
          </w:tcPr>
          <w:p>
            <w:pPr>
              <w:keepNext w:val="0"/>
              <w:spacing w:line="480" w:lineRule="auto"/>
            </w:pPr>
            <w:r>
              <w:rPr>
                <w:sz w:val="16"/>
              </w:rPr>
              <w:t>Within-year W1–W3 minus W0</w:t>
            </w:r>
          </w:p>
        </w:tc>
        <w:tc>
          <w:tcPr>
            <w:tcW w:type="dxa" w:w="1206"/>
          </w:tcPr>
          <w:p>
            <w:pPr>
              <w:keepNext w:val="0"/>
              <w:spacing w:line="480" w:lineRule="auto"/>
            </w:pPr>
            <w:r>
              <w:rPr>
                <w:sz w:val="16"/>
              </w:rPr>
              <w:t>3</w:t>
            </w:r>
          </w:p>
        </w:tc>
        <w:tc>
          <w:tcPr>
            <w:tcW w:type="dxa" w:w="1206"/>
          </w:tcPr>
          <w:p>
            <w:pPr>
              <w:keepNext w:val="0"/>
              <w:spacing w:line="480" w:lineRule="auto"/>
            </w:pPr>
            <w:r>
              <w:rPr>
                <w:sz w:val="16"/>
              </w:rPr>
              <w:t>1.316</w:t>
            </w:r>
          </w:p>
        </w:tc>
        <w:tc>
          <w:tcPr>
            <w:tcW w:type="dxa" w:w="1206"/>
          </w:tcPr>
          <w:p>
            <w:pPr>
              <w:keepNext w:val="0"/>
              <w:spacing w:line="480" w:lineRule="auto"/>
            </w:pPr>
            <w:r>
              <w:rPr>
                <w:sz w:val="16"/>
              </w:rPr>
              <w:t>-1.312</w:t>
            </w:r>
          </w:p>
        </w:tc>
        <w:tc>
          <w:tcPr>
            <w:tcW w:type="dxa" w:w="1206"/>
          </w:tcPr>
          <w:p>
            <w:pPr>
              <w:keepNext w:val="0"/>
              <w:spacing w:line="480" w:lineRule="auto"/>
            </w:pPr>
            <w:r>
              <w:rPr>
                <w:sz w:val="16"/>
              </w:rPr>
              <w:t>-0.712</w:t>
            </w:r>
          </w:p>
        </w:tc>
        <w:tc>
          <w:tcPr>
            <w:tcW w:type="dxa" w:w="1206"/>
          </w:tcPr>
          <w:p>
            <w:pPr>
              <w:keepNext w:val="0"/>
              <w:spacing w:line="480" w:lineRule="auto"/>
            </w:pPr>
            <w:r>
              <w:rPr>
                <w:sz w:val="16"/>
              </w:rPr>
              <w:t>0.994</w:t>
            </w:r>
          </w:p>
        </w:tc>
      </w:tr>
    </w:tbl>
    <w:p>
      <w:pPr>
        <w:spacing w:line="480" w:lineRule="auto"/>
      </w:pPr>
      <w:r>
        <w:t>Grain is at 13% moisture. Calibration comprises 2016–2018 and retrospective testing comprises 2019. Source means and standard errors are digitized from Supplementary Figure S2, with pixel tolerances near 0.043 t ha⁻¹ for wheat and 0.056 for maize. Contrasts compare W1–W3 with same-year W0. Four-year means overlap these annual targets; maize contrasts retain preceding wheat histories.</w:t>
      </w:r>
    </w:p>
    <w:p>
      <w:pPr>
        <w:keepNext/>
        <w:spacing w:after="60" w:line="480" w:lineRule="auto"/>
        <w:jc w:val="center"/>
      </w:pPr>
      <w:r>
        <w:drawing>
          <wp:inline xmlns:a="http://schemas.openxmlformats.org/drawingml/2006/main" xmlns:pic="http://schemas.openxmlformats.org/drawingml/2006/picture">
            <wp:extent cx="5715000" cy="2969559"/>
            <wp:docPr id="2" name="Picture 2"/>
            <wp:cNvGraphicFramePr>
              <a:graphicFrameLocks noChangeAspect="1"/>
            </wp:cNvGraphicFramePr>
            <a:graphic>
              <a:graphicData uri="http://schemas.openxmlformats.org/drawingml/2006/picture">
                <pic:pic>
                  <pic:nvPicPr>
                    <pic:cNvPr id="0" name="current_annual_field_grain.png"/>
                    <pic:cNvPicPr/>
                  </pic:nvPicPr>
                  <pic:blipFill>
                    <a:blip r:embed="rId11"/>
                    <a:stretch>
                      <a:fillRect/>
                    </a:stretch>
                  </pic:blipFill>
                  <pic:spPr>
                    <a:xfrm>
                      <a:off x="0" y="0"/>
                      <a:ext cx="5715000" cy="2969559"/>
                    </a:xfrm>
                    <a:prstGeom prst="rect"/>
                  </pic:spPr>
                </pic:pic>
              </a:graphicData>
            </a:graphic>
          </wp:inline>
        </w:drawing>
      </w:r>
    </w:p>
    <w:p>
      <w:pPr>
        <w:pStyle w:val="Caption"/>
        <w:keepLines/>
        <w:spacing w:line="480" w:lineRule="auto"/>
      </w:pPr>
      <w:r>
        <w:t>Figure S2. Annual Wuqiao grain at 13% moisture under the selected current parameters. Panels (a–d) show wheat and (e–h) maize; columns from left to right show 2016, 2017, 2018 and 2019. Black points and error bars are published means ± standard error of three replicates; blue squares show current predictions. The 2016–2018 treatment means contribute to water calibration after conversion to dry grain; 2019 is retrospective testing, excluded from fitting and selection. Maize irrigation is identical within each year and labels retain preceding wheat management. Source means and SE are digitized from Supplementary Figure S2 of the primary experiment.</w:t>
      </w:r>
    </w:p>
    <w:p>
      <w:pPr>
        <w:pStyle w:val="Heading1"/>
        <w:spacing w:line="480" w:lineRule="auto"/>
      </w:pPr>
      <w:r>
        <w:t>S5. Class exposure, continuous states and rainfall-only controls</w:t>
      </w:r>
    </w:p>
    <w:p>
      <w:pPr>
        <w:spacing w:line="480" w:lineRule="auto"/>
      </w:pPr>
      <w:r>
        <w:t>All nine common GRACE-available years occupy lower-storage classes; three other years use conventional fallback. The selected current quotas are identical across storage strata within each rainfall group. Matched rainfall-only and storage–rainfall histories have identical actions, crop states and outcomes throughout the modeled record.</w:t>
      </w:r>
    </w:p>
    <w:p>
      <w:pPr>
        <w:spacing w:line="480" w:lineRule="auto"/>
      </w:pPr>
      <w:r>
        <w:t>Available-rainfall controls apply reduced quotas during monitoring gaps and therefore create different carried water states before later common years. These history effects are separate from the value of the storage classification. Table S7 reports all-year and common-year retention and water use; Table S8 reports the matched and available-rainfall controls.</w:t>
      </w:r>
    </w:p>
    <w:p>
      <w:pPr>
        <w:pStyle w:val="Caption"/>
        <w:keepNext/>
        <w:spacing w:line="480" w:lineRule="auto"/>
      </w:pPr>
      <w:r>
        <w:t>Table S6. Class exposure and missing-storage coverage by period.</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608"/>
        <w:gridCol w:w="1608"/>
        <w:gridCol w:w="1608"/>
        <w:gridCol w:w="1608"/>
        <w:gridCol w:w="1608"/>
        <w:gridCol w:w="1608"/>
      </w:tblGrid>
      <w:tr>
        <w:tc>
          <w:tcPr>
            <w:tcW w:type="dxa" w:w="1608"/>
            <w:tcBorders>
              <w:bottom w:val="single" w:sz="6" w:color="000000"/>
            </w:tcBorders>
          </w:tcPr>
          <w:p>
            <w:pPr>
              <w:keepNext/>
              <w:spacing w:line="480" w:lineRule="auto"/>
            </w:pPr>
            <w:r>
              <w:rPr>
                <w:b/>
                <w:sz w:val="16"/>
              </w:rPr>
              <w:t>Period</w:t>
            </w:r>
          </w:p>
        </w:tc>
        <w:tc>
          <w:tcPr>
            <w:tcW w:type="dxa" w:w="1608"/>
            <w:tcBorders>
              <w:bottom w:val="single" w:sz="6" w:color="000000"/>
            </w:tcBorders>
          </w:tcPr>
          <w:p>
            <w:pPr>
              <w:keepNext/>
              <w:spacing w:line="480" w:lineRule="auto"/>
            </w:pPr>
            <w:r>
              <w:rPr>
                <w:b/>
                <w:sz w:val="16"/>
              </w:rPr>
              <w:t>Class</w:t>
            </w:r>
          </w:p>
        </w:tc>
        <w:tc>
          <w:tcPr>
            <w:tcW w:type="dxa" w:w="1608"/>
            <w:tcBorders>
              <w:bottom w:val="single" w:sz="6" w:color="000000"/>
            </w:tcBorders>
          </w:tcPr>
          <w:p>
            <w:pPr>
              <w:keepNext/>
              <w:spacing w:line="480" w:lineRule="auto"/>
            </w:pPr>
            <w:r>
              <w:rPr>
                <w:b/>
                <w:sz w:val="16"/>
              </w:rPr>
              <w:t>Unit-years</w:t>
            </w:r>
          </w:p>
        </w:tc>
        <w:tc>
          <w:tcPr>
            <w:tcW w:type="dxa" w:w="1608"/>
            <w:tcBorders>
              <w:bottom w:val="single" w:sz="6" w:color="000000"/>
            </w:tcBorders>
          </w:tcPr>
          <w:p>
            <w:pPr>
              <w:keepNext/>
              <w:spacing w:line="480" w:lineRule="auto"/>
            </w:pPr>
            <w:r>
              <w:rPr>
                <w:b/>
                <w:sz w:val="16"/>
              </w:rPr>
              <w:t>Years</w:t>
            </w:r>
          </w:p>
        </w:tc>
        <w:tc>
          <w:tcPr>
            <w:tcW w:type="dxa" w:w="1608"/>
            <w:tcBorders>
              <w:bottom w:val="single" w:sz="6" w:color="000000"/>
            </w:tcBorders>
          </w:tcPr>
          <w:p>
            <w:pPr>
              <w:keepNext/>
              <w:spacing w:line="480" w:lineRule="auto"/>
            </w:pPr>
            <w:r>
              <w:rPr>
                <w:b/>
                <w:sz w:val="16"/>
              </w:rPr>
              <w:t>Area–years (ha yr)</w:t>
            </w:r>
          </w:p>
        </w:tc>
        <w:tc>
          <w:tcPr>
            <w:tcW w:type="dxa" w:w="1608"/>
            <w:tcBorders>
              <w:bottom w:val="single" w:sz="6" w:color="000000"/>
            </w:tcBorders>
          </w:tcPr>
          <w:p>
            <w:pPr>
              <w:keepNext/>
              <w:spacing w:line="480" w:lineRule="auto"/>
            </w:pPr>
            <w:r>
              <w:rPr>
                <w:b/>
                <w:sz w:val="16"/>
              </w:rPr>
              <w:t>Area–year fraction</w:t>
            </w:r>
          </w:p>
        </w:tc>
      </w:tr>
      <w:tr>
        <w:tc>
          <w:tcPr>
            <w:tcW w:type="dxa" w:w="1608"/>
          </w:tcPr>
          <w:p>
            <w:pPr>
              <w:keepNext/>
              <w:spacing w:line="480" w:lineRule="auto"/>
            </w:pPr>
            <w:r>
              <w:rPr>
                <w:sz w:val="16"/>
              </w:rPr>
              <w:t>evaluation</w:t>
            </w:r>
          </w:p>
        </w:tc>
        <w:tc>
          <w:tcPr>
            <w:tcW w:type="dxa" w:w="1608"/>
          </w:tcPr>
          <w:p>
            <w:pPr>
              <w:keepNext/>
              <w:spacing w:line="480" w:lineRule="auto"/>
            </w:pPr>
            <w:r>
              <w:rPr>
                <w:sz w:val="16"/>
              </w:rPr>
              <w:t>Lower storage / lower rainfall</w:t>
            </w:r>
          </w:p>
        </w:tc>
        <w:tc>
          <w:tcPr>
            <w:tcW w:type="dxa" w:w="1608"/>
          </w:tcPr>
          <w:p>
            <w:pPr>
              <w:keepNext/>
              <w:spacing w:line="480" w:lineRule="auto"/>
            </w:pPr>
            <w:r>
              <w:rPr>
                <w:sz w:val="16"/>
              </w:rPr>
              <w:t>174</w:t>
            </w:r>
          </w:p>
        </w:tc>
        <w:tc>
          <w:tcPr>
            <w:tcW w:type="dxa" w:w="1608"/>
          </w:tcPr>
          <w:p>
            <w:pPr>
              <w:keepNext/>
              <w:spacing w:line="480" w:lineRule="auto"/>
            </w:pPr>
            <w:r>
              <w:rPr>
                <w:sz w:val="16"/>
              </w:rPr>
              <w:t>9</w:t>
            </w:r>
          </w:p>
        </w:tc>
        <w:tc>
          <w:tcPr>
            <w:tcW w:type="dxa" w:w="1608"/>
          </w:tcPr>
          <w:p>
            <w:pPr>
              <w:keepNext/>
              <w:spacing w:line="480" w:lineRule="auto"/>
            </w:pPr>
            <w:r>
              <w:rPr>
                <w:sz w:val="16"/>
              </w:rPr>
              <w:t>55410278.787</w:t>
            </w:r>
          </w:p>
        </w:tc>
        <w:tc>
          <w:tcPr>
            <w:tcW w:type="dxa" w:w="1608"/>
          </w:tcPr>
          <w:p>
            <w:pPr>
              <w:keepNext/>
              <w:spacing w:line="480" w:lineRule="auto"/>
            </w:pPr>
            <w:r>
              <w:rPr>
                <w:sz w:val="16"/>
              </w:rPr>
              <w:t>0.468</w:t>
            </w:r>
          </w:p>
        </w:tc>
      </w:tr>
      <w:tr>
        <w:tc>
          <w:tcPr>
            <w:tcW w:type="dxa" w:w="1608"/>
          </w:tcPr>
          <w:p>
            <w:pPr>
              <w:keepNext/>
              <w:spacing w:line="480" w:lineRule="auto"/>
            </w:pPr>
            <w:r>
              <w:rPr>
                <w:sz w:val="16"/>
              </w:rPr>
              <w:t>evaluation</w:t>
            </w:r>
          </w:p>
        </w:tc>
        <w:tc>
          <w:tcPr>
            <w:tcW w:type="dxa" w:w="1608"/>
          </w:tcPr>
          <w:p>
            <w:pPr>
              <w:keepNext/>
              <w:spacing w:line="480" w:lineRule="auto"/>
            </w:pPr>
            <w:r>
              <w:rPr>
                <w:sz w:val="16"/>
              </w:rPr>
              <w:t>Lower storage / higher rainfall</w:t>
            </w:r>
          </w:p>
        </w:tc>
        <w:tc>
          <w:tcPr>
            <w:tcW w:type="dxa" w:w="1608"/>
          </w:tcPr>
          <w:p>
            <w:pPr>
              <w:keepNext/>
              <w:spacing w:line="480" w:lineRule="auto"/>
            </w:pPr>
            <w:r>
              <w:rPr>
                <w:sz w:val="16"/>
              </w:rPr>
              <w:t>114</w:t>
            </w:r>
          </w:p>
        </w:tc>
        <w:tc>
          <w:tcPr>
            <w:tcW w:type="dxa" w:w="1608"/>
          </w:tcPr>
          <w:p>
            <w:pPr>
              <w:keepNext/>
              <w:spacing w:line="480" w:lineRule="auto"/>
            </w:pPr>
            <w:r>
              <w:rPr>
                <w:sz w:val="16"/>
              </w:rPr>
              <w:t>9</w:t>
            </w:r>
          </w:p>
        </w:tc>
        <w:tc>
          <w:tcPr>
            <w:tcW w:type="dxa" w:w="1608"/>
          </w:tcPr>
          <w:p>
            <w:pPr>
              <w:keepNext/>
              <w:spacing w:line="480" w:lineRule="auto"/>
            </w:pPr>
            <w:r>
              <w:rPr>
                <w:sz w:val="16"/>
              </w:rPr>
              <w:t>33389136.355</w:t>
            </w:r>
          </w:p>
        </w:tc>
        <w:tc>
          <w:tcPr>
            <w:tcW w:type="dxa" w:w="1608"/>
          </w:tcPr>
          <w:p>
            <w:pPr>
              <w:keepNext/>
              <w:spacing w:line="480" w:lineRule="auto"/>
            </w:pPr>
            <w:r>
              <w:rPr>
                <w:sz w:val="16"/>
              </w:rPr>
              <w:t>0.282</w:t>
            </w:r>
          </w:p>
        </w:tc>
      </w:tr>
      <w:tr>
        <w:tc>
          <w:tcPr>
            <w:tcW w:type="dxa" w:w="1608"/>
          </w:tcPr>
          <w:p>
            <w:pPr>
              <w:keepNext/>
              <w:spacing w:line="480" w:lineRule="auto"/>
            </w:pPr>
            <w:r>
              <w:rPr>
                <w:sz w:val="16"/>
              </w:rPr>
              <w:t>evaluation</w:t>
            </w:r>
          </w:p>
        </w:tc>
        <w:tc>
          <w:tcPr>
            <w:tcW w:type="dxa" w:w="1608"/>
          </w:tcPr>
          <w:p>
            <w:pPr>
              <w:keepNext/>
              <w:spacing w:line="480" w:lineRule="auto"/>
            </w:pPr>
            <w:r>
              <w:rPr>
                <w:sz w:val="16"/>
              </w:rPr>
              <w:t>Missing storage</w:t>
            </w:r>
          </w:p>
        </w:tc>
        <w:tc>
          <w:tcPr>
            <w:tcW w:type="dxa" w:w="1608"/>
          </w:tcPr>
          <w:p>
            <w:pPr>
              <w:keepNext/>
              <w:spacing w:line="480" w:lineRule="auto"/>
            </w:pPr>
            <w:r>
              <w:rPr>
                <w:sz w:val="16"/>
              </w:rPr>
              <w:t>96</w:t>
            </w:r>
          </w:p>
        </w:tc>
        <w:tc>
          <w:tcPr>
            <w:tcW w:type="dxa" w:w="1608"/>
          </w:tcPr>
          <w:p>
            <w:pPr>
              <w:keepNext/>
              <w:spacing w:line="480" w:lineRule="auto"/>
            </w:pPr>
            <w:r>
              <w:rPr>
                <w:sz w:val="16"/>
              </w:rPr>
              <w:t>3</w:t>
            </w:r>
          </w:p>
        </w:tc>
        <w:tc>
          <w:tcPr>
            <w:tcW w:type="dxa" w:w="1608"/>
          </w:tcPr>
          <w:p>
            <w:pPr>
              <w:keepNext/>
              <w:spacing w:line="480" w:lineRule="auto"/>
            </w:pPr>
            <w:r>
              <w:rPr>
                <w:sz w:val="16"/>
              </w:rPr>
              <w:t>29599805.048</w:t>
            </w:r>
          </w:p>
        </w:tc>
        <w:tc>
          <w:tcPr>
            <w:tcW w:type="dxa" w:w="1608"/>
          </w:tcPr>
          <w:p>
            <w:pPr>
              <w:keepNext/>
              <w:spacing w:line="480" w:lineRule="auto"/>
            </w:pPr>
            <w:r>
              <w:rPr>
                <w:sz w:val="16"/>
              </w:rPr>
              <w:t>0.250</w:t>
            </w:r>
          </w:p>
        </w:tc>
      </w:tr>
      <w:tr>
        <w:tc>
          <w:tcPr>
            <w:tcW w:type="dxa" w:w="1608"/>
          </w:tcPr>
          <w:p>
            <w:pPr>
              <w:keepNext/>
              <w:spacing w:line="480" w:lineRule="auto"/>
            </w:pPr>
            <w:r>
              <w:rPr>
                <w:sz w:val="16"/>
              </w:rPr>
              <w:t>selection</w:t>
            </w:r>
          </w:p>
        </w:tc>
        <w:tc>
          <w:tcPr>
            <w:tcW w:type="dxa" w:w="1608"/>
          </w:tcPr>
          <w:p>
            <w:pPr>
              <w:keepNext/>
              <w:spacing w:line="480" w:lineRule="auto"/>
            </w:pPr>
            <w:r>
              <w:rPr>
                <w:sz w:val="16"/>
              </w:rPr>
              <w:t>Higher storage / lower rainfall</w:t>
            </w:r>
          </w:p>
        </w:tc>
        <w:tc>
          <w:tcPr>
            <w:tcW w:type="dxa" w:w="1608"/>
          </w:tcPr>
          <w:p>
            <w:pPr>
              <w:keepNext/>
              <w:spacing w:line="480" w:lineRule="auto"/>
            </w:pPr>
            <w:r>
              <w:rPr>
                <w:sz w:val="16"/>
              </w:rPr>
              <w:t>68</w:t>
            </w:r>
          </w:p>
        </w:tc>
        <w:tc>
          <w:tcPr>
            <w:tcW w:type="dxa" w:w="1608"/>
          </w:tcPr>
          <w:p>
            <w:pPr>
              <w:keepNext/>
              <w:spacing w:line="480" w:lineRule="auto"/>
            </w:pPr>
            <w:r>
              <w:rPr>
                <w:sz w:val="16"/>
              </w:rPr>
              <w:t>6</w:t>
            </w:r>
          </w:p>
        </w:tc>
        <w:tc>
          <w:tcPr>
            <w:tcW w:type="dxa" w:w="1608"/>
          </w:tcPr>
          <w:p>
            <w:pPr>
              <w:keepNext/>
              <w:spacing w:line="480" w:lineRule="auto"/>
            </w:pPr>
            <w:r>
              <w:rPr>
                <w:sz w:val="16"/>
              </w:rPr>
              <w:t>19466918.675</w:t>
            </w:r>
          </w:p>
        </w:tc>
        <w:tc>
          <w:tcPr>
            <w:tcW w:type="dxa" w:w="1608"/>
          </w:tcPr>
          <w:p>
            <w:pPr>
              <w:keepNext/>
              <w:spacing w:line="480" w:lineRule="auto"/>
            </w:pPr>
            <w:r>
              <w:rPr>
                <w:sz w:val="16"/>
              </w:rPr>
              <w:t>0.179</w:t>
            </w:r>
          </w:p>
        </w:tc>
      </w:tr>
      <w:tr>
        <w:tc>
          <w:tcPr>
            <w:tcW w:type="dxa" w:w="1608"/>
          </w:tcPr>
          <w:p>
            <w:pPr>
              <w:keepNext/>
              <w:spacing w:line="480" w:lineRule="auto"/>
            </w:pPr>
            <w:r>
              <w:rPr>
                <w:sz w:val="16"/>
              </w:rPr>
              <w:t>selection</w:t>
            </w:r>
          </w:p>
        </w:tc>
        <w:tc>
          <w:tcPr>
            <w:tcW w:type="dxa" w:w="1608"/>
          </w:tcPr>
          <w:p>
            <w:pPr>
              <w:keepNext/>
              <w:spacing w:line="480" w:lineRule="auto"/>
            </w:pPr>
            <w:r>
              <w:rPr>
                <w:sz w:val="16"/>
              </w:rPr>
              <w:t>Higher storage / higher rainfall</w:t>
            </w:r>
          </w:p>
        </w:tc>
        <w:tc>
          <w:tcPr>
            <w:tcW w:type="dxa" w:w="1608"/>
          </w:tcPr>
          <w:p>
            <w:pPr>
              <w:keepNext/>
              <w:spacing w:line="480" w:lineRule="auto"/>
            </w:pPr>
            <w:r>
              <w:rPr>
                <w:sz w:val="16"/>
              </w:rPr>
              <w:t>124</w:t>
            </w:r>
          </w:p>
        </w:tc>
        <w:tc>
          <w:tcPr>
            <w:tcW w:type="dxa" w:w="1608"/>
          </w:tcPr>
          <w:p>
            <w:pPr>
              <w:keepNext/>
              <w:spacing w:line="480" w:lineRule="auto"/>
            </w:pPr>
            <w:r>
              <w:rPr>
                <w:sz w:val="16"/>
              </w:rPr>
              <w:t>6</w:t>
            </w:r>
          </w:p>
        </w:tc>
        <w:tc>
          <w:tcPr>
            <w:tcW w:type="dxa" w:w="1608"/>
          </w:tcPr>
          <w:p>
            <w:pPr>
              <w:keepNext/>
              <w:spacing w:line="480" w:lineRule="auto"/>
            </w:pPr>
            <w:r>
              <w:rPr>
                <w:sz w:val="16"/>
              </w:rPr>
              <w:t>39732691.420</w:t>
            </w:r>
          </w:p>
        </w:tc>
        <w:tc>
          <w:tcPr>
            <w:tcW w:type="dxa" w:w="1608"/>
          </w:tcPr>
          <w:p>
            <w:pPr>
              <w:keepNext/>
              <w:spacing w:line="480" w:lineRule="auto"/>
            </w:pPr>
            <w:r>
              <w:rPr>
                <w:sz w:val="16"/>
              </w:rPr>
              <w:t>0.366</w:t>
            </w:r>
          </w:p>
        </w:tc>
      </w:tr>
      <w:tr>
        <w:tc>
          <w:tcPr>
            <w:tcW w:type="dxa" w:w="1608"/>
          </w:tcPr>
          <w:p>
            <w:pPr>
              <w:keepNext/>
              <w:spacing w:line="480" w:lineRule="auto"/>
            </w:pPr>
            <w:r>
              <w:rPr>
                <w:sz w:val="16"/>
              </w:rPr>
              <w:t>selection</w:t>
            </w:r>
          </w:p>
        </w:tc>
        <w:tc>
          <w:tcPr>
            <w:tcW w:type="dxa" w:w="1608"/>
          </w:tcPr>
          <w:p>
            <w:pPr>
              <w:keepNext/>
              <w:spacing w:line="480" w:lineRule="auto"/>
            </w:pPr>
            <w:r>
              <w:rPr>
                <w:sz w:val="16"/>
              </w:rPr>
              <w:t>Lower storage / lower rainfall</w:t>
            </w:r>
          </w:p>
        </w:tc>
        <w:tc>
          <w:tcPr>
            <w:tcW w:type="dxa" w:w="1608"/>
          </w:tcPr>
          <w:p>
            <w:pPr>
              <w:keepNext/>
              <w:spacing w:line="480" w:lineRule="auto"/>
            </w:pPr>
            <w:r>
              <w:rPr>
                <w:sz w:val="16"/>
              </w:rPr>
              <w:t>109</w:t>
            </w:r>
          </w:p>
        </w:tc>
        <w:tc>
          <w:tcPr>
            <w:tcW w:type="dxa" w:w="1608"/>
          </w:tcPr>
          <w:p>
            <w:pPr>
              <w:keepNext/>
              <w:spacing w:line="480" w:lineRule="auto"/>
            </w:pPr>
            <w:r>
              <w:rPr>
                <w:sz w:val="16"/>
              </w:rPr>
              <w:t>5</w:t>
            </w:r>
          </w:p>
        </w:tc>
        <w:tc>
          <w:tcPr>
            <w:tcW w:type="dxa" w:w="1608"/>
          </w:tcPr>
          <w:p>
            <w:pPr>
              <w:keepNext/>
              <w:spacing w:line="480" w:lineRule="auto"/>
            </w:pPr>
            <w:r>
              <w:rPr>
                <w:sz w:val="16"/>
              </w:rPr>
              <w:t>34747673.179</w:t>
            </w:r>
          </w:p>
        </w:tc>
        <w:tc>
          <w:tcPr>
            <w:tcW w:type="dxa" w:w="1608"/>
          </w:tcPr>
          <w:p>
            <w:pPr>
              <w:keepNext/>
              <w:spacing w:line="480" w:lineRule="auto"/>
            </w:pPr>
            <w:r>
              <w:rPr>
                <w:sz w:val="16"/>
              </w:rPr>
              <w:t>0.320</w:t>
            </w:r>
          </w:p>
        </w:tc>
      </w:tr>
      <w:tr>
        <w:tc>
          <w:tcPr>
            <w:tcW w:type="dxa" w:w="1608"/>
          </w:tcPr>
          <w:p>
            <w:pPr>
              <w:keepNext w:val="0"/>
              <w:spacing w:line="480" w:lineRule="auto"/>
            </w:pPr>
            <w:r>
              <w:rPr>
                <w:sz w:val="16"/>
              </w:rPr>
              <w:t>selection</w:t>
            </w:r>
          </w:p>
        </w:tc>
        <w:tc>
          <w:tcPr>
            <w:tcW w:type="dxa" w:w="1608"/>
          </w:tcPr>
          <w:p>
            <w:pPr>
              <w:keepNext w:val="0"/>
              <w:spacing w:line="480" w:lineRule="auto"/>
            </w:pPr>
            <w:r>
              <w:rPr>
                <w:sz w:val="16"/>
              </w:rPr>
              <w:t>Lower storage / higher rainfall</w:t>
            </w:r>
          </w:p>
        </w:tc>
        <w:tc>
          <w:tcPr>
            <w:tcW w:type="dxa" w:w="1608"/>
          </w:tcPr>
          <w:p>
            <w:pPr>
              <w:keepNext w:val="0"/>
              <w:spacing w:line="480" w:lineRule="auto"/>
            </w:pPr>
            <w:r>
              <w:rPr>
                <w:sz w:val="16"/>
              </w:rPr>
              <w:t>51</w:t>
            </w:r>
          </w:p>
        </w:tc>
        <w:tc>
          <w:tcPr>
            <w:tcW w:type="dxa" w:w="1608"/>
          </w:tcPr>
          <w:p>
            <w:pPr>
              <w:keepNext w:val="0"/>
              <w:spacing w:line="480" w:lineRule="auto"/>
            </w:pPr>
            <w:r>
              <w:rPr>
                <w:sz w:val="16"/>
              </w:rPr>
              <w:t>5</w:t>
            </w:r>
          </w:p>
        </w:tc>
        <w:tc>
          <w:tcPr>
            <w:tcW w:type="dxa" w:w="1608"/>
          </w:tcPr>
          <w:p>
            <w:pPr>
              <w:keepNext w:val="0"/>
              <w:spacing w:line="480" w:lineRule="auto"/>
            </w:pPr>
            <w:r>
              <w:rPr>
                <w:sz w:val="16"/>
              </w:rPr>
              <w:t>14585335.233</w:t>
            </w:r>
          </w:p>
        </w:tc>
        <w:tc>
          <w:tcPr>
            <w:tcW w:type="dxa" w:w="1608"/>
          </w:tcPr>
          <w:p>
            <w:pPr>
              <w:keepNext w:val="0"/>
              <w:spacing w:line="480" w:lineRule="auto"/>
            </w:pPr>
            <w:r>
              <w:rPr>
                <w:sz w:val="16"/>
              </w:rPr>
              <w:t>0.134</w:t>
            </w:r>
          </w:p>
        </w:tc>
      </w:tr>
    </w:tbl>
    <w:p>
      <w:pPr>
        <w:pStyle w:val="Caption"/>
        <w:keepNext/>
        <w:spacing w:line="480" w:lineRule="auto"/>
      </w:pPr>
      <w:r>
        <w:t>Table S7. Continuous class-adaptive irrigation evaluation during 2014–2025.</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378"/>
        <w:gridCol w:w="1378"/>
        <w:gridCol w:w="1378"/>
        <w:gridCol w:w="1378"/>
        <w:gridCol w:w="1378"/>
        <w:gridCol w:w="1378"/>
        <w:gridCol w:w="1378"/>
      </w:tblGrid>
      <w:tr>
        <w:tc>
          <w:tcPr>
            <w:tcW w:type="dxa" w:w="1378"/>
            <w:tcBorders>
              <w:bottom w:val="single" w:sz="6" w:color="000000"/>
            </w:tcBorders>
          </w:tcPr>
          <w:p>
            <w:pPr>
              <w:keepNext/>
              <w:spacing w:line="480" w:lineRule="auto"/>
            </w:pPr>
            <w:r>
              <w:rPr>
                <w:b/>
                <w:sz w:val="16"/>
              </w:rPr>
              <w:t>Strategy</w:t>
            </w:r>
          </w:p>
        </w:tc>
        <w:tc>
          <w:tcPr>
            <w:tcW w:type="dxa" w:w="1378"/>
            <w:tcBorders>
              <w:bottom w:val="single" w:sz="6" w:color="000000"/>
            </w:tcBorders>
          </w:tcPr>
          <w:p>
            <w:pPr>
              <w:keepNext/>
              <w:spacing w:line="480" w:lineRule="auto"/>
            </w:pPr>
            <w:r>
              <w:rPr>
                <w:b/>
                <w:sz w:val="16"/>
              </w:rPr>
              <w:t>Period</w:t>
            </w:r>
          </w:p>
        </w:tc>
        <w:tc>
          <w:tcPr>
            <w:tcW w:type="dxa" w:w="1378"/>
            <w:tcBorders>
              <w:bottom w:val="single" w:sz="6" w:color="000000"/>
            </w:tcBorders>
          </w:tcPr>
          <w:p>
            <w:pPr>
              <w:keepNext/>
              <w:spacing w:line="480" w:lineRule="auto"/>
            </w:pPr>
            <w:r>
              <w:rPr>
                <w:b/>
                <w:sz w:val="16"/>
              </w:rPr>
              <w:t>Years</w:t>
            </w:r>
          </w:p>
        </w:tc>
        <w:tc>
          <w:tcPr>
            <w:tcW w:type="dxa" w:w="1378"/>
            <w:tcBorders>
              <w:bottom w:val="single" w:sz="6" w:color="000000"/>
            </w:tcBorders>
          </w:tcPr>
          <w:p>
            <w:pPr>
              <w:keepNext/>
              <w:spacing w:line="480" w:lineRule="auto"/>
            </w:pPr>
            <w:r>
              <w:rPr>
                <w:b/>
                <w:sz w:val="16"/>
              </w:rPr>
              <w:t>Grain retained (%)</w:t>
            </w:r>
          </w:p>
        </w:tc>
        <w:tc>
          <w:tcPr>
            <w:tcW w:type="dxa" w:w="1378"/>
            <w:tcBorders>
              <w:bottom w:val="single" w:sz="6" w:color="000000"/>
            </w:tcBorders>
          </w:tcPr>
          <w:p>
            <w:pPr>
              <w:keepNext/>
              <w:spacing w:line="480" w:lineRule="auto"/>
            </w:pPr>
            <w:r>
              <w:rPr>
                <w:b/>
                <w:sz w:val="16"/>
              </w:rPr>
              <w:t>Irrigation cut (mm)</w:t>
            </w:r>
          </w:p>
        </w:tc>
        <w:tc>
          <w:tcPr>
            <w:tcW w:type="dxa" w:w="1378"/>
            <w:tcBorders>
              <w:bottom w:val="single" w:sz="6" w:color="000000"/>
            </w:tcBorders>
          </w:tcPr>
          <w:p>
            <w:pPr>
              <w:keepNext/>
              <w:spacing w:line="480" w:lineRule="auto"/>
            </w:pPr>
            <w:r>
              <w:rPr>
                <w:b/>
                <w:sz w:val="16"/>
              </w:rPr>
              <w:t>ET cut (mm)</w:t>
            </w:r>
          </w:p>
        </w:tc>
        <w:tc>
          <w:tcPr>
            <w:tcW w:type="dxa" w:w="1378"/>
            <w:tcBorders>
              <w:bottom w:val="single" w:sz="6" w:color="000000"/>
            </w:tcBorders>
          </w:tcPr>
          <w:p>
            <w:pPr>
              <w:keepNext/>
              <w:spacing w:line="480" w:lineRule="auto"/>
            </w:pPr>
            <w:r>
              <w:rPr>
                <w:b/>
                <w:sz w:val="16"/>
              </w:rPr>
              <w:t>Minimum grain (%)</w:t>
            </w:r>
          </w:p>
        </w:tc>
      </w:tr>
      <w:tr>
        <w:tc>
          <w:tcPr>
            <w:tcW w:type="dxa" w:w="1378"/>
          </w:tcPr>
          <w:p>
            <w:pPr>
              <w:keepNext/>
              <w:spacing w:line="480" w:lineRule="auto"/>
            </w:pPr>
            <w:r>
              <w:rPr>
                <w:sz w:val="16"/>
              </w:rPr>
              <w:t>Storage–rainfall 95%</w:t>
            </w:r>
          </w:p>
        </w:tc>
        <w:tc>
          <w:tcPr>
            <w:tcW w:type="dxa" w:w="1378"/>
          </w:tcPr>
          <w:p>
            <w:pPr>
              <w:keepNext/>
              <w:spacing w:line="480" w:lineRule="auto"/>
            </w:pPr>
            <w:r>
              <w:rPr>
                <w:sz w:val="16"/>
              </w:rPr>
              <w:t>Nine GRACE years</w:t>
            </w:r>
          </w:p>
        </w:tc>
        <w:tc>
          <w:tcPr>
            <w:tcW w:type="dxa" w:w="1378"/>
          </w:tcPr>
          <w:p>
            <w:pPr>
              <w:keepNext/>
              <w:spacing w:line="480" w:lineRule="auto"/>
            </w:pPr>
            <w:r>
              <w:rPr>
                <w:sz w:val="16"/>
              </w:rPr>
              <w:t>9</w:t>
            </w:r>
          </w:p>
        </w:tc>
        <w:tc>
          <w:tcPr>
            <w:tcW w:type="dxa" w:w="1378"/>
          </w:tcPr>
          <w:p>
            <w:pPr>
              <w:keepNext/>
              <w:spacing w:line="480" w:lineRule="auto"/>
            </w:pPr>
            <w:r>
              <w:rPr>
                <w:sz w:val="16"/>
              </w:rPr>
              <w:t>96.270</w:t>
            </w:r>
          </w:p>
        </w:tc>
        <w:tc>
          <w:tcPr>
            <w:tcW w:type="dxa" w:w="1378"/>
          </w:tcPr>
          <w:p>
            <w:pPr>
              <w:keepNext/>
              <w:spacing w:line="480" w:lineRule="auto"/>
            </w:pPr>
            <w:r>
              <w:rPr>
                <w:sz w:val="16"/>
              </w:rPr>
              <w:t>130.721</w:t>
            </w:r>
          </w:p>
        </w:tc>
        <w:tc>
          <w:tcPr>
            <w:tcW w:type="dxa" w:w="1378"/>
          </w:tcPr>
          <w:p>
            <w:pPr>
              <w:keepNext/>
              <w:spacing w:line="480" w:lineRule="auto"/>
            </w:pPr>
            <w:r>
              <w:rPr>
                <w:sz w:val="16"/>
              </w:rPr>
              <w:t>36.842</w:t>
            </w:r>
          </w:p>
        </w:tc>
        <w:tc>
          <w:tcPr>
            <w:tcW w:type="dxa" w:w="1378"/>
          </w:tcPr>
          <w:p>
            <w:pPr>
              <w:keepNext/>
              <w:spacing w:line="480" w:lineRule="auto"/>
            </w:pPr>
            <w:r>
              <w:rPr>
                <w:sz w:val="16"/>
              </w:rPr>
              <w:t>92.115</w:t>
            </w:r>
          </w:p>
        </w:tc>
      </w:tr>
      <w:tr>
        <w:tc>
          <w:tcPr>
            <w:tcW w:type="dxa" w:w="1378"/>
          </w:tcPr>
          <w:p>
            <w:pPr>
              <w:keepNext/>
              <w:spacing w:line="480" w:lineRule="auto"/>
            </w:pPr>
            <w:r>
              <w:rPr>
                <w:sz w:val="16"/>
              </w:rPr>
              <w:t>Storage–rainfall 95%</w:t>
            </w:r>
          </w:p>
        </w:tc>
        <w:tc>
          <w:tcPr>
            <w:tcW w:type="dxa" w:w="1378"/>
          </w:tcPr>
          <w:p>
            <w:pPr>
              <w:keepNext/>
              <w:spacing w:line="480" w:lineRule="auto"/>
            </w:pPr>
            <w:r>
              <w:rPr>
                <w:sz w:val="16"/>
              </w:rPr>
              <w:t>All twelve years</w:t>
            </w:r>
          </w:p>
        </w:tc>
        <w:tc>
          <w:tcPr>
            <w:tcW w:type="dxa" w:w="1378"/>
          </w:tcPr>
          <w:p>
            <w:pPr>
              <w:keepNext/>
              <w:spacing w:line="480" w:lineRule="auto"/>
            </w:pPr>
            <w:r>
              <w:rPr>
                <w:sz w:val="16"/>
              </w:rPr>
              <w:t>12</w:t>
            </w:r>
          </w:p>
        </w:tc>
        <w:tc>
          <w:tcPr>
            <w:tcW w:type="dxa" w:w="1378"/>
          </w:tcPr>
          <w:p>
            <w:pPr>
              <w:keepNext/>
              <w:spacing w:line="480" w:lineRule="auto"/>
            </w:pPr>
            <w:r>
              <w:rPr>
                <w:sz w:val="16"/>
              </w:rPr>
              <w:t>96.818</w:t>
            </w:r>
          </w:p>
        </w:tc>
        <w:tc>
          <w:tcPr>
            <w:tcW w:type="dxa" w:w="1378"/>
          </w:tcPr>
          <w:p>
            <w:pPr>
              <w:keepNext/>
              <w:spacing w:line="480" w:lineRule="auto"/>
            </w:pPr>
            <w:r>
              <w:rPr>
                <w:sz w:val="16"/>
              </w:rPr>
              <w:t>98.040</w:t>
            </w:r>
          </w:p>
        </w:tc>
        <w:tc>
          <w:tcPr>
            <w:tcW w:type="dxa" w:w="1378"/>
          </w:tcPr>
          <w:p>
            <w:pPr>
              <w:keepNext/>
              <w:spacing w:line="480" w:lineRule="auto"/>
            </w:pPr>
            <w:r>
              <w:rPr>
                <w:sz w:val="16"/>
              </w:rPr>
              <w:t>29.733</w:t>
            </w:r>
          </w:p>
        </w:tc>
        <w:tc>
          <w:tcPr>
            <w:tcW w:type="dxa" w:w="1378"/>
          </w:tcPr>
          <w:p>
            <w:pPr>
              <w:keepNext/>
              <w:spacing w:line="480" w:lineRule="auto"/>
            </w:pPr>
            <w:r>
              <w:rPr>
                <w:sz w:val="16"/>
              </w:rPr>
              <w:t>92.115</w:t>
            </w:r>
          </w:p>
        </w:tc>
      </w:tr>
      <w:tr>
        <w:tc>
          <w:tcPr>
            <w:tcW w:type="dxa" w:w="1378"/>
          </w:tcPr>
          <w:p>
            <w:pPr>
              <w:keepNext/>
              <w:spacing w:line="480" w:lineRule="auto"/>
            </w:pPr>
            <w:r>
              <w:rPr>
                <w:sz w:val="16"/>
              </w:rPr>
              <w:t>Storage–rainfall 98%</w:t>
            </w:r>
          </w:p>
        </w:tc>
        <w:tc>
          <w:tcPr>
            <w:tcW w:type="dxa" w:w="1378"/>
          </w:tcPr>
          <w:p>
            <w:pPr>
              <w:keepNext/>
              <w:spacing w:line="480" w:lineRule="auto"/>
            </w:pPr>
            <w:r>
              <w:rPr>
                <w:sz w:val="16"/>
              </w:rPr>
              <w:t>Nine GRACE years</w:t>
            </w:r>
          </w:p>
        </w:tc>
        <w:tc>
          <w:tcPr>
            <w:tcW w:type="dxa" w:w="1378"/>
          </w:tcPr>
          <w:p>
            <w:pPr>
              <w:keepNext/>
              <w:spacing w:line="480" w:lineRule="auto"/>
            </w:pPr>
            <w:r>
              <w:rPr>
                <w:sz w:val="16"/>
              </w:rPr>
              <w:t>9</w:t>
            </w:r>
          </w:p>
        </w:tc>
        <w:tc>
          <w:tcPr>
            <w:tcW w:type="dxa" w:w="1378"/>
          </w:tcPr>
          <w:p>
            <w:pPr>
              <w:keepNext/>
              <w:spacing w:line="480" w:lineRule="auto"/>
            </w:pPr>
            <w:r>
              <w:rPr>
                <w:sz w:val="16"/>
              </w:rPr>
              <w:t>99.626</w:t>
            </w:r>
          </w:p>
        </w:tc>
        <w:tc>
          <w:tcPr>
            <w:tcW w:type="dxa" w:w="1378"/>
          </w:tcPr>
          <w:p>
            <w:pPr>
              <w:keepNext/>
              <w:spacing w:line="480" w:lineRule="auto"/>
            </w:pPr>
            <w:r>
              <w:rPr>
                <w:sz w:val="16"/>
              </w:rPr>
              <w:t>35.721</w:t>
            </w:r>
          </w:p>
        </w:tc>
        <w:tc>
          <w:tcPr>
            <w:tcW w:type="dxa" w:w="1378"/>
          </w:tcPr>
          <w:p>
            <w:pPr>
              <w:keepNext/>
              <w:spacing w:line="480" w:lineRule="auto"/>
            </w:pPr>
            <w:r>
              <w:rPr>
                <w:sz w:val="16"/>
              </w:rPr>
              <w:t>6.171</w:t>
            </w:r>
          </w:p>
        </w:tc>
        <w:tc>
          <w:tcPr>
            <w:tcW w:type="dxa" w:w="1378"/>
          </w:tcPr>
          <w:p>
            <w:pPr>
              <w:keepNext/>
              <w:spacing w:line="480" w:lineRule="auto"/>
            </w:pPr>
            <w:r>
              <w:rPr>
                <w:sz w:val="16"/>
              </w:rPr>
              <w:t>98.579</w:t>
            </w:r>
          </w:p>
        </w:tc>
      </w:tr>
      <w:tr>
        <w:tc>
          <w:tcPr>
            <w:tcW w:type="dxa" w:w="1378"/>
          </w:tcPr>
          <w:p>
            <w:pPr>
              <w:keepNext/>
              <w:spacing w:line="480" w:lineRule="auto"/>
            </w:pPr>
            <w:r>
              <w:rPr>
                <w:sz w:val="16"/>
              </w:rPr>
              <w:t>Storage–rainfall 98%</w:t>
            </w:r>
          </w:p>
        </w:tc>
        <w:tc>
          <w:tcPr>
            <w:tcW w:type="dxa" w:w="1378"/>
          </w:tcPr>
          <w:p>
            <w:pPr>
              <w:keepNext/>
              <w:spacing w:line="480" w:lineRule="auto"/>
            </w:pPr>
            <w:r>
              <w:rPr>
                <w:sz w:val="16"/>
              </w:rPr>
              <w:t>All twelve years</w:t>
            </w:r>
          </w:p>
        </w:tc>
        <w:tc>
          <w:tcPr>
            <w:tcW w:type="dxa" w:w="1378"/>
          </w:tcPr>
          <w:p>
            <w:pPr>
              <w:keepNext/>
              <w:spacing w:line="480" w:lineRule="auto"/>
            </w:pPr>
            <w:r>
              <w:rPr>
                <w:sz w:val="16"/>
              </w:rPr>
              <w:t>12</w:t>
            </w:r>
          </w:p>
        </w:tc>
        <w:tc>
          <w:tcPr>
            <w:tcW w:type="dxa" w:w="1378"/>
          </w:tcPr>
          <w:p>
            <w:pPr>
              <w:keepNext/>
              <w:spacing w:line="480" w:lineRule="auto"/>
            </w:pPr>
            <w:r>
              <w:rPr>
                <w:sz w:val="16"/>
              </w:rPr>
              <w:t>99.622</w:t>
            </w:r>
          </w:p>
        </w:tc>
        <w:tc>
          <w:tcPr>
            <w:tcW w:type="dxa" w:w="1378"/>
          </w:tcPr>
          <w:p>
            <w:pPr>
              <w:keepNext/>
              <w:spacing w:line="480" w:lineRule="auto"/>
            </w:pPr>
            <w:r>
              <w:rPr>
                <w:sz w:val="16"/>
              </w:rPr>
              <w:t>26.790</w:t>
            </w:r>
          </w:p>
        </w:tc>
        <w:tc>
          <w:tcPr>
            <w:tcW w:type="dxa" w:w="1378"/>
          </w:tcPr>
          <w:p>
            <w:pPr>
              <w:keepNext/>
              <w:spacing w:line="480" w:lineRule="auto"/>
            </w:pPr>
            <w:r>
              <w:rPr>
                <w:sz w:val="16"/>
              </w:rPr>
              <w:t>5.208</w:t>
            </w:r>
          </w:p>
        </w:tc>
        <w:tc>
          <w:tcPr>
            <w:tcW w:type="dxa" w:w="1378"/>
          </w:tcPr>
          <w:p>
            <w:pPr>
              <w:keepNext/>
              <w:spacing w:line="480" w:lineRule="auto"/>
            </w:pPr>
            <w:r>
              <w:rPr>
                <w:sz w:val="16"/>
              </w:rPr>
              <w:t>98.579</w:t>
            </w:r>
          </w:p>
        </w:tc>
      </w:tr>
      <w:tr>
        <w:tc>
          <w:tcPr>
            <w:tcW w:type="dxa" w:w="1378"/>
          </w:tcPr>
          <w:p>
            <w:pPr>
              <w:keepNext/>
              <w:spacing w:line="480" w:lineRule="auto"/>
            </w:pPr>
            <w:r>
              <w:rPr>
                <w:sz w:val="16"/>
              </w:rPr>
              <w:t>Conventional</w:t>
            </w:r>
          </w:p>
        </w:tc>
        <w:tc>
          <w:tcPr>
            <w:tcW w:type="dxa" w:w="1378"/>
          </w:tcPr>
          <w:p>
            <w:pPr>
              <w:keepNext/>
              <w:spacing w:line="480" w:lineRule="auto"/>
            </w:pPr>
            <w:r>
              <w:rPr>
                <w:sz w:val="16"/>
              </w:rPr>
              <w:t>Nine GRACE years</w:t>
            </w:r>
          </w:p>
        </w:tc>
        <w:tc>
          <w:tcPr>
            <w:tcW w:type="dxa" w:w="1378"/>
          </w:tcPr>
          <w:p>
            <w:pPr>
              <w:keepNext/>
              <w:spacing w:line="480" w:lineRule="auto"/>
            </w:pPr>
            <w:r>
              <w:rPr>
                <w:sz w:val="16"/>
              </w:rPr>
              <w:t>9</w:t>
            </w:r>
          </w:p>
        </w:tc>
        <w:tc>
          <w:tcPr>
            <w:tcW w:type="dxa" w:w="1378"/>
          </w:tcPr>
          <w:p>
            <w:pPr>
              <w:keepNext/>
              <w:spacing w:line="480" w:lineRule="auto"/>
            </w:pPr>
            <w:r>
              <w:rPr>
                <w:sz w:val="16"/>
              </w:rPr>
              <w:t>100.000</w:t>
            </w:r>
          </w:p>
        </w:tc>
        <w:tc>
          <w:tcPr>
            <w:tcW w:type="dxa" w:w="1378"/>
          </w:tcPr>
          <w:p>
            <w:pPr>
              <w:keepNext/>
              <w:spacing w:line="480" w:lineRule="auto"/>
            </w:pPr>
            <w:r>
              <w:rPr>
                <w:sz w:val="16"/>
              </w:rPr>
              <w:t>0.000</w:t>
            </w:r>
          </w:p>
        </w:tc>
        <w:tc>
          <w:tcPr>
            <w:tcW w:type="dxa" w:w="1378"/>
          </w:tcPr>
          <w:p>
            <w:pPr>
              <w:keepNext/>
              <w:spacing w:line="480" w:lineRule="auto"/>
            </w:pPr>
            <w:r>
              <w:rPr>
                <w:sz w:val="16"/>
              </w:rPr>
              <w:t>0.000</w:t>
            </w:r>
          </w:p>
        </w:tc>
        <w:tc>
          <w:tcPr>
            <w:tcW w:type="dxa" w:w="1378"/>
          </w:tcPr>
          <w:p>
            <w:pPr>
              <w:keepNext/>
              <w:spacing w:line="480" w:lineRule="auto"/>
            </w:pPr>
            <w:r>
              <w:rPr>
                <w:sz w:val="16"/>
              </w:rPr>
              <w:t>100.000</w:t>
            </w:r>
          </w:p>
        </w:tc>
      </w:tr>
      <w:tr>
        <w:tc>
          <w:tcPr>
            <w:tcW w:type="dxa" w:w="1378"/>
          </w:tcPr>
          <w:p>
            <w:pPr>
              <w:keepNext w:val="0"/>
              <w:spacing w:line="480" w:lineRule="auto"/>
            </w:pPr>
            <w:r>
              <w:rPr>
                <w:sz w:val="16"/>
              </w:rPr>
              <w:t>Conventional</w:t>
            </w:r>
          </w:p>
        </w:tc>
        <w:tc>
          <w:tcPr>
            <w:tcW w:type="dxa" w:w="1378"/>
          </w:tcPr>
          <w:p>
            <w:pPr>
              <w:keepNext w:val="0"/>
              <w:spacing w:line="480" w:lineRule="auto"/>
            </w:pPr>
            <w:r>
              <w:rPr>
                <w:sz w:val="16"/>
              </w:rPr>
              <w:t>All twelve years</w:t>
            </w:r>
          </w:p>
        </w:tc>
        <w:tc>
          <w:tcPr>
            <w:tcW w:type="dxa" w:w="1378"/>
          </w:tcPr>
          <w:p>
            <w:pPr>
              <w:keepNext w:val="0"/>
              <w:spacing w:line="480" w:lineRule="auto"/>
            </w:pPr>
            <w:r>
              <w:rPr>
                <w:sz w:val="16"/>
              </w:rPr>
              <w:t>12</w:t>
            </w:r>
          </w:p>
        </w:tc>
        <w:tc>
          <w:tcPr>
            <w:tcW w:type="dxa" w:w="1378"/>
          </w:tcPr>
          <w:p>
            <w:pPr>
              <w:keepNext w:val="0"/>
              <w:spacing w:line="480" w:lineRule="auto"/>
            </w:pPr>
            <w:r>
              <w:rPr>
                <w:sz w:val="16"/>
              </w:rPr>
              <w:t>100.000</w:t>
            </w:r>
          </w:p>
        </w:tc>
        <w:tc>
          <w:tcPr>
            <w:tcW w:type="dxa" w:w="1378"/>
          </w:tcPr>
          <w:p>
            <w:pPr>
              <w:keepNext w:val="0"/>
              <w:spacing w:line="480" w:lineRule="auto"/>
            </w:pPr>
            <w:r>
              <w:rPr>
                <w:sz w:val="16"/>
              </w:rPr>
              <w:t>0.000</w:t>
            </w:r>
          </w:p>
        </w:tc>
        <w:tc>
          <w:tcPr>
            <w:tcW w:type="dxa" w:w="1378"/>
          </w:tcPr>
          <w:p>
            <w:pPr>
              <w:keepNext w:val="0"/>
              <w:spacing w:line="480" w:lineRule="auto"/>
            </w:pPr>
            <w:r>
              <w:rPr>
                <w:sz w:val="16"/>
              </w:rPr>
              <w:t>0.000</w:t>
            </w:r>
          </w:p>
        </w:tc>
        <w:tc>
          <w:tcPr>
            <w:tcW w:type="dxa" w:w="1378"/>
          </w:tcPr>
          <w:p>
            <w:pPr>
              <w:keepNext w:val="0"/>
              <w:spacing w:line="480" w:lineRule="auto"/>
            </w:pPr>
            <w:r>
              <w:rPr>
                <w:sz w:val="16"/>
              </w:rPr>
              <w:t>100.000</w:t>
            </w:r>
          </w:p>
        </w:tc>
      </w:tr>
    </w:tbl>
    <w:p>
      <w:pPr>
        <w:spacing w:line="480" w:lineRule="auto"/>
      </w:pPr>
      <w:r>
        <w:t>Current continuous histories. Grain retention is a ratio of period-mean regional dry-grain production to conventional irrigation. ET includes crops and fallows. All-year summaries include conventional fallback; common-year summaries use the nine GRACE-available years.</w:t>
      </w:r>
    </w:p>
    <w:p>
      <w:pPr>
        <w:pStyle w:val="Caption"/>
        <w:keepNext/>
        <w:spacing w:line="480" w:lineRule="auto"/>
      </w:pPr>
      <w:r>
        <w:t>Table S8. Continuous GRACE–rainfall and rainfall-only strategy comparison during 2014–2025.</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930"/>
        <w:gridCol w:w="1930"/>
        <w:gridCol w:w="1930"/>
        <w:gridCol w:w="1930"/>
        <w:gridCol w:w="1930"/>
      </w:tblGrid>
      <w:tr>
        <w:tc>
          <w:tcPr>
            <w:tcW w:type="dxa" w:w="1930"/>
            <w:tcBorders>
              <w:bottom w:val="single" w:sz="6" w:color="000000"/>
            </w:tcBorders>
          </w:tcPr>
          <w:p>
            <w:pPr>
              <w:keepNext/>
              <w:spacing w:line="480" w:lineRule="auto"/>
            </w:pPr>
            <w:r>
              <w:rPr>
                <w:b/>
                <w:sz w:val="16"/>
              </w:rPr>
              <w:t>Strategy</w:t>
            </w:r>
          </w:p>
        </w:tc>
        <w:tc>
          <w:tcPr>
            <w:tcW w:type="dxa" w:w="1930"/>
            <w:tcBorders>
              <w:bottom w:val="single" w:sz="6" w:color="000000"/>
            </w:tcBorders>
          </w:tcPr>
          <w:p>
            <w:pPr>
              <w:keepNext/>
              <w:spacing w:line="480" w:lineRule="auto"/>
            </w:pPr>
            <w:r>
              <w:rPr>
                <w:b/>
                <w:sz w:val="16"/>
              </w:rPr>
              <w:t>Period</w:t>
            </w:r>
          </w:p>
        </w:tc>
        <w:tc>
          <w:tcPr>
            <w:tcW w:type="dxa" w:w="1930"/>
            <w:tcBorders>
              <w:bottom w:val="single" w:sz="6" w:color="000000"/>
            </w:tcBorders>
          </w:tcPr>
          <w:p>
            <w:pPr>
              <w:keepNext/>
              <w:spacing w:line="480" w:lineRule="auto"/>
            </w:pPr>
            <w:r>
              <w:rPr>
                <w:b/>
                <w:sz w:val="16"/>
              </w:rPr>
              <w:t>Grain retained (%)</w:t>
            </w:r>
          </w:p>
        </w:tc>
        <w:tc>
          <w:tcPr>
            <w:tcW w:type="dxa" w:w="1930"/>
            <w:tcBorders>
              <w:bottom w:val="single" w:sz="6" w:color="000000"/>
            </w:tcBorders>
          </w:tcPr>
          <w:p>
            <w:pPr>
              <w:keepNext/>
              <w:spacing w:line="480" w:lineRule="auto"/>
            </w:pPr>
            <w:r>
              <w:rPr>
                <w:b/>
                <w:sz w:val="16"/>
              </w:rPr>
              <w:t>Irrigation (mm)</w:t>
            </w:r>
          </w:p>
        </w:tc>
        <w:tc>
          <w:tcPr>
            <w:tcW w:type="dxa" w:w="1930"/>
            <w:tcBorders>
              <w:bottom w:val="single" w:sz="6" w:color="000000"/>
            </w:tcBorders>
          </w:tcPr>
          <w:p>
            <w:pPr>
              <w:keepNext/>
              <w:spacing w:line="480" w:lineRule="auto"/>
            </w:pPr>
            <w:r>
              <w:rPr>
                <w:b/>
                <w:sz w:val="16"/>
              </w:rPr>
              <w:t>ET (mm)</w:t>
            </w:r>
          </w:p>
        </w:tc>
      </w:tr>
      <w:tr>
        <w:tc>
          <w:tcPr>
            <w:tcW w:type="dxa" w:w="1930"/>
          </w:tcPr>
          <w:p>
            <w:pPr>
              <w:keepNext/>
              <w:spacing w:line="480" w:lineRule="auto"/>
            </w:pPr>
            <w:r>
              <w:rPr>
                <w:sz w:val="16"/>
              </w:rPr>
              <w:t>Storage–rainfall 95%</w:t>
            </w:r>
          </w:p>
        </w:tc>
        <w:tc>
          <w:tcPr>
            <w:tcW w:type="dxa" w:w="1930"/>
          </w:tcPr>
          <w:p>
            <w:pPr>
              <w:keepNext/>
              <w:spacing w:line="480" w:lineRule="auto"/>
            </w:pPr>
            <w:r>
              <w:rPr>
                <w:sz w:val="16"/>
              </w:rPr>
              <w:t>Nine GRACE years</w:t>
            </w:r>
          </w:p>
        </w:tc>
        <w:tc>
          <w:tcPr>
            <w:tcW w:type="dxa" w:w="1930"/>
          </w:tcPr>
          <w:p>
            <w:pPr>
              <w:keepNext/>
              <w:spacing w:line="480" w:lineRule="auto"/>
            </w:pPr>
            <w:r>
              <w:rPr>
                <w:sz w:val="16"/>
              </w:rPr>
              <w:t>96.27</w:t>
            </w:r>
          </w:p>
        </w:tc>
        <w:tc>
          <w:tcPr>
            <w:tcW w:type="dxa" w:w="1930"/>
          </w:tcPr>
          <w:p>
            <w:pPr>
              <w:keepNext/>
              <w:spacing w:line="480" w:lineRule="auto"/>
            </w:pPr>
            <w:r>
              <w:rPr>
                <w:sz w:val="16"/>
              </w:rPr>
              <w:t>249.279</w:t>
            </w:r>
          </w:p>
        </w:tc>
        <w:tc>
          <w:tcPr>
            <w:tcW w:type="dxa" w:w="1930"/>
          </w:tcPr>
          <w:p>
            <w:pPr>
              <w:keepNext/>
              <w:spacing w:line="480" w:lineRule="auto"/>
            </w:pPr>
            <w:r>
              <w:rPr>
                <w:sz w:val="16"/>
              </w:rPr>
              <w:t>848.527</w:t>
            </w:r>
          </w:p>
        </w:tc>
      </w:tr>
      <w:tr>
        <w:tc>
          <w:tcPr>
            <w:tcW w:type="dxa" w:w="1930"/>
          </w:tcPr>
          <w:p>
            <w:pPr>
              <w:keepNext/>
              <w:spacing w:line="480" w:lineRule="auto"/>
            </w:pPr>
            <w:r>
              <w:rPr>
                <w:sz w:val="16"/>
              </w:rPr>
              <w:t>Storage–rainfall 95%</w:t>
            </w:r>
          </w:p>
        </w:tc>
        <w:tc>
          <w:tcPr>
            <w:tcW w:type="dxa" w:w="1930"/>
          </w:tcPr>
          <w:p>
            <w:pPr>
              <w:keepNext/>
              <w:spacing w:line="480" w:lineRule="auto"/>
            </w:pPr>
            <w:r>
              <w:rPr>
                <w:sz w:val="16"/>
              </w:rPr>
              <w:t>All twelve years</w:t>
            </w:r>
          </w:p>
        </w:tc>
        <w:tc>
          <w:tcPr>
            <w:tcW w:type="dxa" w:w="1930"/>
          </w:tcPr>
          <w:p>
            <w:pPr>
              <w:keepNext/>
              <w:spacing w:line="480" w:lineRule="auto"/>
            </w:pPr>
            <w:r>
              <w:rPr>
                <w:sz w:val="16"/>
              </w:rPr>
              <w:t>96.82</w:t>
            </w:r>
          </w:p>
        </w:tc>
        <w:tc>
          <w:tcPr>
            <w:tcW w:type="dxa" w:w="1930"/>
          </w:tcPr>
          <w:p>
            <w:pPr>
              <w:keepNext/>
              <w:spacing w:line="480" w:lineRule="auto"/>
            </w:pPr>
            <w:r>
              <w:rPr>
                <w:sz w:val="16"/>
              </w:rPr>
              <w:t>281.960</w:t>
            </w:r>
          </w:p>
        </w:tc>
        <w:tc>
          <w:tcPr>
            <w:tcW w:type="dxa" w:w="1930"/>
          </w:tcPr>
          <w:p>
            <w:pPr>
              <w:keepNext/>
              <w:spacing w:line="480" w:lineRule="auto"/>
            </w:pPr>
            <w:r>
              <w:rPr>
                <w:sz w:val="16"/>
              </w:rPr>
              <w:t>857.698</w:t>
            </w:r>
          </w:p>
        </w:tc>
      </w:tr>
      <w:tr>
        <w:tc>
          <w:tcPr>
            <w:tcW w:type="dxa" w:w="1930"/>
          </w:tcPr>
          <w:p>
            <w:pPr>
              <w:keepNext/>
              <w:spacing w:line="480" w:lineRule="auto"/>
            </w:pPr>
            <w:r>
              <w:rPr>
                <w:sz w:val="16"/>
              </w:rPr>
              <w:t>Storage–rainfall 98%</w:t>
            </w:r>
          </w:p>
        </w:tc>
        <w:tc>
          <w:tcPr>
            <w:tcW w:type="dxa" w:w="1930"/>
          </w:tcPr>
          <w:p>
            <w:pPr>
              <w:keepNext/>
              <w:spacing w:line="480" w:lineRule="auto"/>
            </w:pPr>
            <w:r>
              <w:rPr>
                <w:sz w:val="16"/>
              </w:rPr>
              <w:t>Nine GRACE years</w:t>
            </w:r>
          </w:p>
        </w:tc>
        <w:tc>
          <w:tcPr>
            <w:tcW w:type="dxa" w:w="1930"/>
          </w:tcPr>
          <w:p>
            <w:pPr>
              <w:keepNext/>
              <w:spacing w:line="480" w:lineRule="auto"/>
            </w:pPr>
            <w:r>
              <w:rPr>
                <w:sz w:val="16"/>
              </w:rPr>
              <w:t>99.63</w:t>
            </w:r>
          </w:p>
        </w:tc>
        <w:tc>
          <w:tcPr>
            <w:tcW w:type="dxa" w:w="1930"/>
          </w:tcPr>
          <w:p>
            <w:pPr>
              <w:keepNext/>
              <w:spacing w:line="480" w:lineRule="auto"/>
            </w:pPr>
            <w:r>
              <w:rPr>
                <w:sz w:val="16"/>
              </w:rPr>
              <w:t>344.279</w:t>
            </w:r>
          </w:p>
        </w:tc>
        <w:tc>
          <w:tcPr>
            <w:tcW w:type="dxa" w:w="1930"/>
          </w:tcPr>
          <w:p>
            <w:pPr>
              <w:keepNext/>
              <w:spacing w:line="480" w:lineRule="auto"/>
            </w:pPr>
            <w:r>
              <w:rPr>
                <w:sz w:val="16"/>
              </w:rPr>
              <w:t>879.197</w:t>
            </w:r>
          </w:p>
        </w:tc>
      </w:tr>
      <w:tr>
        <w:tc>
          <w:tcPr>
            <w:tcW w:type="dxa" w:w="1930"/>
          </w:tcPr>
          <w:p>
            <w:pPr>
              <w:keepNext/>
              <w:spacing w:line="480" w:lineRule="auto"/>
            </w:pPr>
            <w:r>
              <w:rPr>
                <w:sz w:val="16"/>
              </w:rPr>
              <w:t>Storage–rainfall 98%</w:t>
            </w:r>
          </w:p>
        </w:tc>
        <w:tc>
          <w:tcPr>
            <w:tcW w:type="dxa" w:w="1930"/>
          </w:tcPr>
          <w:p>
            <w:pPr>
              <w:keepNext/>
              <w:spacing w:line="480" w:lineRule="auto"/>
            </w:pPr>
            <w:r>
              <w:rPr>
                <w:sz w:val="16"/>
              </w:rPr>
              <w:t>All twelve years</w:t>
            </w:r>
          </w:p>
        </w:tc>
        <w:tc>
          <w:tcPr>
            <w:tcW w:type="dxa" w:w="1930"/>
          </w:tcPr>
          <w:p>
            <w:pPr>
              <w:keepNext/>
              <w:spacing w:line="480" w:lineRule="auto"/>
            </w:pPr>
            <w:r>
              <w:rPr>
                <w:sz w:val="16"/>
              </w:rPr>
              <w:t>99.62</w:t>
            </w:r>
          </w:p>
        </w:tc>
        <w:tc>
          <w:tcPr>
            <w:tcW w:type="dxa" w:w="1930"/>
          </w:tcPr>
          <w:p>
            <w:pPr>
              <w:keepNext/>
              <w:spacing w:line="480" w:lineRule="auto"/>
            </w:pPr>
            <w:r>
              <w:rPr>
                <w:sz w:val="16"/>
              </w:rPr>
              <w:t>353.210</w:t>
            </w:r>
          </w:p>
        </w:tc>
        <w:tc>
          <w:tcPr>
            <w:tcW w:type="dxa" w:w="1930"/>
          </w:tcPr>
          <w:p>
            <w:pPr>
              <w:keepNext/>
              <w:spacing w:line="480" w:lineRule="auto"/>
            </w:pPr>
            <w:r>
              <w:rPr>
                <w:sz w:val="16"/>
              </w:rPr>
              <w:t>882.223</w:t>
            </w:r>
          </w:p>
        </w:tc>
      </w:tr>
      <w:tr>
        <w:tc>
          <w:tcPr>
            <w:tcW w:type="dxa" w:w="1930"/>
          </w:tcPr>
          <w:p>
            <w:pPr>
              <w:keepNext/>
              <w:spacing w:line="480" w:lineRule="auto"/>
            </w:pPr>
            <w:r>
              <w:rPr>
                <w:sz w:val="16"/>
              </w:rPr>
              <w:t>Rainfall 95%, available</w:t>
            </w:r>
          </w:p>
        </w:tc>
        <w:tc>
          <w:tcPr>
            <w:tcW w:type="dxa" w:w="1930"/>
          </w:tcPr>
          <w:p>
            <w:pPr>
              <w:keepNext/>
              <w:spacing w:line="480" w:lineRule="auto"/>
            </w:pPr>
            <w:r>
              <w:rPr>
                <w:sz w:val="16"/>
              </w:rPr>
              <w:t>Nine GRACE years</w:t>
            </w:r>
          </w:p>
        </w:tc>
        <w:tc>
          <w:tcPr>
            <w:tcW w:type="dxa" w:w="1930"/>
          </w:tcPr>
          <w:p>
            <w:pPr>
              <w:keepNext/>
              <w:spacing w:line="480" w:lineRule="auto"/>
            </w:pPr>
            <w:r>
              <w:rPr>
                <w:sz w:val="16"/>
              </w:rPr>
              <w:t>95.40</w:t>
            </w:r>
          </w:p>
        </w:tc>
        <w:tc>
          <w:tcPr>
            <w:tcW w:type="dxa" w:w="1930"/>
          </w:tcPr>
          <w:p>
            <w:pPr>
              <w:keepNext/>
              <w:spacing w:line="480" w:lineRule="auto"/>
            </w:pPr>
            <w:r>
              <w:rPr>
                <w:sz w:val="16"/>
              </w:rPr>
              <w:t>249.279</w:t>
            </w:r>
          </w:p>
        </w:tc>
        <w:tc>
          <w:tcPr>
            <w:tcW w:type="dxa" w:w="1930"/>
          </w:tcPr>
          <w:p>
            <w:pPr>
              <w:keepNext/>
              <w:spacing w:line="480" w:lineRule="auto"/>
            </w:pPr>
            <w:r>
              <w:rPr>
                <w:sz w:val="16"/>
              </w:rPr>
              <w:t>844.203</w:t>
            </w:r>
          </w:p>
        </w:tc>
      </w:tr>
      <w:tr>
        <w:tc>
          <w:tcPr>
            <w:tcW w:type="dxa" w:w="1930"/>
          </w:tcPr>
          <w:p>
            <w:pPr>
              <w:keepNext/>
              <w:spacing w:line="480" w:lineRule="auto"/>
            </w:pPr>
            <w:r>
              <w:rPr>
                <w:sz w:val="16"/>
              </w:rPr>
              <w:t>Rainfall 95%, available</w:t>
            </w:r>
          </w:p>
        </w:tc>
        <w:tc>
          <w:tcPr>
            <w:tcW w:type="dxa" w:w="1930"/>
          </w:tcPr>
          <w:p>
            <w:pPr>
              <w:keepNext/>
              <w:spacing w:line="480" w:lineRule="auto"/>
            </w:pPr>
            <w:r>
              <w:rPr>
                <w:sz w:val="16"/>
              </w:rPr>
              <w:t>All twelve years</w:t>
            </w:r>
          </w:p>
        </w:tc>
        <w:tc>
          <w:tcPr>
            <w:tcW w:type="dxa" w:w="1930"/>
          </w:tcPr>
          <w:p>
            <w:pPr>
              <w:keepNext/>
              <w:spacing w:line="480" w:lineRule="auto"/>
            </w:pPr>
            <w:r>
              <w:rPr>
                <w:sz w:val="16"/>
              </w:rPr>
              <w:t>95.04</w:t>
            </w:r>
          </w:p>
        </w:tc>
        <w:tc>
          <w:tcPr>
            <w:tcW w:type="dxa" w:w="1930"/>
          </w:tcPr>
          <w:p>
            <w:pPr>
              <w:keepNext/>
              <w:spacing w:line="480" w:lineRule="auto"/>
            </w:pPr>
            <w:r>
              <w:rPr>
                <w:sz w:val="16"/>
              </w:rPr>
              <w:t>248.565</w:t>
            </w:r>
          </w:p>
        </w:tc>
        <w:tc>
          <w:tcPr>
            <w:tcW w:type="dxa" w:w="1930"/>
          </w:tcPr>
          <w:p>
            <w:pPr>
              <w:keepNext/>
              <w:spacing w:line="480" w:lineRule="auto"/>
            </w:pPr>
            <w:r>
              <w:rPr>
                <w:sz w:val="16"/>
              </w:rPr>
              <w:t>842.945</w:t>
            </w:r>
          </w:p>
        </w:tc>
      </w:tr>
      <w:tr>
        <w:tc>
          <w:tcPr>
            <w:tcW w:type="dxa" w:w="1930"/>
          </w:tcPr>
          <w:p>
            <w:pPr>
              <w:keepNext/>
              <w:spacing w:line="480" w:lineRule="auto"/>
            </w:pPr>
            <w:r>
              <w:rPr>
                <w:sz w:val="16"/>
              </w:rPr>
              <w:t>Rainfall 95%, matched</w:t>
            </w:r>
          </w:p>
        </w:tc>
        <w:tc>
          <w:tcPr>
            <w:tcW w:type="dxa" w:w="1930"/>
          </w:tcPr>
          <w:p>
            <w:pPr>
              <w:keepNext/>
              <w:spacing w:line="480" w:lineRule="auto"/>
            </w:pPr>
            <w:r>
              <w:rPr>
                <w:sz w:val="16"/>
              </w:rPr>
              <w:t>Nine GRACE years</w:t>
            </w:r>
          </w:p>
        </w:tc>
        <w:tc>
          <w:tcPr>
            <w:tcW w:type="dxa" w:w="1930"/>
          </w:tcPr>
          <w:p>
            <w:pPr>
              <w:keepNext/>
              <w:spacing w:line="480" w:lineRule="auto"/>
            </w:pPr>
            <w:r>
              <w:rPr>
                <w:sz w:val="16"/>
              </w:rPr>
              <w:t>96.27</w:t>
            </w:r>
          </w:p>
        </w:tc>
        <w:tc>
          <w:tcPr>
            <w:tcW w:type="dxa" w:w="1930"/>
          </w:tcPr>
          <w:p>
            <w:pPr>
              <w:keepNext/>
              <w:spacing w:line="480" w:lineRule="auto"/>
            </w:pPr>
            <w:r>
              <w:rPr>
                <w:sz w:val="16"/>
              </w:rPr>
              <w:t>249.279</w:t>
            </w:r>
          </w:p>
        </w:tc>
        <w:tc>
          <w:tcPr>
            <w:tcW w:type="dxa" w:w="1930"/>
          </w:tcPr>
          <w:p>
            <w:pPr>
              <w:keepNext/>
              <w:spacing w:line="480" w:lineRule="auto"/>
            </w:pPr>
            <w:r>
              <w:rPr>
                <w:sz w:val="16"/>
              </w:rPr>
              <w:t>848.527</w:t>
            </w:r>
          </w:p>
        </w:tc>
      </w:tr>
      <w:tr>
        <w:tc>
          <w:tcPr>
            <w:tcW w:type="dxa" w:w="1930"/>
          </w:tcPr>
          <w:p>
            <w:pPr>
              <w:keepNext/>
              <w:spacing w:line="480" w:lineRule="auto"/>
            </w:pPr>
            <w:r>
              <w:rPr>
                <w:sz w:val="16"/>
              </w:rPr>
              <w:t>Rainfall 95%, matched</w:t>
            </w:r>
          </w:p>
        </w:tc>
        <w:tc>
          <w:tcPr>
            <w:tcW w:type="dxa" w:w="1930"/>
          </w:tcPr>
          <w:p>
            <w:pPr>
              <w:keepNext/>
              <w:spacing w:line="480" w:lineRule="auto"/>
            </w:pPr>
            <w:r>
              <w:rPr>
                <w:sz w:val="16"/>
              </w:rPr>
              <w:t>All twelve years</w:t>
            </w:r>
          </w:p>
        </w:tc>
        <w:tc>
          <w:tcPr>
            <w:tcW w:type="dxa" w:w="1930"/>
          </w:tcPr>
          <w:p>
            <w:pPr>
              <w:keepNext/>
              <w:spacing w:line="480" w:lineRule="auto"/>
            </w:pPr>
            <w:r>
              <w:rPr>
                <w:sz w:val="16"/>
              </w:rPr>
              <w:t>96.82</w:t>
            </w:r>
          </w:p>
        </w:tc>
        <w:tc>
          <w:tcPr>
            <w:tcW w:type="dxa" w:w="1930"/>
          </w:tcPr>
          <w:p>
            <w:pPr>
              <w:keepNext/>
              <w:spacing w:line="480" w:lineRule="auto"/>
            </w:pPr>
            <w:r>
              <w:rPr>
                <w:sz w:val="16"/>
              </w:rPr>
              <w:t>281.960</w:t>
            </w:r>
          </w:p>
        </w:tc>
        <w:tc>
          <w:tcPr>
            <w:tcW w:type="dxa" w:w="1930"/>
          </w:tcPr>
          <w:p>
            <w:pPr>
              <w:keepNext/>
              <w:spacing w:line="480" w:lineRule="auto"/>
            </w:pPr>
            <w:r>
              <w:rPr>
                <w:sz w:val="16"/>
              </w:rPr>
              <w:t>857.698</w:t>
            </w:r>
          </w:p>
        </w:tc>
      </w:tr>
      <w:tr>
        <w:tc>
          <w:tcPr>
            <w:tcW w:type="dxa" w:w="1930"/>
          </w:tcPr>
          <w:p>
            <w:pPr>
              <w:keepNext/>
              <w:spacing w:line="480" w:lineRule="auto"/>
            </w:pPr>
            <w:r>
              <w:rPr>
                <w:sz w:val="16"/>
              </w:rPr>
              <w:t>Rainfall 98%, available</w:t>
            </w:r>
          </w:p>
        </w:tc>
        <w:tc>
          <w:tcPr>
            <w:tcW w:type="dxa" w:w="1930"/>
          </w:tcPr>
          <w:p>
            <w:pPr>
              <w:keepNext/>
              <w:spacing w:line="480" w:lineRule="auto"/>
            </w:pPr>
            <w:r>
              <w:rPr>
                <w:sz w:val="16"/>
              </w:rPr>
              <w:t>Nine GRACE years</w:t>
            </w:r>
          </w:p>
        </w:tc>
        <w:tc>
          <w:tcPr>
            <w:tcW w:type="dxa" w:w="1930"/>
          </w:tcPr>
          <w:p>
            <w:pPr>
              <w:keepNext/>
              <w:spacing w:line="480" w:lineRule="auto"/>
            </w:pPr>
            <w:r>
              <w:rPr>
                <w:sz w:val="16"/>
              </w:rPr>
              <w:t>99.41</w:t>
            </w:r>
          </w:p>
        </w:tc>
        <w:tc>
          <w:tcPr>
            <w:tcW w:type="dxa" w:w="1930"/>
          </w:tcPr>
          <w:p>
            <w:pPr>
              <w:keepNext/>
              <w:spacing w:line="480" w:lineRule="auto"/>
            </w:pPr>
            <w:r>
              <w:rPr>
                <w:sz w:val="16"/>
              </w:rPr>
              <w:t>344.279</w:t>
            </w:r>
          </w:p>
        </w:tc>
        <w:tc>
          <w:tcPr>
            <w:tcW w:type="dxa" w:w="1930"/>
          </w:tcPr>
          <w:p>
            <w:pPr>
              <w:keepNext/>
              <w:spacing w:line="480" w:lineRule="auto"/>
            </w:pPr>
            <w:r>
              <w:rPr>
                <w:sz w:val="16"/>
              </w:rPr>
              <w:t>878.151</w:t>
            </w:r>
          </w:p>
        </w:tc>
      </w:tr>
      <w:tr>
        <w:tc>
          <w:tcPr>
            <w:tcW w:type="dxa" w:w="1930"/>
          </w:tcPr>
          <w:p>
            <w:pPr>
              <w:keepNext/>
              <w:spacing w:line="480" w:lineRule="auto"/>
            </w:pPr>
            <w:r>
              <w:rPr>
                <w:sz w:val="16"/>
              </w:rPr>
              <w:t>Rainfall 98%, available</w:t>
            </w:r>
          </w:p>
        </w:tc>
        <w:tc>
          <w:tcPr>
            <w:tcW w:type="dxa" w:w="1930"/>
          </w:tcPr>
          <w:p>
            <w:pPr>
              <w:keepNext/>
              <w:spacing w:line="480" w:lineRule="auto"/>
            </w:pPr>
            <w:r>
              <w:rPr>
                <w:sz w:val="16"/>
              </w:rPr>
              <w:t>All twelve years</w:t>
            </w:r>
          </w:p>
        </w:tc>
        <w:tc>
          <w:tcPr>
            <w:tcW w:type="dxa" w:w="1930"/>
          </w:tcPr>
          <w:p>
            <w:pPr>
              <w:keepNext/>
              <w:spacing w:line="480" w:lineRule="auto"/>
            </w:pPr>
            <w:r>
              <w:rPr>
                <w:sz w:val="16"/>
              </w:rPr>
              <w:t>99.36</w:t>
            </w:r>
          </w:p>
        </w:tc>
        <w:tc>
          <w:tcPr>
            <w:tcW w:type="dxa" w:w="1930"/>
          </w:tcPr>
          <w:p>
            <w:pPr>
              <w:keepNext/>
              <w:spacing w:line="480" w:lineRule="auto"/>
            </w:pPr>
            <w:r>
              <w:rPr>
                <w:sz w:val="16"/>
              </w:rPr>
              <w:t>343.565</w:t>
            </w:r>
          </w:p>
        </w:tc>
        <w:tc>
          <w:tcPr>
            <w:tcW w:type="dxa" w:w="1930"/>
          </w:tcPr>
          <w:p>
            <w:pPr>
              <w:keepNext/>
              <w:spacing w:line="480" w:lineRule="auto"/>
            </w:pPr>
            <w:r>
              <w:rPr>
                <w:sz w:val="16"/>
              </w:rPr>
              <w:t>879.669</w:t>
            </w:r>
          </w:p>
        </w:tc>
      </w:tr>
      <w:tr>
        <w:tc>
          <w:tcPr>
            <w:tcW w:type="dxa" w:w="1930"/>
          </w:tcPr>
          <w:p>
            <w:pPr>
              <w:keepNext/>
              <w:spacing w:line="480" w:lineRule="auto"/>
            </w:pPr>
            <w:r>
              <w:rPr>
                <w:sz w:val="16"/>
              </w:rPr>
              <w:t>Rainfall 98%, matched</w:t>
            </w:r>
          </w:p>
        </w:tc>
        <w:tc>
          <w:tcPr>
            <w:tcW w:type="dxa" w:w="1930"/>
          </w:tcPr>
          <w:p>
            <w:pPr>
              <w:keepNext/>
              <w:spacing w:line="480" w:lineRule="auto"/>
            </w:pPr>
            <w:r>
              <w:rPr>
                <w:sz w:val="16"/>
              </w:rPr>
              <w:t>Nine GRACE years</w:t>
            </w:r>
          </w:p>
        </w:tc>
        <w:tc>
          <w:tcPr>
            <w:tcW w:type="dxa" w:w="1930"/>
          </w:tcPr>
          <w:p>
            <w:pPr>
              <w:keepNext/>
              <w:spacing w:line="480" w:lineRule="auto"/>
            </w:pPr>
            <w:r>
              <w:rPr>
                <w:sz w:val="16"/>
              </w:rPr>
              <w:t>99.63</w:t>
            </w:r>
          </w:p>
        </w:tc>
        <w:tc>
          <w:tcPr>
            <w:tcW w:type="dxa" w:w="1930"/>
          </w:tcPr>
          <w:p>
            <w:pPr>
              <w:keepNext/>
              <w:spacing w:line="480" w:lineRule="auto"/>
            </w:pPr>
            <w:r>
              <w:rPr>
                <w:sz w:val="16"/>
              </w:rPr>
              <w:t>344.279</w:t>
            </w:r>
          </w:p>
        </w:tc>
        <w:tc>
          <w:tcPr>
            <w:tcW w:type="dxa" w:w="1930"/>
          </w:tcPr>
          <w:p>
            <w:pPr>
              <w:keepNext/>
              <w:spacing w:line="480" w:lineRule="auto"/>
            </w:pPr>
            <w:r>
              <w:rPr>
                <w:sz w:val="16"/>
              </w:rPr>
              <w:t>879.197</w:t>
            </w:r>
          </w:p>
        </w:tc>
      </w:tr>
      <w:tr>
        <w:tc>
          <w:tcPr>
            <w:tcW w:type="dxa" w:w="1930"/>
          </w:tcPr>
          <w:p>
            <w:pPr>
              <w:keepNext w:val="0"/>
              <w:spacing w:line="480" w:lineRule="auto"/>
            </w:pPr>
            <w:r>
              <w:rPr>
                <w:sz w:val="16"/>
              </w:rPr>
              <w:t>Rainfall 98%, matched</w:t>
            </w:r>
          </w:p>
        </w:tc>
        <w:tc>
          <w:tcPr>
            <w:tcW w:type="dxa" w:w="1930"/>
          </w:tcPr>
          <w:p>
            <w:pPr>
              <w:keepNext w:val="0"/>
              <w:spacing w:line="480" w:lineRule="auto"/>
            </w:pPr>
            <w:r>
              <w:rPr>
                <w:sz w:val="16"/>
              </w:rPr>
              <w:t>All twelve years</w:t>
            </w:r>
          </w:p>
        </w:tc>
        <w:tc>
          <w:tcPr>
            <w:tcW w:type="dxa" w:w="1930"/>
          </w:tcPr>
          <w:p>
            <w:pPr>
              <w:keepNext w:val="0"/>
              <w:spacing w:line="480" w:lineRule="auto"/>
            </w:pPr>
            <w:r>
              <w:rPr>
                <w:sz w:val="16"/>
              </w:rPr>
              <w:t>99.62</w:t>
            </w:r>
          </w:p>
        </w:tc>
        <w:tc>
          <w:tcPr>
            <w:tcW w:type="dxa" w:w="1930"/>
          </w:tcPr>
          <w:p>
            <w:pPr>
              <w:keepNext w:val="0"/>
              <w:spacing w:line="480" w:lineRule="auto"/>
            </w:pPr>
            <w:r>
              <w:rPr>
                <w:sz w:val="16"/>
              </w:rPr>
              <w:t>353.210</w:t>
            </w:r>
          </w:p>
        </w:tc>
        <w:tc>
          <w:tcPr>
            <w:tcW w:type="dxa" w:w="1930"/>
          </w:tcPr>
          <w:p>
            <w:pPr>
              <w:keepNext w:val="0"/>
              <w:spacing w:line="480" w:lineRule="auto"/>
            </w:pPr>
            <w:r>
              <w:rPr>
                <w:sz w:val="16"/>
              </w:rPr>
              <w:t>882.223</w:t>
            </w:r>
          </w:p>
        </w:tc>
      </w:tr>
    </w:tbl>
    <w:p>
      <w:pPr>
        <w:spacing w:line="480" w:lineRule="auto"/>
      </w:pPr>
      <w:r>
        <w:t>Matched controls share the complete GRACE-availability and fallback calendar. Available-rainfall controls act during missing-storage years and alter subsequent soil states. All values use current parameters; differences do not identify causal groundwater responses.</w:t>
      </w:r>
    </w:p>
    <w:p>
      <w:pPr>
        <w:keepNext/>
        <w:spacing w:after="60" w:line="480" w:lineRule="auto"/>
        <w:jc w:val="center"/>
      </w:pPr>
      <w:r>
        <w:drawing>
          <wp:inline xmlns:a="http://schemas.openxmlformats.org/drawingml/2006/main" xmlns:pic="http://schemas.openxmlformats.org/drawingml/2006/picture">
            <wp:extent cx="5715000" cy="3751082"/>
            <wp:docPr id="3" name="Picture 3"/>
            <wp:cNvGraphicFramePr>
              <a:graphicFrameLocks noChangeAspect="1"/>
            </wp:cNvGraphicFramePr>
            <a:graphic>
              <a:graphicData uri="http://schemas.openxmlformats.org/drawingml/2006/picture">
                <pic:pic>
                  <pic:nvPicPr>
                    <pic:cNvPr id="0" name="Figure_S14_continuous_soil_storage.png"/>
                    <pic:cNvPicPr/>
                  </pic:nvPicPr>
                  <pic:blipFill>
                    <a:blip r:embed="rId12"/>
                    <a:stretch>
                      <a:fillRect/>
                    </a:stretch>
                  </pic:blipFill>
                  <pic:spPr>
                    <a:xfrm>
                      <a:off x="0" y="0"/>
                      <a:ext cx="5715000" cy="3751082"/>
                    </a:xfrm>
                    <a:prstGeom prst="rect"/>
                  </pic:spPr>
                </pic:pic>
              </a:graphicData>
            </a:graphic>
          </wp:inline>
        </w:drawing>
      </w:r>
    </w:p>
    <w:p>
      <w:pPr>
        <w:pStyle w:val="Caption"/>
        <w:keepLines/>
        <w:spacing w:line="480" w:lineRule="auto"/>
      </w:pPr>
      <w:r>
        <w:t>Figure S3. Simulated 0–2 m soil-water storage in representative units (a) 0 and (b) 31. State carries continuously through wheat, maize, fallows and annual irrigation choices. Displayed histories compare conventional irrigation with selected current strategies; they are model states rather than observed groundwater levels.</w:t>
      </w:r>
    </w:p>
    <w:p>
      <w:pPr>
        <w:pStyle w:val="Heading1"/>
        <w:spacing w:line="480" w:lineRule="auto"/>
      </w:pPr>
      <w:r>
        <w:t>S6. Harvest data quality and crop model recalibration</w:t>
      </w:r>
    </w:p>
    <w:p>
      <w:pPr>
        <w:spacing w:line="480" w:lineRule="auto"/>
      </w:pPr>
      <w:r>
        <w:t>Original Yucheng harvest sources contain identical six-replicate maize vectors in 2012 and 2017 under different date and cultivar labels. Both groups are retained as raw evidence and excluded from scored grain and harvest biomass. Eligibility depends on source authenticity rather than model residuals. Current plots preserve observed quadrat variation and the original whole site-year partitions (Figure S4).</w:t>
      </w:r>
    </w:p>
    <w:p>
      <w:pPr>
        <w:keepNext/>
        <w:spacing w:after="60" w:line="480" w:lineRule="auto"/>
        <w:jc w:val="center"/>
      </w:pPr>
      <w:r>
        <w:drawing>
          <wp:inline xmlns:a="http://schemas.openxmlformats.org/drawingml/2006/main" xmlns:pic="http://schemas.openxmlformats.org/drawingml/2006/picture">
            <wp:extent cx="5715000" cy="3874877"/>
            <wp:docPr id="4" name="Picture 4"/>
            <wp:cNvGraphicFramePr>
              <a:graphicFrameLocks noChangeAspect="1"/>
            </wp:cNvGraphicFramePr>
            <a:graphic>
              <a:graphicData uri="http://schemas.openxmlformats.org/drawingml/2006/picture">
                <pic:pic>
                  <pic:nvPicPr>
                    <pic:cNvPr id="0" name="Figure_S20_raw_harvest_quality.png"/>
                    <pic:cNvPicPr/>
                  </pic:nvPicPr>
                  <pic:blipFill>
                    <a:blip r:embed="rId13"/>
                    <a:stretch>
                      <a:fillRect/>
                    </a:stretch>
                  </pic:blipFill>
                  <pic:spPr>
                    <a:xfrm>
                      <a:off x="0" y="0"/>
                      <a:ext cx="5715000" cy="3874877"/>
                    </a:xfrm>
                    <a:prstGeom prst="rect"/>
                  </pic:spPr>
                </pic:pic>
              </a:graphicData>
            </a:graphic>
          </wp:inline>
        </w:drawing>
      </w:r>
    </w:p>
    <w:p>
      <w:pPr>
        <w:pStyle w:val="Caption"/>
        <w:keepLines/>
        <w:spacing w:line="480" w:lineRule="auto"/>
      </w:pPr>
      <w:r>
        <w:t>Figure S4. Original Yucheng harvest observations at YCAZH01ABC_01. Panels (a, b) show wheat aboveground biomass and grain; panels (c, d) show maize aboveground biomass and grain. Faint points are six quadrat observations; dark markers and error bars are means ± replicate standard error. Magenta diamonds identify the identical full maize source vectors in 2012 and 2017. Raw values remain displayed for source inspection; both groups are excluded from comparisons with quality-controlled observations. Error bars describe sampling variation, rather than model or policy uncertainty.</w:t>
      </w:r>
    </w:p>
    <w:p>
      <w:pPr>
        <w:pStyle w:val="Heading1"/>
        <w:spacing w:line="480" w:lineRule="auto"/>
      </w:pPr>
      <w:r>
        <w:t>S7. Spatial decomposition under the common irrigation budget</w:t>
      </w:r>
    </w:p>
    <w:p>
      <w:pPr>
        <w:spacing w:line="480" w:lineRule="auto"/>
      </w:pPr>
      <w:r>
        <w:t>Frozen area shares weight complete current irrigation histories before spatial aggregation. Dry-grain differences in kg ha⁻¹ multiply represented hectares and divide by 1,000 for tonnes; water depths multiply hectares by 10 for cubic metres. Independent sums reproduce regional contrasts. Latitude bands describe the distribution of gains and losses, while the 3,641 mapped cells inherit 32 simulated representative responses (Table S9).</w:t>
      </w:r>
    </w:p>
    <w:p>
      <w:pPr>
        <w:pStyle w:val="Caption"/>
        <w:keepNext/>
        <w:spacing w:line="480" w:lineRule="auto"/>
      </w:pPr>
      <w:r>
        <w:t>Table S9. Spatial decomposition at a common 50% regional irrigation reduction during 2014–2025.</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2431"/>
        <w:gridCol w:w="988"/>
        <w:gridCol w:w="1367"/>
        <w:gridCol w:w="1367"/>
        <w:gridCol w:w="1671"/>
        <w:gridCol w:w="1823"/>
      </w:tblGrid>
      <w:tr>
        <w:tc>
          <w:tcPr>
            <w:tcW w:type="dxa" w:w="2431"/>
            <w:tcBorders>
              <w:bottom w:val="single" w:sz="6" w:color="000000"/>
            </w:tcBorders>
          </w:tcPr>
          <w:p>
            <w:pPr>
              <w:keepNext/>
              <w:spacing w:line="480" w:lineRule="auto"/>
            </w:pPr>
            <w:r>
              <w:rPr>
                <w:b/>
                <w:sz w:val="16"/>
              </w:rPr>
              <w:t>Latitude band</w:t>
            </w:r>
          </w:p>
        </w:tc>
        <w:tc>
          <w:tcPr>
            <w:tcW w:type="dxa" w:w="988"/>
            <w:tcBorders>
              <w:bottom w:val="single" w:sz="6" w:color="000000"/>
            </w:tcBorders>
          </w:tcPr>
          <w:p>
            <w:pPr>
              <w:keepNext/>
              <w:spacing w:line="480" w:lineRule="auto"/>
            </w:pPr>
            <w:r>
              <w:rPr>
                <w:b/>
                <w:sz w:val="16"/>
              </w:rPr>
              <w:t>Area share (%)</w:t>
            </w:r>
          </w:p>
        </w:tc>
        <w:tc>
          <w:tcPr>
            <w:tcW w:type="dxa" w:w="1367"/>
            <w:tcBorders>
              <w:bottom w:val="single" w:sz="6" w:color="000000"/>
            </w:tcBorders>
          </w:tcPr>
          <w:p>
            <w:pPr>
              <w:keepNext/>
              <w:spacing w:line="480" w:lineRule="auto"/>
            </w:pPr>
            <w:r>
              <w:rPr>
                <w:b/>
                <w:sz w:val="16"/>
              </w:rPr>
              <w:t>Targeted irrigation fraction</w:t>
            </w:r>
          </w:p>
        </w:tc>
        <w:tc>
          <w:tcPr>
            <w:tcW w:type="dxa" w:w="1367"/>
            <w:tcBorders>
              <w:bottom w:val="single" w:sz="6" w:color="000000"/>
            </w:tcBorders>
          </w:tcPr>
          <w:p>
            <w:pPr>
              <w:keepNext/>
              <w:spacing w:line="480" w:lineRule="auto"/>
            </w:pPr>
            <w:r>
              <w:rPr>
                <w:b/>
                <w:sz w:val="16"/>
              </w:rPr>
              <w:t>Grain change (t ha⁻¹)</w:t>
            </w:r>
          </w:p>
        </w:tc>
        <w:tc>
          <w:tcPr>
            <w:tcW w:type="dxa" w:w="1671"/>
            <w:tcBorders>
              <w:bottom w:val="single" w:sz="6" w:color="000000"/>
            </w:tcBorders>
          </w:tcPr>
          <w:p>
            <w:pPr>
              <w:keepNext/>
              <w:spacing w:line="480" w:lineRule="auto"/>
            </w:pPr>
            <w:r>
              <w:rPr>
                <w:b/>
                <w:sz w:val="16"/>
              </w:rPr>
              <w:t>ET change (mm)</w:t>
            </w:r>
          </w:p>
        </w:tc>
        <w:tc>
          <w:tcPr>
            <w:tcW w:type="dxa" w:w="1823"/>
            <w:tcBorders>
              <w:bottom w:val="single" w:sz="6" w:color="000000"/>
            </w:tcBorders>
          </w:tcPr>
          <w:p>
            <w:pPr>
              <w:keepNext/>
              <w:spacing w:line="480" w:lineRule="auto"/>
            </w:pPr>
            <w:r>
              <w:rPr>
                <w:b/>
                <w:sz w:val="16"/>
              </w:rPr>
              <w:t>Grain contribution (Mt)</w:t>
            </w:r>
          </w:p>
        </w:tc>
      </w:tr>
      <w:tr>
        <w:tc>
          <w:tcPr>
            <w:tcW w:type="dxa" w:w="2431"/>
          </w:tcPr>
          <w:p>
            <w:pPr>
              <w:keepNext/>
              <w:spacing w:line="480" w:lineRule="auto"/>
            </w:pPr>
            <w:r>
              <w:rPr>
                <w:sz w:val="16"/>
              </w:rPr>
              <w:t>Southern (32–36°N)</w:t>
            </w:r>
          </w:p>
        </w:tc>
        <w:tc>
          <w:tcPr>
            <w:tcW w:type="dxa" w:w="988"/>
          </w:tcPr>
          <w:p>
            <w:pPr>
              <w:keepNext/>
              <w:spacing w:line="480" w:lineRule="auto"/>
            </w:pPr>
            <w:r>
              <w:rPr>
                <w:sz w:val="16"/>
              </w:rPr>
              <w:t>60.733</w:t>
            </w:r>
          </w:p>
        </w:tc>
        <w:tc>
          <w:tcPr>
            <w:tcW w:type="dxa" w:w="1367"/>
          </w:tcPr>
          <w:p>
            <w:pPr>
              <w:keepNext/>
              <w:spacing w:line="480" w:lineRule="auto"/>
            </w:pPr>
            <w:r>
              <w:rPr>
                <w:sz w:val="16"/>
              </w:rPr>
              <w:t>0.305</w:t>
            </w:r>
          </w:p>
        </w:tc>
        <w:tc>
          <w:tcPr>
            <w:tcW w:type="dxa" w:w="1367"/>
          </w:tcPr>
          <w:p>
            <w:pPr>
              <w:keepNext/>
              <w:spacing w:line="480" w:lineRule="auto"/>
            </w:pPr>
            <w:r>
              <w:rPr>
                <w:sz w:val="16"/>
              </w:rPr>
              <w:t>-0.357</w:t>
            </w:r>
          </w:p>
        </w:tc>
        <w:tc>
          <w:tcPr>
            <w:tcW w:type="dxa" w:w="1671"/>
          </w:tcPr>
          <w:p>
            <w:pPr>
              <w:keepNext/>
              <w:spacing w:line="480" w:lineRule="auto"/>
            </w:pPr>
            <w:r>
              <w:rPr>
                <w:sz w:val="16"/>
              </w:rPr>
              <w:t>-25.599</w:t>
            </w:r>
          </w:p>
        </w:tc>
        <w:tc>
          <w:tcPr>
            <w:tcW w:type="dxa" w:w="1823"/>
          </w:tcPr>
          <w:p>
            <w:pPr>
              <w:keepNext/>
              <w:spacing w:line="480" w:lineRule="auto"/>
            </w:pPr>
            <w:r>
              <w:rPr>
                <w:sz w:val="16"/>
              </w:rPr>
              <w:t>-2.142</w:t>
            </w:r>
          </w:p>
        </w:tc>
      </w:tr>
      <w:tr>
        <w:tc>
          <w:tcPr>
            <w:tcW w:type="dxa" w:w="2431"/>
          </w:tcPr>
          <w:p>
            <w:pPr>
              <w:keepNext/>
              <w:spacing w:line="480" w:lineRule="auto"/>
            </w:pPr>
            <w:r>
              <w:rPr>
                <w:sz w:val="16"/>
              </w:rPr>
              <w:t>Central (36–38°N)</w:t>
            </w:r>
          </w:p>
        </w:tc>
        <w:tc>
          <w:tcPr>
            <w:tcW w:type="dxa" w:w="988"/>
          </w:tcPr>
          <w:p>
            <w:pPr>
              <w:keepNext/>
              <w:spacing w:line="480" w:lineRule="auto"/>
            </w:pPr>
            <w:r>
              <w:rPr>
                <w:sz w:val="16"/>
              </w:rPr>
              <w:t>31.369</w:t>
            </w:r>
          </w:p>
        </w:tc>
        <w:tc>
          <w:tcPr>
            <w:tcW w:type="dxa" w:w="1367"/>
          </w:tcPr>
          <w:p>
            <w:pPr>
              <w:keepNext/>
              <w:spacing w:line="480" w:lineRule="auto"/>
            </w:pPr>
            <w:r>
              <w:rPr>
                <w:sz w:val="16"/>
              </w:rPr>
              <w:t>0.799</w:t>
            </w:r>
          </w:p>
        </w:tc>
        <w:tc>
          <w:tcPr>
            <w:tcW w:type="dxa" w:w="1367"/>
          </w:tcPr>
          <w:p>
            <w:pPr>
              <w:keepNext/>
              <w:spacing w:line="480" w:lineRule="auto"/>
            </w:pPr>
            <w:r>
              <w:rPr>
                <w:sz w:val="16"/>
              </w:rPr>
              <w:t>2.415</w:t>
            </w:r>
          </w:p>
        </w:tc>
        <w:tc>
          <w:tcPr>
            <w:tcW w:type="dxa" w:w="1671"/>
          </w:tcPr>
          <w:p>
            <w:pPr>
              <w:keepNext/>
              <w:spacing w:line="480" w:lineRule="auto"/>
            </w:pPr>
            <w:r>
              <w:rPr>
                <w:sz w:val="16"/>
              </w:rPr>
              <w:t>93.497</w:t>
            </w:r>
          </w:p>
        </w:tc>
        <w:tc>
          <w:tcPr>
            <w:tcW w:type="dxa" w:w="1823"/>
          </w:tcPr>
          <w:p>
            <w:pPr>
              <w:keepNext/>
              <w:spacing w:line="480" w:lineRule="auto"/>
            </w:pPr>
            <w:r>
              <w:rPr>
                <w:sz w:val="16"/>
              </w:rPr>
              <w:t>7.475</w:t>
            </w:r>
          </w:p>
        </w:tc>
      </w:tr>
      <w:tr>
        <w:tc>
          <w:tcPr>
            <w:tcW w:type="dxa" w:w="2431"/>
          </w:tcPr>
          <w:p>
            <w:pPr>
              <w:keepNext/>
              <w:spacing w:line="480" w:lineRule="auto"/>
            </w:pPr>
            <w:r>
              <w:rPr>
                <w:sz w:val="16"/>
              </w:rPr>
              <w:t>Northern (38–41°N)</w:t>
            </w:r>
          </w:p>
        </w:tc>
        <w:tc>
          <w:tcPr>
            <w:tcW w:type="dxa" w:w="988"/>
          </w:tcPr>
          <w:p>
            <w:pPr>
              <w:keepNext/>
              <w:spacing w:line="480" w:lineRule="auto"/>
            </w:pPr>
            <w:r>
              <w:rPr>
                <w:sz w:val="16"/>
              </w:rPr>
              <w:t>7.897</w:t>
            </w:r>
          </w:p>
        </w:tc>
        <w:tc>
          <w:tcPr>
            <w:tcW w:type="dxa" w:w="1367"/>
          </w:tcPr>
          <w:p>
            <w:pPr>
              <w:keepNext/>
              <w:spacing w:line="480" w:lineRule="auto"/>
            </w:pPr>
            <w:r>
              <w:rPr>
                <w:sz w:val="16"/>
              </w:rPr>
              <w:t>0.813</w:t>
            </w:r>
          </w:p>
        </w:tc>
        <w:tc>
          <w:tcPr>
            <w:tcW w:type="dxa" w:w="1367"/>
          </w:tcPr>
          <w:p>
            <w:pPr>
              <w:keepNext/>
              <w:spacing w:line="480" w:lineRule="auto"/>
            </w:pPr>
            <w:r>
              <w:rPr>
                <w:sz w:val="16"/>
              </w:rPr>
              <w:t>2.420</w:t>
            </w:r>
          </w:p>
        </w:tc>
        <w:tc>
          <w:tcPr>
            <w:tcW w:type="dxa" w:w="1671"/>
          </w:tcPr>
          <w:p>
            <w:pPr>
              <w:keepNext/>
              <w:spacing w:line="480" w:lineRule="auto"/>
            </w:pPr>
            <w:r>
              <w:rPr>
                <w:sz w:val="16"/>
              </w:rPr>
              <w:t>88.358</w:t>
            </w:r>
          </w:p>
        </w:tc>
        <w:tc>
          <w:tcPr>
            <w:tcW w:type="dxa" w:w="1823"/>
          </w:tcPr>
          <w:p>
            <w:pPr>
              <w:keepNext/>
              <w:spacing w:line="480" w:lineRule="auto"/>
            </w:pPr>
            <w:r>
              <w:rPr>
                <w:sz w:val="16"/>
              </w:rPr>
              <w:t>1.886</w:t>
            </w:r>
          </w:p>
        </w:tc>
      </w:tr>
    </w:tbl>
    <w:p>
      <w:pPr>
        <w:spacing w:line="480" w:lineRule="auto"/>
      </w:pPr>
      <w:r>
        <w:t>Current targeted-minus-uniform means at the same 50% regional irrigation cut. Latitude bands are reporting partitions. Source cells inherit representative responses and are not independent observations.</w:t>
      </w:r>
    </w:p>
    <w:p>
      <w:pPr>
        <w:pStyle w:val="Heading1"/>
        <w:spacing w:line="480" w:lineRule="auto"/>
      </w:pPr>
      <w:r>
        <w:t>S8. Seasonal crop trajectories and harvest outcomes</w:t>
      </w:r>
    </w:p>
    <w:p>
      <w:pPr>
        <w:spacing w:line="480" w:lineRule="auto"/>
      </w:pPr>
      <w:r>
        <w:t>Current seasonal curves use the selected frozen parameters and all sites with eligible observations for each variable. Observation and prediction channels share windows, case identities and aggregation weights. Bins span 15 days for wheat and 7 days for maize; site-year contributions and populations can change among bins. Standard errors describe variation across site-year means and are omitted for single-year bins. Missing bins remain gaps. Unbinned records determine performance scores (Figures S6–S11).</w:t>
      </w:r>
    </w:p>
    <w:p>
      <w:pPr>
        <w:spacing w:line="480" w:lineRule="auto"/>
      </w:pPr>
      <w:r>
        <w:t>The original station calibration partitions retain earlier growth-fitting history; all station comparisons are conditional on unconfirmed complete irrigation management. Station observations have no weight in the latest water fit. Yucheng has no eligible in-season biomass evaluation observations, while its harvest-biomass endpoints remain separately available. Figure S5 shows dry-grain and aboveground harvest means with quadrat SE. Six samples within a crop-year describe sampling variation, and the duplicated 2012 and 2017 maize groups remain excluded. Exact case availability, site-specific metrics, bin contributions and harvest source rows accompany the figures.</w:t>
      </w:r>
    </w:p>
    <w:p>
      <w:pPr>
        <w:keepNext/>
        <w:spacing w:after="60" w:line="480" w:lineRule="auto"/>
        <w:jc w:val="center"/>
      </w:pPr>
      <w:r>
        <w:drawing>
          <wp:inline xmlns:a="http://schemas.openxmlformats.org/drawingml/2006/main" xmlns:pic="http://schemas.openxmlformats.org/drawingml/2006/picture">
            <wp:extent cx="5715000" cy="4244529"/>
            <wp:docPr id="5" name="Picture 5"/>
            <wp:cNvGraphicFramePr>
              <a:graphicFrameLocks noChangeAspect="1"/>
            </wp:cNvGraphicFramePr>
            <a:graphic>
              <a:graphicData uri="http://schemas.openxmlformats.org/drawingml/2006/picture">
                <pic:pic>
                  <pic:nvPicPr>
                    <pic:cNvPr id="0" name="current_Figure_S6_Yucheng_harvest_comparisons.png"/>
                    <pic:cNvPicPr/>
                  </pic:nvPicPr>
                  <pic:blipFill>
                    <a:blip r:embed="rId14"/>
                    <a:stretch>
                      <a:fillRect/>
                    </a:stretch>
                  </pic:blipFill>
                  <pic:spPr>
                    <a:xfrm>
                      <a:off x="0" y="0"/>
                      <a:ext cx="5715000" cy="4244529"/>
                    </a:xfrm>
                    <a:prstGeom prst="rect"/>
                  </pic:spPr>
                </pic:pic>
              </a:graphicData>
            </a:graphic>
          </wp:inline>
        </w:drawing>
      </w:r>
    </w:p>
    <w:p>
      <w:pPr>
        <w:pStyle w:val="Caption"/>
        <w:keepLines/>
        <w:spacing w:line="480" w:lineRule="auto"/>
      </w:pPr>
      <w:r>
        <w:t>Figure S5. Conditional Yucheng harvest comparisons. Wheat occupies the left column and maize the right; the top row shows aboveground biomass and the bottom row grain. Black points show observed means ± standard errors among six quadrat samples per crop-year; blue points show current coupled-model predictions at the same sampling windows. Circles and squares distinguish the original calibration and retrospective-evaluation partitions. Grain and total aboveground biomass are dry matter. The duplicated maize 2012 and 2017 source vectors remain excluded. Within-year replicates describe spatial sampling variation and are not independent crop seasons. Management completeness remains unconfirmed and current water coefficients use Wuqiao fitting targets, while growth coefficients retain their earlier multisite fitting history.</w:t>
      </w:r>
    </w:p>
    <w:p>
      <w:pPr>
        <w:keepNext/>
        <w:spacing w:after="60" w:line="480" w:lineRule="auto"/>
        <w:jc w:val="center"/>
      </w:pPr>
      <w:r>
        <w:drawing>
          <wp:inline xmlns:a="http://schemas.openxmlformats.org/drawingml/2006/main" xmlns:pic="http://schemas.openxmlformats.org/drawingml/2006/picture">
            <wp:extent cx="5715000" cy="3499805"/>
            <wp:docPr id="6" name="Picture 6"/>
            <wp:cNvGraphicFramePr>
              <a:graphicFrameLocks noChangeAspect="1"/>
            </wp:cNvGraphicFramePr>
            <a:graphic>
              <a:graphicData uri="http://schemas.openxmlformats.org/drawingml/2006/picture">
                <pic:pic>
                  <pic:nvPicPr>
                    <pic:cNvPr id="0" name="current_Figure_S7_wheat_lai_seasonal_curves.png"/>
                    <pic:cNvPicPr/>
                  </pic:nvPicPr>
                  <pic:blipFill>
                    <a:blip r:embed="rId15"/>
                    <a:stretch>
                      <a:fillRect/>
                    </a:stretch>
                  </pic:blipFill>
                  <pic:spPr>
                    <a:xfrm>
                      <a:off x="0" y="0"/>
                      <a:ext cx="5715000" cy="3499805"/>
                    </a:xfrm>
                    <a:prstGeom prst="rect"/>
                  </pic:spPr>
                </pic:pic>
              </a:graphicData>
            </a:graphic>
          </wp:inline>
        </w:drawing>
      </w:r>
    </w:p>
    <w:p>
      <w:pPr>
        <w:pStyle w:val="Caption"/>
        <w:keepLines/>
        <w:spacing w:line="480" w:lineRule="auto"/>
      </w:pPr>
      <w:r>
        <w:t>Figure S6. Site-specific wheat LAI comparisons: (a) Fengqiu; (b) Luancheng; (c) Shangqiu; (d)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3499805"/>
            <wp:docPr id="7" name="Picture 7"/>
            <wp:cNvGraphicFramePr>
              <a:graphicFrameLocks noChangeAspect="1"/>
            </wp:cNvGraphicFramePr>
            <a:graphic>
              <a:graphicData uri="http://schemas.openxmlformats.org/drawingml/2006/picture">
                <pic:pic>
                  <pic:nvPicPr>
                    <pic:cNvPr id="0" name="current_Figure_S8_wheat_biomass_seasonal_curves.png"/>
                    <pic:cNvPicPr/>
                  </pic:nvPicPr>
                  <pic:blipFill>
                    <a:blip r:embed="rId16"/>
                    <a:stretch>
                      <a:fillRect/>
                    </a:stretch>
                  </pic:blipFill>
                  <pic:spPr>
                    <a:xfrm>
                      <a:off x="0" y="0"/>
                      <a:ext cx="5715000" cy="3499805"/>
                    </a:xfrm>
                    <a:prstGeom prst="rect"/>
                  </pic:spPr>
                </pic:pic>
              </a:graphicData>
            </a:graphic>
          </wp:inline>
        </w:drawing>
      </w:r>
    </w:p>
    <w:p>
      <w:pPr>
        <w:pStyle w:val="Caption"/>
        <w:keepLines/>
        <w:spacing w:line="480" w:lineRule="auto"/>
      </w:pPr>
      <w:r>
        <w:t>Figure S7. Site-specific wheat aboveground biomass comparisons: (a) Fengqiu; (b) Luancheng; (c) Shangqiu; (d)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1982549"/>
            <wp:docPr id="8" name="Picture 8"/>
            <wp:cNvGraphicFramePr>
              <a:graphicFrameLocks noChangeAspect="1"/>
            </wp:cNvGraphicFramePr>
            <a:graphic>
              <a:graphicData uri="http://schemas.openxmlformats.org/drawingml/2006/picture">
                <pic:pic>
                  <pic:nvPicPr>
                    <pic:cNvPr id="0" name="current_Figure_S9_wheat_et_seasonal_curves.png"/>
                    <pic:cNvPicPr/>
                  </pic:nvPicPr>
                  <pic:blipFill>
                    <a:blip r:embed="rId17"/>
                    <a:stretch>
                      <a:fillRect/>
                    </a:stretch>
                  </pic:blipFill>
                  <pic:spPr>
                    <a:xfrm>
                      <a:off x="0" y="0"/>
                      <a:ext cx="5715000" cy="1982549"/>
                    </a:xfrm>
                    <a:prstGeom prst="rect"/>
                  </pic:spPr>
                </pic:pic>
              </a:graphicData>
            </a:graphic>
          </wp:inline>
        </w:drawing>
      </w:r>
    </w:p>
    <w:p>
      <w:pPr>
        <w:pStyle w:val="Caption"/>
        <w:keepLines/>
        <w:spacing w:line="480" w:lineRule="auto"/>
      </w:pPr>
      <w:r>
        <w:t>Figure S8. Site-specific wheat ET comparisons: (a) Fengqiu; (b)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5017062"/>
            <wp:docPr id="9" name="Picture 9"/>
            <wp:cNvGraphicFramePr>
              <a:graphicFrameLocks noChangeAspect="1"/>
            </wp:cNvGraphicFramePr>
            <a:graphic>
              <a:graphicData uri="http://schemas.openxmlformats.org/drawingml/2006/picture">
                <pic:pic>
                  <pic:nvPicPr>
                    <pic:cNvPr id="0" name="current_Figure_S10_maize_lai_seasonal_curves.png"/>
                    <pic:cNvPicPr/>
                  </pic:nvPicPr>
                  <pic:blipFill>
                    <a:blip r:embed="rId18"/>
                    <a:stretch>
                      <a:fillRect/>
                    </a:stretch>
                  </pic:blipFill>
                  <pic:spPr>
                    <a:xfrm>
                      <a:off x="0" y="0"/>
                      <a:ext cx="5715000" cy="5017062"/>
                    </a:xfrm>
                    <a:prstGeom prst="rect"/>
                  </pic:spPr>
                </pic:pic>
              </a:graphicData>
            </a:graphic>
          </wp:inline>
        </w:drawing>
      </w:r>
    </w:p>
    <w:p>
      <w:pPr>
        <w:pStyle w:val="Caption"/>
        <w:keepLines/>
        <w:spacing w:line="480" w:lineRule="auto"/>
      </w:pPr>
      <w:r>
        <w:t>Figure S9. Site-specific maize LAI comparisons: (a) Fengqiu; (b) Gucheng; (c) Luancheng; (d) Shangqiu; (e)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3499805"/>
            <wp:docPr id="10" name="Picture 10"/>
            <wp:cNvGraphicFramePr>
              <a:graphicFrameLocks noChangeAspect="1"/>
            </wp:cNvGraphicFramePr>
            <a:graphic>
              <a:graphicData uri="http://schemas.openxmlformats.org/drawingml/2006/picture">
                <pic:pic>
                  <pic:nvPicPr>
                    <pic:cNvPr id="0" name="current_Figure_S11_maize_biomass_seasonal_curves.png"/>
                    <pic:cNvPicPr/>
                  </pic:nvPicPr>
                  <pic:blipFill>
                    <a:blip r:embed="rId19"/>
                    <a:stretch>
                      <a:fillRect/>
                    </a:stretch>
                  </pic:blipFill>
                  <pic:spPr>
                    <a:xfrm>
                      <a:off x="0" y="0"/>
                      <a:ext cx="5715000" cy="3499805"/>
                    </a:xfrm>
                    <a:prstGeom prst="rect"/>
                  </pic:spPr>
                </pic:pic>
              </a:graphicData>
            </a:graphic>
          </wp:inline>
        </w:drawing>
      </w:r>
    </w:p>
    <w:p>
      <w:pPr>
        <w:pStyle w:val="Caption"/>
        <w:keepLines/>
        <w:spacing w:line="480" w:lineRule="auto"/>
      </w:pPr>
      <w:r>
        <w:t>Figure S10. Site-specific maize aboveground biomass comparisons: (a) Fengqiu; (b) Luancheng; (c) Shangqiu; (d)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1982549"/>
            <wp:docPr id="11" name="Picture 11"/>
            <wp:cNvGraphicFramePr>
              <a:graphicFrameLocks noChangeAspect="1"/>
            </wp:cNvGraphicFramePr>
            <a:graphic>
              <a:graphicData uri="http://schemas.openxmlformats.org/drawingml/2006/picture">
                <pic:pic>
                  <pic:nvPicPr>
                    <pic:cNvPr id="0" name="current_Figure_S12_maize_et_seasonal_curves.png"/>
                    <pic:cNvPicPr/>
                  </pic:nvPicPr>
                  <pic:blipFill>
                    <a:blip r:embed="rId20"/>
                    <a:stretch>
                      <a:fillRect/>
                    </a:stretch>
                  </pic:blipFill>
                  <pic:spPr>
                    <a:xfrm>
                      <a:off x="0" y="0"/>
                      <a:ext cx="5715000" cy="1982549"/>
                    </a:xfrm>
                    <a:prstGeom prst="rect"/>
                  </pic:spPr>
                </pic:pic>
              </a:graphicData>
            </a:graphic>
          </wp:inline>
        </w:drawing>
      </w:r>
    </w:p>
    <w:p>
      <w:pPr>
        <w:pStyle w:val="Caption"/>
        <w:keepLines/>
        <w:spacing w:line="480" w:lineRule="auto"/>
      </w:pPr>
      <w:r>
        <w:t>Figure S11. Site-specific maize ET comparisons: (a) Fengqiu; (b)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pStyle w:val="Heading1"/>
        <w:spacing w:line="480" w:lineRule="auto"/>
      </w:pPr>
      <w:r>
        <w:t>References</w:t>
      </w:r>
    </w:p>
    <w:p>
      <w:pPr>
        <w:spacing w:line="480" w:lineRule="auto"/>
        <w:ind w:left="288" w:hanging="288"/>
      </w:pPr>
      <w:r>
        <w:fldChar w:fldCharType="begin"/>
      </w:r>
      <w:r>
        <w:instrText xml:space="preserve"> ADDIN ZOTERO_BIBL {"uncited":[],"omitted":[],"custom":[]} CSL_BIBLIOGRAPHY </w:instrText>
      </w:r>
      <w:r>
        <w:fldChar w:fldCharType="separate"/>
      </w:r>
      <w:r>
        <w:t>Yang, L., Fang, X., Zhou, J., Zhao, J., Hou, X., Yang, Y., Zang, H., Zeng, Z., 2024. Optimal irrigation for wheat-maize rotation depending on precipitation in the North China Plain: Evidence from a four-year experiment. Agric. Water Manag. 294, 108726. https://doi.org/10.1016/j.agwat.2024.108726</w:t>
      </w:r>
    </w:p>
    <w:p>
      <w:pPr>
        <w:spacing w:line="480" w:lineRule="auto"/>
        <w:ind w:left="288" w:hanging="288"/>
      </w:pPr>
      <w:r>
        <w:t>Meier, U. (Ed.), 2018. Growth stages of mono- and dicotyledonous plants: BBCH Monograph. Julius Kühn-Institut, Quedlinburg. https://doi.org/10.5073/20180906-074619</w:t>
      </w:r>
    </w:p>
    <w:p>
      <w:pPr>
        <w:spacing w:line="480" w:lineRule="auto"/>
        <w:ind w:left="288" w:hanging="288"/>
      </w:pPr>
      <w:r>
        <w:t>Kiniry, J.R., Jones, C.A., O'toole, J.C., Blanchet, R., Cabelguenne, M., Spanel, D.A., 1989. Radiation-use efficiency in biomass accumulation prior to grain-filling for five grain-crop species. Field Crops Research. https://doi.org/10.1016/0378-4290(89)90023-3</w:t>
      </w:r>
    </w:p>
    <w:p>
      <w:pPr>
        <w:spacing w:line="480" w:lineRule="auto"/>
        <w:ind w:left="288" w:hanging="288"/>
      </w:pPr>
      <w:r>
        <w:t>de Wit; Berghuijs, n.d.. Python Crop Simulation Environment: WOFOST leaf dynamics implementation [software]. Version Archived master-branch source snapshot. https://github.com/ajwdewit/pcse/blob/master/pcse/crop/leaf_dynamics.py (accessed 4 October 2026).</w:t>
      </w:r>
    </w:p>
    <w:p>
      <w:pPr>
        <w:spacing w:line="480" w:lineRule="auto"/>
        <w:ind w:left="288" w:hanging="288"/>
      </w:pPr>
      <w:r>
        <w:t>Tan, M., Gou, F., Stomph, T.J., Wang, J., Yin, W., Zhang, L., Chai, Q., van der Werf, W., 2020. Dynamic process-based modelling of crop growth and competitive water extraction in relay strip intercropping: Model development and application to wheat-maize intercropping. Field Crops Research 246, 107613. https://doi.org/10.1016/j.fcr.2019.107613</w:t>
      </w:r>
    </w:p>
    <w:p>
      <w:pPr>
        <w:spacing w:line="480" w:lineRule="auto"/>
        <w:ind w:left="288" w:hanging="288"/>
      </w:pPr>
      <w:r>
        <w:t>de Wit, A., 2020. Parameter sets for the WOFOST 7.2/7.3 cropping system model for wheat.</w:t>
      </w:r>
    </w:p>
    <w:p>
      <w:pPr>
        <w:spacing w:line="480" w:lineRule="auto"/>
        <w:ind w:left="288" w:hanging="288"/>
      </w:pPr>
      <w:r>
        <w:t>de Wit, A., 2022. Parameter sets for the WOFOST 7.2/7.3 model for simulating maize.</w:t>
      </w:r>
    </w:p>
    <w:p>
      <w:pPr>
        <w:spacing w:line="480" w:lineRule="auto"/>
        <w:ind w:left="288" w:hanging="288"/>
      </w:pPr>
      <w:r>
        <w:t>APSIM Initiative, 2026. APSIM Next Generation (ApsimX): wheat and maize model definitions [software]. Version 074d15f. https://github.com/APSIMInitiative/ApsimX/tree/074d15f51889a386d3667acfed184d03e4e8f65f/Models/Resources (accessed 4 October 2026).</w:t>
      </w:r>
    </w:p>
    <w:p>
      <w:pPr>
        <w:spacing w:line="480" w:lineRule="auto"/>
        <w:ind w:left="288" w:hanging="288"/>
      </w:pPr>
      <w:r>
        <w:t>Allen, R.G., Pereira, L.S., Raes, D., Smith, M., 1998. Crop evapotranspiration: Guidelines for computing crop water requirements, FAO Irrigation and Drainage Paper. Food and Agriculture Organization of the United Nations, Rome.</w:t>
      </w:r>
    </w:p>
    <w:p>
      <w:pPr>
        <w:spacing w:line="480" w:lineRule="auto"/>
        <w:ind w:left="288" w:hanging="288"/>
      </w:pPr>
      <w:r>
        <w:t>van Genuchten, M.T., 1980. A Closed‐form Equation for Predicting the Hydraulic Conductivity of Unsaturated Soils. Soil Science Society of America Journal 44, 892–898. https://doi.org/10.2136/sssaj1980.03615995004400050002x</w:t>
      </w:r>
    </w:p>
    <w:p>
      <w:pPr>
        <w:spacing w:line="480" w:lineRule="auto"/>
        <w:ind w:left="288" w:hanging="288"/>
      </w:pPr>
      <w:r>
        <w:t>Mualem, Y., 1976. A new model for predicting the hydraulic conductivity of unsaturated porous media. Water Resources Research 12, 513–522. https://doi.org/10.1029/wr012i003p00513</w:t>
      </w:r>
    </w:p>
    <w:p>
      <w:pPr>
        <w:spacing w:line="480" w:lineRule="auto"/>
        <w:ind w:left="288" w:hanging="288"/>
      </w:pPr>
      <w:r>
        <w:t>Wu, L., Min, L., Liu, M., Zhang, Y., Pei, H., Li, H., Zhang, G., Wang, S., Shen, Y., 2023. Monitoring of Thick Vadose Zone Water Dynamics Under Irrigation Using a 48 m Deep Caisson at the Luancheng Critical Zone Observatory. Water Resour. Res. 59, e2022WR032965. https://doi.org/10.1029/2022wr032965</w:t>
      </w:r>
    </w:p>
    <w:p>
      <w:pPr>
        <w:spacing w:line="480" w:lineRule="auto"/>
        <w:ind w:left="288" w:hanging="288"/>
      </w:pPr>
      <w:r>
        <w:t>Saxton, K.E., Rawls, W.J., 2006. Soil Water Characteristic Estimates by Texture and Organic Matter for Hydrologic Solutions. Soil Science Society of America Journal 70, 1569–1578. https://doi.org/10.2136/sssaj2005.0117</w:t>
      </w:r>
    </w:p>
    <w:p>
      <w:pPr>
        <w:spacing w:line="480" w:lineRule="auto"/>
        <w:ind w:left="288" w:hanging="288"/>
      </w:pPr>
      <w:r>
        <w:t>ISRIC — World Soil Information, 2020. SoilGrids250m version 2.0.</w:t>
      </w:r>
    </w:p>
    <w:p>
      <w:pPr>
        <w:spacing w:line="480" w:lineRule="auto"/>
        <w:ind w:left="288" w:hanging="288"/>
      </w:pPr>
      <w:r>
        <w:t>NASA JPL, 2013. NASA Shuttle Radar Topography Mission Global 1 arc second. https://doi.org/10.5067/MEASURES/SRTM/SRTMGL1.003</w:t>
      </w:r>
    </w:p>
    <w:p>
      <w:pPr>
        <w:spacing w:line="480" w:lineRule="auto"/>
        <w:ind w:left="288" w:hanging="288"/>
      </w:pPr>
      <w:r>
        <w:t>Qiu, B., Hu, X., Chen, C., Tang, Z., Yang, P., Zhu, X., Yan, C., Jian, Z., 2022. Maps of cropping patterns in China during 2015–2021. Scientific Data. https://doi.org/10.1038/s41597-022-01589-8</w:t>
      </w:r>
    </w:p>
    <w:p>
      <w:pPr>
        <w:spacing w:line="480" w:lineRule="auto"/>
        <w:ind w:left="288" w:hanging="288"/>
      </w:pPr>
      <w:r>
        <w:t>Fu, Y., Dong, J., Shen, R., Peng, Q., Li, X., Zheng, Y., Pan, B., Dong, J., Qiu, B., Huang, J., Yuan, W., 2025. China Crop Dataset: A long-term and high-resolution crop distribution dataset in China. https://doi.org/10.57760/sciencedb.32361</w:t>
      </w:r>
    </w:p>
    <w:p>
      <w:pPr>
        <w:spacing w:line="480" w:lineRule="auto"/>
        <w:ind w:left="288" w:hanging="288"/>
      </w:pPr>
      <w:r>
        <w:t>Fu, Y., Dong, J., Shen, R., Peng, Q., Li, X., Zheng, Y., Pan, B., Dong, J., Qiu, B., Huang, J., Huang, X., Yuan, W., 2026. A 30-m annual distribution dataset of major crops in China from 2001-2024. Scientific Data 13, 1074. https://doi.org/10.1038/s41597-026-07370-5</w:t>
      </w:r>
      <w:r>
        <w:fldChar w:fldCharType="end"/>
      </w:r>
    </w:p>
    <w:sectPr w:rsidR="00FC693F" w:rsidRPr="0006063C" w:rsidSect="00034616">
      <w:footerReference w:type="default" r:id="rId9"/>
      <w:pgSz w:w="12240" w:h="15840"/>
      <w:pgMar w:top="1152" w:right="1296" w:bottom="1152" w:left="1296" w:header="720" w:footer="720" w:gutter="0"/>
      <w:lnNumType w:countBy="1" w:start="1" w:restart="continuous" w:distance="2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Irrigation strategies under contrasting water-storage and rainfall conditions in the North China Plain</dc:title>
  <dc:subject/>
  <dc:creator>Linjia Yao; Bin Chen; Hao Feng; Qiang Yu; Gang Zhao</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id="ncp-irrigation"/&gt;&lt;style id="http://www.zotero.org/styles/agricultural-water-management" locale="en-US" hasBibliography="1" bibliographyStyleHasBeenSet="1"/&gt;&lt;prefs&gt;&lt;pref name="fieldType" value="Field"/&gt;&lt;pref name="automaticJournalAbbreviations" value="1"/&gt;&lt;pref name="noteType" value="0"/&gt;&lt;/prefs&gt;&lt;/data&gt;</vt:lpwstr>
  </property>
</Properties>
</file>