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Linchao Li</w:t>
      </w:r>
      <w:r>
        <w:rPr>
          <w:vertAlign w:val="superscript"/>
        </w:rPr>
        <w:t>3</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rPr>
          <w:vertAlign w:val="superscript"/>
        </w:rPr>
        <w:t>3</w:t>
      </w:r>
      <w:r>
        <w:t xml:space="preserve"> College of Agronomy, Inner Mongolia Agricultural University, Hohhot, 010019, China</w:t>
      </w:r>
    </w:p>
    <w:p>
      <w:pPr>
        <w:keepNext/>
        <w:spacing w:line="480" w:lineRule="auto"/>
      </w:pPr>
      <w:r>
        <w:t>† Linjia Yao and Bin Chen contributed equally.</w:t>
      </w:r>
    </w:p>
    <w:p>
      <w:pPr>
        <w:keepNext w:val="0"/>
        <w:spacing w:line="480" w:lineRule="auto"/>
      </w:pPr>
      <w:r>
        <w:t>* Corresponding authors: Qiang Yu (yuq@nwafu.edu.cn) and Gang Zhao (gang.zhao@nwafu.edu.cn).</w:t>
      </w:r>
    </w:p>
    <w:p>
      <w:pPr>
        <w:pStyle w:val="Heading1"/>
        <w:spacing w:line="480" w:lineRule="auto"/>
      </w:pPr>
      <w:r>
        <w:t>Cover letter</w:t>
      </w:r>
    </w:p>
    <w:p>
      <w:pPr>
        <w:spacing w:line="480" w:lineRule="auto"/>
      </w:pPr>
      <w:r>
        <w:t>Dear Editor,</w:t>
      </w:r>
    </w:p>
    <w:p>
      <w:pPr>
        <w:spacing w:line="480" w:lineRule="auto"/>
      </w:pPr>
      <w:r>
        <w:t>Please consider the research article “Irrigation strategies under contrasting water-storage and rainfall conditions in the North China Plain” for publication in Agricultural Water Management.</w:t>
      </w:r>
    </w:p>
    <w:p>
      <w:pPr>
        <w:spacing w:line="480" w:lineRule="auto"/>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480" w:lineRule="auto"/>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480" w:lineRule="auto"/>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480" w:lineRule="auto"/>
      </w:pPr>
      <w:r>
        <w:t>Thank you for considering this manuscript.</w:t>
      </w:r>
    </w:p>
    <w:p>
      <w:pPr>
        <w:spacing w:line="480" w:lineRule="auto"/>
      </w:pPr>
      <w:r>
        <w:t>Sincerely,</w:t>
      </w:r>
    </w:p>
    <w:p>
      <w:pPr>
        <w:spacing w:line="480" w:lineRule="auto"/>
      </w:pPr>
      <w:r>
        <w:t>Qiang Yu and Gang Zhao</w:t>
      </w:r>
    </w:p>
    <w:p>
      <w:pPr>
        <w:spacing w:line="480" w:lineRule="auto"/>
      </w:pPr>
      <w:r>
        <w:t>State Key Laboratory of Soil and Water Conservation and Desertification Control, College of Soil and Water Conservation Science and Engineering, Northwest A&amp;F University, Yangling, Shaanxi 712100, China</w:t>
      </w:r>
    </w:p>
    <w:p>
      <w:pPr>
        <w:spacing w:line="480" w:lineRule="auto"/>
      </w:pPr>
      <w:r>
        <w:t>yuq@nwafu.edu.cn; gang.zhao@nwafu.edu.cn</w:t>
      </w:r>
    </w:p>
    <w:p>
      <w:pPr>
        <w:spacing w:line="480" w:lineRule="auto"/>
      </w:pPr>
      <w:r>
        <w:br w:type="page"/>
      </w:r>
    </w:p>
    <w:p>
      <w:pPr>
        <w:pStyle w:val="Heading1"/>
        <w:spacing w:line="480" w:lineRule="auto"/>
      </w:pPr>
      <w:r>
        <w:t>Highlights</w:t>
      </w:r>
    </w:p>
    <w:p>
      <w:pPr>
        <w:pStyle w:val="ListBullet"/>
        <w:spacing w:line="480" w:lineRule="auto"/>
      </w:pPr>
      <w:r>
        <w:t>Irrigation cuts require balancing grain retention, water use and local losses.</w:t>
      </w:r>
    </w:p>
    <w:p>
      <w:pPr>
        <w:pStyle w:val="ListBullet"/>
        <w:spacing w:line="480" w:lineRule="auto"/>
      </w:pPr>
      <w:r>
        <w:t>Targeting added 0.732 t ha⁻¹ dry grain and 20.76 mm ET yearly over uniform 50% cuts.</w:t>
      </w:r>
    </w:p>
    <w:p>
      <w:pPr>
        <w:pStyle w:val="ListBullet"/>
        <w:spacing w:line="480" w:lineRule="auto"/>
      </w:pPr>
      <w:r>
        <w:t>At 50% cuts, mean grain was below uniform allocation on 37.60% of the area.</w:t>
      </w:r>
    </w:p>
    <w:p>
      <w:pPr>
        <w:pStyle w:val="ListBullet"/>
        <w:spacing w:line="480" w:lineRule="auto"/>
      </w:pPr>
      <w:r>
        <w:t>Over nine GRACE years, grain retention was 96.27% (95% target) and 99.63% (98%).</w:t>
      </w:r>
    </w:p>
    <w:p>
      <w:pPr>
        <w:pStyle w:val="ListBullet"/>
        <w:spacing w:line="480" w:lineRule="auto"/>
      </w:pPr>
      <w:r>
        <w:t>Matched rainfall-only controls differed in grain production by 0% at both targets.</w:t>
      </w:r>
    </w:p>
    <w:p>
      <w:pPr>
        <w:spacing w:line="480" w:lineRule="auto"/>
      </w:pPr>
      <w:r>
        <w:br w:type="page"/>
      </w:r>
    </w:p>
    <w:p>
      <w:pPr>
        <w:pStyle w:val="Heading1"/>
        <w:spacing w:line="480" w:lineRule="auto"/>
      </w:pPr>
      <w:r>
        <w:t>Manuscript</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2010b; Fang et al., 2014)","plainCitation":"(Chen et al., 2010b;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2010b;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workflow links crop-model calibration and evaluation to regional irrigation-management comparisons through four steps (Figure 1). First, crop development and growth are calibrated and evaluated, and crop water-use parameters are fitted to irrigation-treatment responses and tested retrospectively. The resulting parameters remain fixed for the management comparisons. Second, continuous winter wheat–summer maize simulations quantify crop responses to five irrigation levels, with soil water carried through successive crops and intervening fallows.</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Crop growth and water-use calibration and evaluation precede continuous regional rotation simulations. Historical crop responses support spatial irrigation allocation under equal water budgets and annual quota selection from antecedent water availability. The strategies are compared during 2014–2025 using rotation grain production, field irrigation, crop-plus-fallow ET, profile drainage and the spatial distribution of production gains and losses.</w:t>
      </w:r>
    </w:p>
    <w:p>
      <w:pPr>
        <w:spacing w:line="480" w:lineRule="auto"/>
      </w:pPr>
      <w:r>
        <w:t>Third, historical simulated responses support two complementary irrigation decisions: where to allocate a regional water budget and how much irrigation to supply in a given year. Spatial targeting and uniform reductions share identical regional irrigation budgets. Annual quota selection compares antecedent storage–rainfall classes with rainfall-only controls under matched production targets, candidate quotas and monitoring availability. Finally, the selected strategies are compared during 2014–2025 using rotation grain production, field irrigation, crop-plus-fallow evapotranspiration (ET), profile drainage and the spatial distribution and persistence of production gains and losses.</w:t>
      </w:r>
    </w:p>
    <w:p>
      <w:pPr>
        <w:pStyle w:val="Heading2"/>
        <w:spacing w:line="480" w:lineRule="auto"/>
      </w:pPr>
      <w:r>
        <w:t>2.2. Study area</w:t>
      </w:r>
    </w:p>
    <w:p>
      <w:pPr>
        <w:spacing w:line="480" w:lineRule="auto"/>
      </w:pPr>
      <w:r>
        <w:t xml:space="preserve">The study area encompasses the winter-wheat–summer-maize lowlands of the North China Plain within 112–121.5°E and 32–41°N, extending from Beijing, Tianjin and Hebei through Shandong and Henan to the northern Anhui and Jiangsu plains (Figure 2) </w:t>
      </w:r>
      <w:r>
        <w:fldChar w:fldCharType="begin"/>
      </w:r>
      <w:r>
        <w:instrText xml:space="preserve"> ADDIN ZOTERO_ITEM CSL_CITATION {"citationID":"915c669a15190a33","properties":{"formattedCitation":"(Wu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The landscape consists of extensive alluvial lowlands, with piedmont plains along the Taihang and Yanshan mountains in the west and north and lower coastal plains toward the east </w:t>
      </w:r>
      <w:r>
        <w:fldChar w:fldCharType="begin"/>
      </w:r>
      <w:r>
        <w:instrText xml:space="preserve"> ADDIN ZOTERO_ITEM CSL_CITATION {"citationID":"a4031e810d0b3289","properties":{"formattedCitation":"(Long et al., 2025; Xu et al., 2026)","plainCitation":"(Long et al., 2025; Xu et al., 2026)","noteIndex":0},"citationItems":[{"id":"xu2026_groundwater_recovery","itemData":{"id":"xu2026_groundwater_recovery","type":"article-journal","title":"Quantifying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Xu et al., 2026)</w:t>
      </w:r>
      <w:r>
        <w:fldChar w:fldCharType="end"/>
      </w:r>
      <w:r>
        <w:t xml:space="preserve">. Its low relief supports intensive agricultural production, while climatic and soil-water differences contribute to spatial variation in irrigation requirements </w:t>
      </w:r>
      <w:r>
        <w:fldChar w:fldCharType="begin"/>
      </w:r>
      <w:r>
        <w:instrText xml:space="preserve"> ADDIN ZOTERO_ITEM CSL_CITATION {"citationID":"b8dabac398c3f175","properties":{"formattedCitation":"(Ren et al., 2022)","plainCitation":"(Ren et al., 2022)","noteIndex":0},"citationItems":[{"id":"ren2022_regional_water","itemData":{"id":"ren2022_regional_water","type":"article-journal","title":"Spatiotemporal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w:t>
      </w:r>
      <w:r>
        <w:fldChar w:fldCharType="end"/>
      </w:r>
      <w:r>
        <w:t>.</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area,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{"citationID":"a4ec947fbda09f8e","properties":{"formattedCitation":"(Natural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spacing w:line="480" w:lineRule="auto"/>
      </w:pPr>
      <w:r>
        <w:t xml:space="preserve">The region has a continental monsoon climate, with cold, dry winters and warm, rainy summers; regional assessments report mean annual temperatures of approximately 10–15°C </w:t>
      </w:r>
      <w:r>
        <w:fldChar w:fldCharType="begin"/>
      </w:r>
      <w:r>
        <w:instrText xml:space="preserve"> ADDIN ZOTERO_ITEM CSL_CITATION {"citationID":"660a991d750f8fa7","properties":{"formattedCitation":"(Ren et al., 2022)","plainCitation":"(Ren et al., 2022)","noteIndex":0},"citationItems":[{"id":"ren2022_regional_water","itemData":{"id":"ren2022_regional_water","type":"article-journal","title":"Spatiotemporal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w:t>
      </w:r>
      <w:r>
        <w:fldChar w:fldCharType="end"/>
      </w:r>
      <w:r>
        <w:t xml:space="preserve">. Rainfall is concentrated in the summer monsoon, whereas spring is frequently dry and precipitation varies substantially among years and locations </w:t>
      </w:r>
      <w:r>
        <w:fldChar w:fldCharType="begin"/>
      </w:r>
      <w:r>
        <w:instrText xml:space="preserve"> ADDIN ZOTERO_ITEM CSL_CITATION {"citationID":"2728f58baeea533f","properties":{"formattedCitation":"(Wu et al., 2019; Xu et al., 2026)","plainCitation":"(Wu et al., 2019; Xu et al., 2026)","noteIndex":0},"citationItems":[{"id":"wu2019_spatial_irrigation","itemData":{"id":"wu2019_spatial_irrigation","type":"article-journal","title":"Spatial-temporal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(Wu et al., 2019; Xu et al., 2026)</w:t>
      </w:r>
      <w:r>
        <w:fldChar w:fldCharType="end"/>
      </w:r>
      <w:r>
        <w:t xml:space="preserve">. Winter wheat is sown in autumn and harvested in early summer, followed by summer maize harvested in autumn. Wheat therefore grows largely outside the rainy season and commonly requires supplementary irrigation before sowing and during spring growth. Maize overlaps the rainy season, with irrigation demand depending more strongly on rainfall distribution and dry-year conditions. The two crops share a soil-water reserve, so irrigation in wheat can affect the water available to subsequent maize </w:t>
      </w:r>
      <w:r>
        <w:fldChar w:fldCharType="begin"/>
      </w:r>
      <w:r>
        <w:instrText xml:space="preserve"> ADDIN ZOTERO_ITEM CSL_CITATION {"citationID":"a8d7c76e051f9d78","properties":{"formattedCitation":"(Yang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w:t>
      </w:r>
    </w:p>
    <w:p>
      <w:pPr>
        <w:spacing w:line="480" w:lineRule="auto"/>
      </w:pPr>
      <w:r>
        <w:t xml:space="preserve">Groundwater has historically supplied much of the irrigation deficit, particularly in the northern plain, where intensive pumping for agriculture and urban demand caused prolonged groundwater decline </w:t>
      </w:r>
      <w:r>
        <w:fldChar w:fldCharType="begin"/>
      </w:r>
      <w:r>
        <w:instrText xml:space="preserve"> ADDIN ZOTERO_ITEM CSL_CITATION {"citationID":"cd508f88a6bb545d","properties":{"formattedCitation":"(Xu et al., 2026)","plainCitation":"(Xu et al., 2026)","noteIndex":0},"citationItems":[{"id":"xu2026_groundwater_recovery","itemData":{"id":"xu2026_groundwater_recovery","type":"article-journal","title":"Quantifying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(Xu et al., 2026)</w:t>
      </w:r>
      <w:r>
        <w:fldChar w:fldCharType="end"/>
      </w:r>
      <w:r>
        <w:t xml:space="preserve">. The aquifer system includes both unconfined and deeper confined units, with substantial spatial differences in groundwater depth and depletion </w:t>
      </w:r>
      <w:r>
        <w:fldChar w:fldCharType="begin"/>
      </w:r>
      <w:r>
        <w:instrText xml:space="preserve"> ADDIN ZOTERO_ITEM CSL_CITATION {"citationID":"16aa2ee1df31b764","properties":{"formattedCitation":"(Long et al., 2025)","plainCitation":"(Long et al., 2025)","noteIndex":0},"citationItems":[{"id":"long2025_aquifer_recovery","itemData":{"id":"long2025_aquifer_recovery","type":"article-journal","title":"Unprecedented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w:t>
      </w:r>
      <w:r>
        <w:fldChar w:fldCharType="end"/>
      </w:r>
      <w:r>
        <w:t xml:space="preserve">. Irrigation water availability also reflects access to river diversions and the allocation of transferred surface water. Since 2020, groundwater recovery has been documented across much of the northern North China Plain following the expansion of South-to-North Water Diversion supplies, reduced abstraction and water-saving measures, with wet years reinforcing recovery </w:t>
      </w:r>
      <w:r>
        <w:fldChar w:fldCharType="begin"/>
      </w:r>
      <w:r>
        <w:instrText xml:space="preserve"> ADDIN ZOTERO_ITEM CSL_CITATION {"citationID":"7a79ef7b696a16d0","properties":{"formattedCitation":"(Long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This transition places irrigation management within a changing water-supply setting: maintaining recovery requires attention to consumptive use and seasonal demand as well as the volume delivered to fields.</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 xml:space="preserve">Winter-wheat and summer-maize observations supported crop-growth parameter estimation and comparisons across five North China Plain sites. Long-term monitoring at Fengqiu, Luancheng, Shangqiu and Yucheng </w:t>
      </w:r>
      <w:r>
        <w:fldChar w:fldCharType="begin"/>
      </w:r>
      <w:r>
        <w:instrText xml:space="preserve"> ADDIN ZOTERO_ITEM CSL_CITATION {"citationID":"155aff995ed5d331","properties":{"formattedCitation":"(Fengqiu Station, 2020a; Luancheng Station, 2020; Shangqiu Station, 2021; Yucheng Station, 2025a; Yucheng Station, 2021)","plainCitation":"(Fengqiu Station, 2020a; Luancheng Station, 2020; Shangqiu Station, 2021; Yucheng Station, 2025a; Yucheng Station, 2021)","noteIndex":0},"citationItems":[{"id":"fengqiu2020_crop","itemData":{"id":"fengqiu2020_crop","type":"dataset","title":"Crop phenology and growth dynamics at Fengqiu Station, Henan Province, 2004–2008","author":[{"literal":"Fengqiu Station"}],"issued":{"date-parts":[[2020]]},"publisher":"National Ecosystem Science Data Center","version":"v1","DOI":"10.12199/nesdc.ecodb.mon.2020.dp2011.fqa.002","URL":"https://doi.org/10.12199/nesdc.ecodb.mon.2020.dp2011.fqa.002","accessed":{"date-parts":[[2026,10,8]]},"language":"zh","note":"Dataset. Original creator: 河南封丘站. Original title: 2004-2008年河南封丘站作物生育及生长动态监测数据. Version v1. English title follows the official Gucheng title or translates the original Chinese station title."}},{"id":"luancheng2020_crop","itemData":{"id":"luancheng2020_crop","type":"dataset","title":"Crop phenology and growth dynamics at Luancheng Station, Hebei Province, 2000–2008","author":[{"literal":"Luancheng Station"}],"issued":{"date-parts":[[2020]]},"publisher":"National Ecosystem Science Data Center","version":"v1","DOI":"10.12199/nesdc.ecodb.mon.2020.dp2011.lca.002","URL":"https://doi.org/10.12199/nesdc.ecodb.mon.2020.dp2011.lca.002","accessed":{"date-parts":[[2026,10,8]]},"language":"zh","note":"Dataset. Original creator: 河北栾城站. Original title: 2000-2008年河北栾城站作物生育及生长动态监测数据. Version v1. English title follows the official Gucheng title or translates the original Chinese station title."}},{"id":"shangqiu2021_crop","itemData":{"id":"shangqiu2021_crop","type":"dataset","title":"Crop phenology and growth dynamics at Shangqiu Station, Henan Province, 2000–2007","author":[{"literal":"Shangqiu Station"}],"issued":{"date-parts":[[2021]]},"publisher":"National Ecosystem Science Data Center","version":"v1","DOI":"10.12199/nesdc.ecodb.mon.2020.dp2011.sqa.003","URL":"https://doi.org/10.12199/nesdc.ecodb.mon.2020.dp2011.sqa.003","accessed":{"date-parts":[[2026,10,8]]},"language":"zh","note":"Dataset. Original creator: 河南商丘站. Original title: 2000-2007年河南商丘站作物生育及生长动态监测数据. Version v1. English title follows the official Gucheng title or translates the original Chinese station title."}},{"id":"yucheng2021_crop","itemData":{"id":"yucheng2021_crop","type":"dataset","title":"Crop phenology and growth dynamics at Yucheng Station, Shandong Province, 1998–2006","author":[{"literal":"Yucheng Station"}],"issued":{"date-parts":[[2021]]},"publisher":"National Ecosystem Science Data Center","version":"v1","DOI":"10.12199/nesdc.ecodb.mon.2020.dp2011.yca.003","URL":"https://doi.org/10.12199/nesdc.ecodb.mon.2020.dp2011.yca.003","accessed":{"date-parts":[[2026,10,8]]},"language":"zh","note":"Dataset. Original creator: 山东禹城站. Original title: 1998-2006年山东禹城站作物生育及生长动态监测数据. Version v1. English title follows the official Gucheng title or translates the original Chinese station title."}},{"id":"yucheng2025_biology","itemData":{"id":"yucheng2025_biology","type":"dataset","title":"Biological observations at Yucheng Station, 2005–2022","author":[{"literal":"Yucheng Station"}],"issued":{"date-parts":[[2025]]},"publisher":"National Ecosystem Science Data Center","version":"v1","DOI":"10.12199/nesdc.ecodb.2021YFF0703900.yca.2025.2","URL":"https://doi.org/10.12199/nesdc.ecodb.2021YFF0703900.yca.2025.2","accessed":{"date-parts":[[2026,10,8]]},"language":"zh","note":"Dataset. Original creator: 山东禹城农田生态系统国家野外科学观测研究站. Original title: 禹城站2005-2022年生物要素观测数据集. Version v1. English title follows the official Gucheng title or translates the original Chinese station title."}}],"schema":"https://github.com/citation-style-language/schema/raw/master/csl-citation.json"} </w:instrText>
      </w:r>
      <w:r>
        <w:fldChar w:fldCharType="separate"/>
      </w:r>
      <w:r>
        <w:t>(Fengqiu Station, 2020a; Luancheng Station, 2020; Shangqiu Station, 2021; Yucheng Station, 2025a; Yucheng Station, 2021)</w:t>
      </w:r>
      <w:r>
        <w:fldChar w:fldCharType="end"/>
      </w:r>
      <w:r>
        <w:t xml:space="preserve"> was complemented by the Gucheng maize sowing-date experiment </w:t>
      </w:r>
      <w:r>
        <w:fldChar w:fldCharType="begin"/>
      </w:r>
      <w:r>
        <w:instrText xml:space="preserve"> ADDIN ZOTERO_ITEM CSL_CITATION {"citationID":"9e3105704c2187de","properties":{"formattedCitation":"(Geng et al., 2023)","plainCitation":"(Geng et al., 2023)","noteIndex":0},"citationItems":[{"id":"geng2023_gucheng_dataset","itemData":{"id":"geng2023_gucheng_dataset","type":"dataset","title":"A dataset of effects of different sowing dates on maize growth and development in the northern part of North China from 2018 to 2021","author":[{"family":"Geng","given":"Jinjian"},{"family":"Zhou","given":"Guangsheng"},{"family":"Song","given":"Yanling"},{"family":"Ren","given":"Sanxue"},{"family":"Zhao","given":"Huarong"},{"family":"Zhou","given":"Huailin"},{"family":"Song","given":"Xingyang"},{"family":"Tian","given":"Xiaoli"}],"issued":{"date-parts":[[2023]]},"publisher":"National Ecosystem Science Data Center","version":"V3","DOI":"10.57760/sciencedb.o00119.00017","URL":"https://doi.org/10.57760/sciencedb.o00119.00017","accessed":{"date-parts":[[2026,10,8]]},"language":"zh","note":"Dataset. Original creator: 耿金剑；周广胜；宋艳玲；任三学；赵花荣；周怀林；宋兴阳；田晓丽. Original title: 2018–2021年华北北部不同播期对玉米生长发育的影响数据集. Version V3. English title follows the official Gucheng title or translates the original Chinese station title."}}],"schema":"https://github.com/citation-style-language/schema/raw/master/csl-citation.json"} </w:instrText>
      </w:r>
      <w:r>
        <w:fldChar w:fldCharType="separate"/>
      </w:r>
      <w:r>
        <w:t>(Geng et al., 2023)</w:t>
      </w:r>
      <w:r>
        <w:fldChar w:fldCharType="end"/>
      </w:r>
      <w:r>
        <w:t>. The National Ecosystem Science Data Center archives contain intermittent crop seasons during 1998–2022; exact site–crop–year coverage and dataset identifiers are given in Tables S1 and S2.</w:t>
      </w:r>
    </w:p>
    <w:p>
      <w:pPr>
        <w:spacing w:line="480" w:lineRule="auto"/>
      </w:pPr>
      <w:r>
        <w:t xml:space="preserve">Whole site-years retained their calibration or retrospective-evaluation assignments (Figure 3). The archive comprised 132 crop–plot–season trajectories, of which 127 contained eligible LAI, biomass, ET or harvest observations (Table 1). Daily ET and antecedent soil moisture came from the Fengqiu soil-water archive </w:t>
      </w:r>
      <w:r>
        <w:fldChar w:fldCharType="begin"/>
      </w:r>
      <w:r>
        <w:instrText xml:space="preserve"> ADDIN ZOTERO_ITEM CSL_CITATION {"citationID":"319bc3f8098338b6","properties":{"formattedCitation":"(Fengqiu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 xml:space="preserve">; ET was also available from the Yucheng water-environment archive </w:t>
      </w:r>
      <w:r>
        <w:fldChar w:fldCharType="begin"/>
      </w:r>
      <w:r>
        <w:instrText xml:space="preserve"> ADDIN ZOTERO_ITEM CSL_CITATION {"citationID":"2f758c7d9e9e51d1","properties":{"formattedCitation":"(Yucheng Station, 2025b)","plainCitation":"(Yucheng Station, 2025b)","noteIndex":0},"citationItems":[{"id":"yucheng2025_water","itemData":{"id":"yucheng2025_water","type":"dataset","title":"Water-environment observations at Yucheng Station, 2005–2022","author":[{"literal":"Yucheng Station"}],"issued":{"date-parts":[[2025]]},"publisher":"National Ecosystem Science Data Center","version":"v1","DOI":"10.12199/nesdc.ecodb.2021YFF0703900.yca.2025.3","URL":"https://doi.org/10.12199/nesdc.ecodb.2021YFF0703900.yca.2025.3","accessed":{"date-parts":[[2026,10,8]]},"language":"zh","note":"Dataset. Original creator: 山东禹城农田生态系统国家野外科学观测研究站. Original title: 禹城站2005-2022年水环境要素观测数据集. Version v1. English title follows the official Gucheng title or translates the original Chinese station title."}}],"schema":"https://github.com/citation-style-language/schema/raw/master/csl-citation.json"} </w:instrText>
      </w:r>
      <w:r>
        <w:fldChar w:fldCharType="separate"/>
      </w:r>
      <w:r>
        <w:t>(Yucheng Station, 2025b)</w:t>
      </w:r>
      <w:r>
        <w:fldChar w:fldCharType="end"/>
      </w:r>
      <w:r>
        <w:t>. Grain and harvest-biomass samples were confined to Yucheng. Within-season measurements and quadrats describe temporal dynamics and sampling variation rather than independent growing seasons.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spacing w:line="480" w:lineRule="auto"/>
      </w:pPr>
      <w:r>
        <w:t>Observations were matched to predictions by crop, plot, quantity and sampling date or averaging window. Screening excluded wheat LAI above 7 m² m⁻² and duplicated maize harvest groups of unresolved authenticity; raw values and exclusion reasons were retained. Complete plot-specific irrigation histories remain unconfirmed, so station comparisons are conditional on archived management assumptions and have no weight in the water-response fit based on documented Wuqiao treatments (Section 2.3.2). Measurement definitions, screening details and antecedent soil-moisture initialization are specified in Supplementary Section S1.</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winter-wheat–summer-maize experiment (37.630°N, 116.444°E) comprised four wheat irrigation regimes during 2015–2019 </w:t>
      </w:r>
      <w:r>
        <w:fldChar w:fldCharType="begin"/>
      </w:r>
      <w:r>
        <w:instrText xml:space="preserve"> ADDIN ZOTERO_ITEM CSL_CITATION {"citationID":"8cb4a9057689e0d3","properties":{"formattedCitation":"(Yang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W0 received no wheat irrigation; W1 received 75 mm before sowing; W2 received an additional 75 mm at jointing; and W3 received a further 75 mm at anthesis. Total wheat irrigation was therefore 0, 75, 150 and 225 mm, respectively. Treatments had three field replicates and a common nitrogen input of 158.4 kg ha⁻¹ per crop.</w:t>
      </w:r>
    </w:p>
    <w:p>
      <w:pPr>
        <w:spacing w:line="480" w:lineRule="auto"/>
      </w:pPr>
      <w:r>
        <w:t>Maize irrigation was identical across treatments within each year: no irrigation in 2016 and 2018, and 75 mm on 18 June in 2017 and 2019. Maize W0–W3 labels consequently denote preceding wheat irrigation rather than different maize irrigation schedules. The treatment structure distinguishes direct wheat irrigation contrasts from maize responses associated with preceding wheat management.</w:t>
      </w:r>
    </w:p>
    <w:p>
      <w:pPr>
        <w:spacing w:line="480" w:lineRule="auto"/>
      </w:pPr>
      <w:r>
        <w:t xml:space="preserve">Crop–treatment–year observations comprised seasonal ET, grain yield and dry aboveground biomass. ET was estimated from rainfall, irrigation and depletion of 0–2 m soil-water storage, assuming negligible runoff and drainage; grain yields were standardized to 13% moisture </w:t>
      </w:r>
      <w:r>
        <w:fldChar w:fldCharType="begin"/>
      </w:r>
      <w:r>
        <w:instrText xml:space="preserve"> ADDIN ZOTERO_ITEM CSL_CITATION {"citationID":"30fec79a9096f89c","properties":{"formattedCitation":"(Yang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Observations from 2016–2018 constrained water-response coefficients, while 2019 remained outside fitting and parameter selection. Prior inspection during model development makes the latter comparison retrospective (Figure 3). Simulation initialization, ET accounting and grain digitization are detailed in Supplementary Section S4.</w:t>
      </w:r>
    </w:p>
    <w:p>
      <w:pPr>
        <w:pStyle w:val="Heading2"/>
        <w:spacing w:line="480" w:lineRule="auto"/>
      </w:pPr>
      <w:r>
        <w:t>2.3.3. Meteorological, soil, crop-rotation and terrain data</w:t>
      </w:r>
    </w:p>
    <w:p>
      <w:pPr>
        <w:spacing w:line="480" w:lineRule="auto"/>
      </w:pPr>
      <w:r>
        <w:t xml:space="preserve">Daily AgERA5 v2.0 weather data on the common 0.1° grid supplied minimum and maximum air temperature, precipitation, solar radiation, reference evapotranspiration, vapor pressure and 10-m wind speed for 1996–2025 </w:t>
      </w:r>
      <w:r>
        <w:fldChar w:fldCharType="begin"/>
      </w:r>
      <w:r>
        <w:instrText xml:space="preserve"> ADDIN ZOTERO_ITEM CSL_CITATION {"citationID":"cedc59d0c9126ef3","properties":{"formattedCitation":"(Copernicus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{"citationID":"97b5612804b2606d","properties":{"formattedCitation":"(ISRIC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{"citationID":"f2f4f6477355a08a","properties":{"formattedCitation":"(Saxton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500 m ChinaCP map for 2020 identified winter-wheat–summer-maize rotation pixels, which were paired with the corresponding CPM cropland-percentage map </w:t>
      </w:r>
      <w:r>
        <w:fldChar w:fldCharType="begin"/>
      </w:r>
      <w:r>
        <w:instrText xml:space="preserve"> ADDIN ZOTERO_ITEM CSL_CITATION {"citationID":"f541fb916897ecc9","properties":{"formattedCitation":"(Qiu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Physical classified-cell areas were corrected for projection scale and multiplied by cropland percentages to obtain rotation-area weights. CPM values were sampled at ChinaCP pixel centers after coordinate transformation because the source grids had different origins. Pixel centers assigned these weights to the study area and 0.1° meteorological cells. The rotation footprint was 9,866,733 ha before soil screening; three cells with wholly missing soil profiles, totaling 131 ha, were excluded, leaving 9,866,602 ha in 3,641 meteorological cells. The fixed 2020 footprint supplies a common area basis across climate years, so modeled totals describe climatic and management responses rather than historical production trends. The 2015–2021 area series and common-extent comparison with CCD2020 quantify mapping sensitivity in Supplementary Section S3.</w:t>
      </w:r>
    </w:p>
    <w:p>
      <w:pPr>
        <w:spacing w:line="480" w:lineRule="auto"/>
      </w:pPr>
      <w:r>
        <w:t xml:space="preserve">SRTMGL1 v003 elevation was bilinearly resampled to 0.001°, and slope was derived at that support </w:t>
      </w:r>
      <w:r>
        <w:fldChar w:fldCharType="begin"/>
      </w:r>
      <w:r>
        <w:instrText xml:space="preserve"> ADDIN ZOTERO_ITEM CSL_CITATION {"citationID":"09d2bf0c2efa38e8","properties":{"formattedCitation":"(NASA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Aligned 10 × 10 cell means provided elevation and slope on a 0.01° grid. Catchment screening, elevation ≤200 m and slope ≤2° delineated a connected lowland study area of 404,658 km² within the geographical extent described in Section 2.2. Geographical and terrain-threshold sensitivities are reported in Supplementary Section S3. Crop-area weights and aggregated soil profiles were linked to daily weather through common 0.1° cell identifiers.</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{"citationID":"a7ff2f7951c3204b","properties":{"formattedCitation":"(Save,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{"citationID":"a359d1099950369b","properties":{"formattedCitation":"(Save,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{"citationID":"cb4d7fdfe6c8f7b8","properties":{"formattedCitation":"(Long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 xml:space="preserve">Open Crop Model (OCM) </w:t>
      </w:r>
      <w:r>
        <w:fldChar w:fldCharType="begin"/>
      </w:r>
      <w:r>
        <w:instrText xml:space="preserve"> ADDIN ZOTERO_ITEM CSL_CITATION {"citationID":"0da2d07be04fa6bc","properties":{"formattedCitation":"(Zhao et al., submitted)","plainCitation":"(Zhao et al., submitted)","noteIndex":0},"citationItems":[{"id":"zhao_ocm_submitted_2026","itemData":{"id":"zhao_ocm_submitted_2026","type":"manuscript","title":"OpenCropModel: A process-based framework for integrated nutrient, water and crop protection recommendations","author":[{"family":"Zhao","given":"Gang"},{"family":"Yao","given":"Linjia"},{"family":"Chen","given":"Bin"}],"issued":{"date-parts":[[2026]]},"status":"submitted","genre":"Submitted manuscript","note":"Submitted to European Journal of Agronomy"}}],"schema":"https://github.com/citation-style-language/schema/raw/master/csl-citation.json"} </w:instrText>
      </w:r>
      <w:r>
        <w:fldChar w:fldCharType="separate"/>
      </w:r>
      <w:r>
        <w:t>(Zhao et al., submitted)</w:t>
      </w:r>
      <w:r>
        <w:fldChar w:fldCharType="end"/>
      </w:r>
      <w:r>
        <w:t xml:space="preserve"> couples crop growth and a layered soil-water balance at a daily time step (Figure 4).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keepNext/>
        <w:spacing w:after="60" w:line="480" w:lineRule="auto"/>
        <w:jc w:val="center"/>
      </w:pPr>
      <w:r>
        <w:drawing>
          <wp:inline xmlns:a="http://schemas.openxmlformats.org/drawingml/2006/main" xmlns:pic="http://schemas.openxmlformats.org/drawingml/2006/picture">
            <wp:extent cx="5715000" cy="4392083"/>
            <wp:docPr id="4" name="Picture 4"/>
            <wp:cNvGraphicFramePr>
              <a:graphicFrameLocks noChangeAspect="1"/>
            </wp:cNvGraphicFramePr>
            <a:graphic>
              <a:graphicData uri="http://schemas.openxmlformats.org/drawingml/2006/picture">
                <pic:pic>
                  <pic:nvPicPr>
                    <pic:cNvPr id="0" name="current_Figure_3_OCM_mechanism.png"/>
                    <pic:cNvPicPr/>
                  </pic:nvPicPr>
                  <pic:blipFill>
                    <a:blip r:embed="rId13"/>
                    <a:stretch>
                      <a:fillRect/>
                    </a:stretch>
                  </pic:blipFill>
                  <pic:spPr>
                    <a:xfrm>
                      <a:off x="0" y="0"/>
                      <a:ext cx="5715000" cy="4392083"/>
                    </a:xfrm>
                    <a:prstGeom prst="rect"/>
                  </pic:spPr>
                </pic:pic>
              </a:graphicData>
            </a:graphic>
          </wp:inline>
        </w:drawing>
      </w:r>
    </w:p>
    <w:p>
      <w:pPr>
        <w:pStyle w:val="Caption"/>
        <w:keepLines/>
        <w:spacing w:line="480" w:lineRule="auto"/>
      </w:pPr>
      <w:r>
        <w:t>Figure 4. Crop growth and soil-water coupling in Open Crop Model. Gold denotes photosynthetically active radiation (PAR) input; blue solid arrows denote water fluxes; green solid arrows denote dry-matter transfers; dashed arrows denote process controls and feedbacks. Nutrition is prescribed, the lower boundary uses free drainage, and soil water carries through crop/fallow segments. Plant and soil sketches are not to scale.</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{"citationID":"8587ad4d1e424ea4","properties":{"formattedCitation":"(Kiniry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{"citationID":"2bcfdcf158c806f6","properties":{"formattedCitation":"(de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{"citationID":"f9f19126727d9d04","properties":{"formattedCitation":"(Tan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{"citationID":"babcb58ab6e01a8c","properties":{"formattedCitation":"(Allen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{"citationID":"1042c348eb1bce03","properties":{"formattedCitation":"(Mualem,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5; Table S9).</w:t>
      </w:r>
    </w:p>
    <w:p>
      <w:pPr>
        <w:keepNext/>
        <w:spacing w:after="60" w:line="480" w:lineRule="auto"/>
        <w:jc w:val="center"/>
      </w:pPr>
      <w:r>
        <w:drawing>
          <wp:inline xmlns:a="http://schemas.openxmlformats.org/drawingml/2006/main" xmlns:pic="http://schemas.openxmlformats.org/drawingml/2006/picture">
            <wp:extent cx="5715000" cy="4914226"/>
            <wp:docPr id="5" name="Picture 5"/>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4"/>
                    <a:stretch>
                      <a:fillRect/>
                    </a:stretch>
                  </pic:blipFill>
                  <pic:spPr>
                    <a:xfrm>
                      <a:off x="0" y="0"/>
                      <a:ext cx="5715000" cy="4914226"/>
                    </a:xfrm>
                    <a:prstGeom prst="rect"/>
                  </pic:spPr>
                </pic:pic>
              </a:graphicData>
            </a:graphic>
          </wp:inline>
        </w:drawing>
      </w:r>
    </w:p>
    <w:p>
      <w:pPr>
        <w:pStyle w:val="Caption"/>
        <w:keepLines/>
        <w:spacing w:line="480" w:lineRule="auto"/>
      </w:pPr>
      <w:r>
        <w:t>Figure 5.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{"citationID":"1cc12a895e032061","properties":{"formattedCitation":"(Nash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6).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keepNext/>
        <w:spacing w:after="60" w:line="480" w:lineRule="auto"/>
        <w:jc w:val="center"/>
      </w:pPr>
      <w:r>
        <w:drawing>
          <wp:inline xmlns:a="http://schemas.openxmlformats.org/drawingml/2006/main" xmlns:pic="http://schemas.openxmlformats.org/drawingml/2006/picture">
            <wp:extent cx="5715000" cy="4005558"/>
            <wp:docPr id="6" name="Picture 6"/>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5"/>
                    <a:stretch>
                      <a:fillRect/>
                    </a:stretch>
                  </pic:blipFill>
                  <pic:spPr>
                    <a:xfrm>
                      <a:off x="0" y="0"/>
                      <a:ext cx="5715000" cy="4005558"/>
                    </a:xfrm>
                    <a:prstGeom prst="rect"/>
                  </pic:spPr>
                </pic:pic>
              </a:graphicData>
            </a:graphic>
          </wp:inline>
        </w:drawing>
      </w:r>
    </w:p>
    <w:p>
      <w:pPr>
        <w:pStyle w:val="Caption"/>
        <w:keepLines/>
        <w:spacing w:line="480" w:lineRule="auto"/>
      </w:pPr>
      <w:r>
        <w:t>Figure 6.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6). ET summed over matched measurement days had evaluation RMSE of 51.29 mm for wheat and 74.17 mm for maize, biases of +25.94 and −55.58 mm, and NSE of 0.826 and 0.118 (Table 2). These sums exclude days without ET measurements.</w:t>
      </w:r>
    </w:p>
    <w:p>
      <w:pPr>
        <w:pStyle w:val="Caption"/>
        <w:keepNext/>
        <w:spacing w:line="480" w:lineRule="auto"/>
      </w:pPr>
      <w:r>
        <w:t>Table 2. Conditional station ET sums on matched measurement days.</w:t>
      </w:r>
      <w:r>
        <w:t xml:space="preserve"> 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7). Across the four 2019 testing means per crop, ET RMSE was 73.80 and 55.64 mm, bias was +48.93 and −35.90 mm, nRMSE was 21.98% and 14.13%, and NSE was 0.503 and −0.346, respectively.</w:t>
      </w:r>
    </w:p>
    <w:p>
      <w:pPr>
        <w:keepNext/>
        <w:spacing w:after="60" w:line="480" w:lineRule="auto"/>
        <w:jc w:val="center"/>
      </w:pPr>
      <w:r>
        <w:drawing>
          <wp:inline xmlns:a="http://schemas.openxmlformats.org/drawingml/2006/main" xmlns:pic="http://schemas.openxmlformats.org/drawingml/2006/picture">
            <wp:extent cx="5715000" cy="5458871"/>
            <wp:docPr id="7" name="Picture 7"/>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6"/>
                    <a:stretch>
                      <a:fillRect/>
                    </a:stretch>
                  </pic:blipFill>
                  <pic:spPr>
                    <a:xfrm>
                      <a:off x="0" y="0"/>
                      <a:ext cx="5715000" cy="5458871"/>
                    </a:xfrm>
                    <a:prstGeom prst="rect"/>
                  </pic:spPr>
                </pic:pic>
              </a:graphicData>
            </a:graphic>
          </wp:inline>
        </w:drawing>
      </w:r>
    </w:p>
    <w:p>
      <w:pPr>
        <w:pStyle w:val="Caption"/>
        <w:keepLines/>
        <w:spacing w:line="480" w:lineRule="auto"/>
      </w:pPr>
      <w:r>
        <w:t>Figure 7.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7).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8). Targeted production remained 9.813 million t yr⁻¹ below conventional production.</w:t>
      </w:r>
    </w:p>
    <w:p>
      <w:pPr>
        <w:keepNext/>
        <w:spacing w:after="60" w:line="480" w:lineRule="auto"/>
        <w:jc w:val="center"/>
      </w:pPr>
      <w:r>
        <w:drawing>
          <wp:inline xmlns:a="http://schemas.openxmlformats.org/drawingml/2006/main" xmlns:pic="http://schemas.openxmlformats.org/drawingml/2006/picture">
            <wp:extent cx="5715000" cy="4366327"/>
            <wp:docPr id="8" name="Picture 8"/>
            <wp:cNvGraphicFramePr>
              <a:graphicFrameLocks noChangeAspect="1"/>
            </wp:cNvGraphicFramePr>
            <a:graphic>
              <a:graphicData uri="http://schemas.openxmlformats.org/drawingml/2006/picture">
                <pic:pic>
                  <pic:nvPicPr>
                    <pic:cNvPr id="0" name="Figure_3_policy_tradeoffs.png"/>
                    <pic:cNvPicPr/>
                  </pic:nvPicPr>
                  <pic:blipFill>
                    <a:blip r:embed="rId17"/>
                    <a:stretch>
                      <a:fillRect/>
                    </a:stretch>
                  </pic:blipFill>
                  <pic:spPr>
                    <a:xfrm>
                      <a:off x="0" y="0"/>
                      <a:ext cx="5715000" cy="4366327"/>
                    </a:xfrm>
                    <a:prstGeom prst="rect"/>
                  </pic:spPr>
                </pic:pic>
              </a:graphicData>
            </a:graphic>
          </wp:inline>
        </w:drawing>
      </w:r>
    </w:p>
    <w:p>
      <w:pPr>
        <w:pStyle w:val="Caption"/>
        <w:keepLines/>
        <w:spacing w:line="480" w:lineRule="auto"/>
      </w:pPr>
      <w:r>
        <w:t>Figure 8.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8c).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5;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5d).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9; Table S7). The 95% strategy retained at least 95% in 8 of nine years, with a minimum of 92.12%.</w:t>
      </w:r>
    </w:p>
    <w:p>
      <w:pPr>
        <w:keepNext/>
        <w:spacing w:after="60" w:line="480" w:lineRule="auto"/>
        <w:jc w:val="center"/>
      </w:pPr>
      <w:r>
        <w:drawing>
          <wp:inline xmlns:a="http://schemas.openxmlformats.org/drawingml/2006/main" xmlns:pic="http://schemas.openxmlformats.org/drawingml/2006/picture">
            <wp:extent cx="5715000" cy="4342726"/>
            <wp:docPr id="9" name="Picture 9"/>
            <wp:cNvGraphicFramePr>
              <a:graphicFrameLocks noChangeAspect="1"/>
            </wp:cNvGraphicFramePr>
            <a:graphic>
              <a:graphicData uri="http://schemas.openxmlformats.org/drawingml/2006/picture">
                <pic:pic>
                  <pic:nvPicPr>
                    <pic:cNvPr id="0" name="Figure_8_continuous_class_irrigation.png"/>
                    <pic:cNvPicPr/>
                  </pic:nvPicPr>
                  <pic:blipFill>
                    <a:blip r:embed="rId18"/>
                    <a:stretch>
                      <a:fillRect/>
                    </a:stretch>
                  </pic:blipFill>
                  <pic:spPr>
                    <a:xfrm>
                      <a:off x="0" y="0"/>
                      <a:ext cx="5715000" cy="4342726"/>
                    </a:xfrm>
                    <a:prstGeom prst="rect"/>
                  </pic:spPr>
                </pic:pic>
              </a:graphicData>
            </a:graphic>
          </wp:inline>
        </w:drawing>
      </w:r>
    </w:p>
    <w:p>
      <w:pPr>
        <w:pStyle w:val="Caption"/>
        <w:keepLines/>
        <w:spacing w:line="480" w:lineRule="auto"/>
      </w:pPr>
      <w:r>
        <w:t>Figure 9.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{"citationID":"78e82318dcb756f2","properties":{"formattedCitation":"(Yang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{"citationID":"1fc7236af8c4e3c8","properties":{"formattedCitation":"(Wu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{"citationID":"867851fe8fbecd9d","properties":{"formattedCitation":"(Jiang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8).</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5;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{"citationID":"cdd563ee9e416e30","properties":{"formattedCitation":"(Yang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{"citationID":"c27ed2302bb82ba7","properties":{"formattedCitation":"(Yang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7;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{"citationID":"5031d97a9df14727","properties":{"formattedCitation":"(Grafton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{"citationID":"9bc5c58c1d1482a2","properties":{"formattedCitation":"(Wu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{"citationID":"d40b08cacd216cdd","properties":{"formattedCitation":"(Save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{"citationID":"0113bfd482e5a6a2","properties":{"formattedCitation":"(Long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{"citationID":"82a81f91d013db4f","properties":{"formattedCitation":"(Save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9).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{"citationID":"f76323421ed03fce","properties":{"formattedCitation":"(Kiniry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{"citationID":"cc2720c3d58f902d","properties":{"formattedCitation":"(Cammarano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 6 and 7).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{"citationID":"5646e4eb5f82ba7c","properties":{"formattedCitation":"(Ines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9).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{"citationID":"5afd10fb0dbab597","properties":{"formattedCitation":"(Roy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2"/>
        <w:spacing w:line="480" w:lineRule="auto"/>
      </w:pPr>
      <w:r>
        <w:t>4.6. Limitations and future directions</w:t>
      </w:r>
    </w:p>
    <w:p>
      <w:pPr>
        <w:spacing w:line="480" w:lineRule="auto"/>
      </w:pPr>
      <w:r>
        <w:t>The principal limitation is uncertainty in the crop responses used for strategy selection. Field testing covers a single, previously inspected year, while incomplete station management and assumed initial water profiles constrain transfer. Remaining errors in ET and grain responses prevent the simulated policy advantages from being interpreted as independently validated field benefits. Further evaluation requires new site-years with complete management records, withheld from both model development and strategy selection. Concurrent measurements of soil water by depth, ET, canopy development and harvest would allow separate assessment of water redistribution, crop stress and irrigation-treatment contrasts.</w:t>
      </w:r>
    </w:p>
    <w:p>
      <w:pPr>
        <w:spacing w:line="480" w:lineRule="auto"/>
      </w:pPr>
      <w:r>
        <w:t>Regional results also depend on a static rotation map, representative climate–soil units, prescribed irrigation dates and fixed nutrition modifiers. Checks at purposively selected source cells cannot bound regional uncertainty. Dynamic nitrogen cycling is absent, and changes in crop area or actual farm practices are not reconstructed. Future analyses should expand evaluation at individual source cells and propagate uncertainty in crop parameters, soil hydraulics, weather and spatial aggregation through paired policy histories. Allocation stability and the magnitude and persistence of local losses require uncertainty assessment alongside the regional mean.</w:t>
      </w:r>
    </w:p>
    <w:p>
      <w:pPr>
        <w:spacing w:line="480" w:lineRule="auto"/>
      </w:pPr>
      <w:r>
        <w:t>The storage comparison is specific to the tested quota grid, classification thresholds and lower-storage conditions represented during later comparison years. GRACE release availability before sowing remains unverified, so the scenarios do not establish operational scheduling performance. Prospective decision experiments should use information available on each decision date, maintain matched rainfall-only controls and evaluate both storage states. Finer quotas and application timing informed by soil water could be tested with constraints on consumptive use, local production and the risk of production shortfalls.</w:t>
      </w:r>
    </w:p>
    <w:p>
      <w:pPr>
        <w:spacing w:line="480" w:lineRule="auto"/>
      </w:pPr>
      <w:r>
        <w:t>Finally, the profile uses free drainage at its lower boundary, with no capillary supply or deeper subsurface storage, and field irrigation is not linked to measured abstraction. Groundwater applications require joint accounting of soil water and aquifer flows, constrained by observations of pumping, recharge and storage change. Delivery capacity, irrigation costs and farmer participation also require assessment before the agronomic scenarios can support operational management.</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spacing w:line="480" w:lineRule="auto"/>
      </w:pPr>
      <w:r>
        <w:br w:type="page"/>
      </w:r>
    </w:p>
    <w:p>
      <w:pPr>
        <w:pStyle w:val="Heading1"/>
        <w:spacing w:line="480" w:lineRule="auto"/>
      </w:pPr>
      <w:r>
        <w:t>Supplementary material</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 xml:space="preserve">Fengqiu, Luancheng and Shangqiu crop phenology, leaf area and biomass records were obtained from the station growth-monitoring datasets </w:t>
      </w:r>
      <w:r>
        <w:fldChar w:fldCharType="begin"/>
      </w:r>
      <w:r>
        <w:instrText xml:space="preserve"> ADDIN ZOTERO_ITEM CSL_CITATION {"citationID":"71c3c23f980a3b44","properties":{"formattedCitation":"(Fengqiu Station, 2020a; Luancheng Station, 2020; Shangqiu Station, 2021)","plainCitation":"(Fengqiu Station, 2020a; Luancheng Station, 2020; Shangqiu Station, 2021)","noteIndex":0},"citationItems":[{"id":"fengqiu2020_crop","itemData":{"id":"fengqiu2020_crop","type":"dataset","title":"Crop phenology and growth dynamics at Fengqiu Station, Henan Province, 2004–2008","author":[{"literal":"Fengqiu Station"}],"issued":{"date-parts":[[2020]]},"publisher":"National Ecosystem Science Data Center","version":"v1","DOI":"10.12199/nesdc.ecodb.mon.2020.dp2011.fqa.002","URL":"https://doi.org/10.12199/nesdc.ecodb.mon.2020.dp2011.fqa.002","accessed":{"date-parts":[[2026,10,8]]},"language":"zh","note":"Dataset. Original creator: 河南封丘站. Original title: 2004-2008年河南封丘站作物生育及生长动态监测数据. Version v1. English title follows the official Gucheng title or translates the original Chinese station title."}},{"id":"luancheng2020_crop","itemData":{"id":"luancheng2020_crop","type":"dataset","title":"Crop phenology and growth dynamics at Luancheng Station, Hebei Province, 2000–2008","author":[{"literal":"Luancheng Station"}],"issued":{"date-parts":[[2020]]},"publisher":"National Ecosystem Science Data Center","version":"v1","DOI":"10.12199/nesdc.ecodb.mon.2020.dp2011.lca.002","URL":"https://doi.org/10.12199/nesdc.ecodb.mon.2020.dp2011.lca.002","accessed":{"date-parts":[[2026,10,8]]},"language":"zh","note":"Dataset. Original creator: 河北栾城站. Original title: 2000-2008年河北栾城站作物生育及生长动态监测数据. Version v1. English title follows the official Gucheng title or translates the original Chinese station title."}},{"id":"shangqiu2021_crop","itemData":{"id":"shangqiu2021_crop","type":"dataset","title":"Crop phenology and growth dynamics at Shangqiu Station, Henan Province, 2000–2007","author":[{"literal":"Shangqiu Station"}],"issued":{"date-parts":[[2021]]},"publisher":"National Ecosystem Science Data Center","version":"v1","DOI":"10.12199/nesdc.ecodb.mon.2020.dp2011.sqa.003","URL":"https://doi.org/10.12199/nesdc.ecodb.mon.2020.dp2011.sqa.003","accessed":{"date-parts":[[2026,10,8]]},"language":"zh","note":"Dataset. Original creator: 河南商丘站. Original title: 2000-2007年河南商丘站作物生育及生长动态监测数据. Version v1. English title follows the official Gucheng title or translates the original Chinese station title."}}],"schema":"https://github.com/citation-style-language/schema/raw/master/csl-citation.json"} </w:instrText>
      </w:r>
      <w:r>
        <w:fldChar w:fldCharType="separate"/>
      </w:r>
      <w:r>
        <w:t>(Fengqiu Station, 2020a; Luancheng Station, 2020; Shangqiu Station, 2021)</w:t>
      </w:r>
      <w:r>
        <w:fldChar w:fldCharType="end"/>
      </w:r>
      <w:r>
        <w:t xml:space="preserve">. The Gucheng sowing-date dataset supplies maize development and LAI observations </w:t>
      </w:r>
      <w:r>
        <w:fldChar w:fldCharType="begin"/>
      </w:r>
      <w:r>
        <w:instrText xml:space="preserve"> ADDIN ZOTERO_ITEM CSL_CITATION {"citationID":"d53d51f320562b1f","properties":{"formattedCitation":"(Geng et al., 2023)","plainCitation":"(Geng et al., 2023)","noteIndex":0},"citationItems":[{"id":"geng2023_gucheng_dataset","itemData":{"id":"geng2023_gucheng_dataset","type":"dataset","title":"A dataset of effects of different sowing dates on maize growth and development in the northern part of North China from 2018 to 2021","author":[{"family":"Geng","given":"Jinjian"},{"family":"Zhou","given":"Guangsheng"},{"family":"Song","given":"Yanling"},{"family":"Ren","given":"Sanxue"},{"family":"Zhao","given":"Huarong"},{"family":"Zhou","given":"Huailin"},{"family":"Song","given":"Xingyang"},{"family":"Tian","given":"Xiaoli"}],"issued":{"date-parts":[[2023]]},"publisher":"National Ecosystem Science Data Center","version":"V3","DOI":"10.57760/sciencedb.o00119.00017","URL":"https://doi.org/10.57760/sciencedb.o00119.00017","accessed":{"date-parts":[[2026,10,8]]},"language":"zh","note":"Dataset. Original creator: 耿金剑；周广胜；宋艳玲；任三学；赵花荣；周怀林；宋兴阳；田晓丽. Original title: 2018–2021年华北北部不同播期对玉米生长发育的影响数据集. Version V3. English title follows the official Gucheng title or translates the original Chinese station title."}}],"schema":"https://github.com/citation-style-language/schema/raw/master/csl-citation.json"} </w:instrText>
      </w:r>
      <w:r>
        <w:fldChar w:fldCharType="separate"/>
      </w:r>
      <w:r>
        <w:t>(Geng et al., 2023)</w:t>
      </w:r>
      <w:r>
        <w:fldChar w:fldCharType="end"/>
      </w:r>
      <w:r>
        <w:t xml:space="preserve">. Yucheng records combine the 1998–2006 crop archive and the 2005–2022 biological and water-environment archives </w:t>
      </w:r>
      <w:r>
        <w:fldChar w:fldCharType="begin"/>
      </w:r>
      <w:r>
        <w:instrText xml:space="preserve"> ADDIN ZOTERO_ITEM CSL_CITATION {"citationID":"73d0eb2405bceeb7","properties":{"formattedCitation":"(Yucheng Station, 2025b; Yucheng Station, 2025a; Yucheng Station, 2021)","plainCitation":"(Yucheng Station, 2025b; Yucheng Station, 2025a; Yucheng Station, 2021)","noteIndex":0},"citationItems":[{"id":"yucheng2021_crop","itemData":{"id":"yucheng2021_crop","type":"dataset","title":"Crop phenology and growth dynamics at Yucheng Station, Shandong Province, 1998–2006","author":[{"literal":"Yucheng Station"}],"issued":{"date-parts":[[2021]]},"publisher":"National Ecosystem Science Data Center","version":"v1","DOI":"10.12199/nesdc.ecodb.mon.2020.dp2011.yca.003","URL":"https://doi.org/10.12199/nesdc.ecodb.mon.2020.dp2011.yca.003","accessed":{"date-parts":[[2026,10,8]]},"language":"zh","note":"Dataset. Original creator: 山东禹城站. Original title: 1998-2006年山东禹城站作物生育及生长动态监测数据. Version v1. English title follows the official Gucheng title or translates the original Chinese station title."}},{"id":"yucheng2025_biology","itemData":{"id":"yucheng2025_biology","type":"dataset","title":"Biological observations at Yucheng Station, 2005–2022","author":[{"literal":"Yucheng Station"}],"issued":{"date-parts":[[2025]]},"publisher":"National Ecosystem Science Data Center","version":"v1","DOI":"10.12199/nesdc.ecodb.2021YFF0703900.yca.2025.2","URL":"https://doi.org/10.12199/nesdc.ecodb.2021YFF0703900.yca.2025.2","accessed":{"date-parts":[[2026,10,8]]},"language":"zh","note":"Dataset. Original creator: 山东禹城农田生态系统国家野外科学观测研究站. Original title: 禹城站2005-2022年生物要素观测数据集. Version v1. English title follows the official Gucheng title or translates the original Chinese station title."}},{"id":"yucheng2025_water","itemData":{"id":"yucheng2025_water","type":"dataset","title":"Water-environment observations at Yucheng Station, 2005–2022","author":[{"literal":"Yucheng Station"}],"issued":{"date-parts":[[2025]]},"publisher":"National Ecosystem Science Data Center","version":"v1","DOI":"10.12199/nesdc.ecodb.2021YFF0703900.yca.2025.3","URL":"https://doi.org/10.12199/nesdc.ecodb.2021YFF0703900.yca.2025.3","accessed":{"date-parts":[[2026,10,8]]},"language":"zh","note":"Dataset. Original creator: 山东禹城农田生态系统国家野外科学观测研究站. Original title: 禹城站2005-2022年水环境要素观测数据集. Version v1. English title follows the official Gucheng title or translates the original Chinese station title."}}],"schema":"https://github.com/citation-style-language/schema/raw/master/csl-citation.json"} </w:instrText>
      </w:r>
      <w:r>
        <w:fldChar w:fldCharType="separate"/>
      </w:r>
      <w:r>
        <w:t>(Yucheng Station, 2025b; Yucheng Station, 2025a; Yucheng Station, 2021)</w:t>
      </w:r>
      <w:r>
        <w:fldChar w:fldCharType="end"/>
      </w:r>
      <w:r>
        <w:t xml:space="preserve">. Fengqiu ET and antecedent soil-moisture profiles come from the farmland soil-water physical-properties archive </w:t>
      </w:r>
      <w:r>
        <w:fldChar w:fldCharType="begin"/>
      </w:r>
      <w:r>
        <w:instrText xml:space="preserve"> ADDIN ZOTERO_ITEM CSL_CITATION {"citationID":"e2c5c0345a229599","properties":{"formattedCitation":"(Fengqiu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w:t>
      </w:r>
    </w:p>
    <w:p>
      <w:pPr>
        <w:spacing w:line="480" w:lineRule="auto"/>
      </w:pPr>
      <w:r>
        <w:t xml:space="preserve">Published crop-model evaluations used Fengqiu, Luancheng and Yucheng observations </w:t>
      </w:r>
      <w:r>
        <w:fldChar w:fldCharType="begin"/>
      </w:r>
      <w:r>
        <w:instrText xml:space="preserve"> ADDIN ZOTERO_ITEM CSL_CITATION {"citationID":"89793f29793cb517","properties":{"formattedCitation":"(Chen et al., 2010a; Yu et al., 2006)","plainCitation":"(Chen et al., 2010a; Yu et al., 2006)","noteIndex":0},"citationItems":[{"id":"chen2010_crop_productivity","itemData":{"id":"chen2010_crop_productivity","type":"article-journal","title":"Modeling Wheat and Maize Productivity as Affected by Climate Variation and Irrigation Supply in North China Plain","author":[{"family":"Chen","given":"Chao"},{"family":"Wang","given":"Enli"},{"family":"Yu","given":"Qiang"}],"issued":{"date-parts":[[2010,5,1]]},"container-title":"Agronomy Journal","volume":"102","issue":"3","page":"1037-1049","DOI":"10.2134/agronj2009.0505","URL":"https://doi.org/10.2134/agronj2009.0505"}},{"id":"yu2006_rzwqm_yucheng","itemData":{"id":"yu2006_rzwqm_yucheng","type":"article-journal","title":"Modeling a wheat–maize double cropping system in China using two plant growth modules in RZWQM","author":[{"given":"Q.","family":"Yu"},{"given":"S.A.","family":"Saseendran"},{"given":"L.","family":"Ma"},{"given":"G.N.","family":"Flerchinger"},{"given":"T.R.","family":"Green"},{"given":"L.R.","family":"Ahuja"}],"container-title":"Agricultural Systems","volume":"89","issued":{"date-parts":[[2006,9]]},"DOI":"10.1016/j.agsy.2005.10.009","URL":"https://doi.org/10.1016/j.agsy.2005.10.009","issue":"2-3","page":"457-477"}}],"schema":"https://github.com/citation-style-language/schema/raw/master/csl-citation.json"} </w:instrText>
      </w:r>
      <w:r>
        <w:fldChar w:fldCharType="separate"/>
      </w:r>
      <w:r>
        <w:t>(Chen et al., 2010a; Yu et al., 2006)</w:t>
      </w:r>
      <w:r>
        <w:fldChar w:fldCharType="end"/>
      </w:r>
      <w:r>
        <w:t xml:space="preserve">. Regional crop-water-use evaluation also used CERN monitoring records from Fengqiu, Luancheng and Shangqiu </w:t>
      </w:r>
      <w:r>
        <w:fldChar w:fldCharType="begin"/>
      </w:r>
      <w:r>
        <w:instrText xml:space="preserve"> ADDIN ZOTERO_ITEM CSL_CITATION {"citationID":"eee8c97c10e17126","properties":{"formattedCitation":"(Wang and Shi, 2024)","plainCitation":"(Wang and Shi, 2024)","noteIndex":0},"citationItems":[{"id":"wang2024_crop_water_dataset","itemData":{"id":"wang2024_crop_water_dataset","type":"article-journal","title":"The annual dynamic dataset of high-resolution crop water use in China from 1991 to 2019","author":[{"given":"Minglei","family":"Wang"},{"given":"Wenjiao","family":"Shi"}],"container-title":"Scientific Data","volume":"11","issued":{"date-parts":[[2024,12,18]]},"DOI":"10.1038/s41597-024-04185-0","URL":"https://doi.org/10.1038/s41597-024-04185-0","issue":"1","page":"1373"}}],"schema":"https://github.com/citation-style-language/schema/raw/master/csl-citation.json"} </w:instrText>
      </w:r>
      <w:r>
        <w:fldChar w:fldCharType="separate"/>
      </w:r>
      <w:r>
        <w:t>(Wang and Shi, 2024)</w:t>
      </w:r>
      <w:r>
        <w:fldChar w:fldCharType="end"/>
      </w:r>
      <w:r>
        <w:t>. These publications document earlier use of the station monitoring programs; the exact records, plots and measurement periods retained here are identified by the source datasets and case inventory (Tables S1 and S2).</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{"citationID":"3942044e2dd20086","properties":{"formattedCitation":"(Yang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 xml:space="preserve">Twenty-six Fengqiu cases retain antecedent moisture initialization from the preceding calendar month </w:t>
      </w:r>
      <w:r>
        <w:fldChar w:fldCharType="begin"/>
      </w:r>
      <w:r>
        <w:instrText xml:space="preserve"> ADDIN ZOTERO_ITEM CSL_CITATION {"citationID":"60456779b01e5a92","properties":{"formattedCitation":"(Fengqiu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 Volumetric percentages from fifteen 100-mm source layers spanning 0–1.5 m map conservatively to the represented model layers, preserving depth-integrated storage without depth extrapolation or clipping.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spacing w:line="480" w:lineRule="auto"/>
      </w:pPr>
      <w:r>
        <w:t>Observation eligibility requires valid dates, compatible crop and plot identities, consistent stage sequences and documented quantity units. Measurements and predictions share recorded sampling dates or documented averaging windows. Stage-indexed Gucheng LAI measurements use observed stage dates as sampling coordinates without prescribing simulated development. Fengqiu ET identifies the lysimeter measurement plot, whereas Yucheng ET retains its source measurement definitions. Provider grain and aboveground dry masses in g m⁻² are multiplied by 10 to obtain kg ha⁻¹.</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{"citationID":"ed0b81f4dfe4b4c4","properties":{"formattedCitation":"(Meier,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{"citationID":"a55d71eae31faf52","properties":{"formattedCitation":"(Kiniry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{"citationID":"0dbc63e850697adf","properties":{"formattedCitation":"(de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{"citationID":"ab0e3dd939df60c2","properties":{"formattedCitation":"(Tan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{"citationID":"96ec39f20f06a4fb","properties":{"formattedCitation":"(APSIM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{"citationID":"b5cf00a9327a1772","properties":{"formattedCitation":"(Allen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{"citationID":"5409b8ceb3145f1b","properties":{"formattedCitation":"(Allen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{"citationID":"28cca3a444cf43f8","properties":{"formattedCitation":"(van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{"citationID":"82fda9b6354de394","properties":{"formattedCitation":"(Mualem,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{"citationID":"1c2e2e9a4f4e1a71","properties":{"formattedCitation":"(Wu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{"citationID":"94dad218b02a1cdd","properties":{"formattedCitation":"(Saxton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{"citationID":"0954fc7716b77100","properties":{"formattedCitation":"(ISRIC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{"citationID":"793357b6c5bc6498","properties":{"formattedCitation":"(NASA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{"citationID":"639e0f7a85e41127","properties":{"formattedCitation":"(Qiu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{"citationID":"2b73841f95c03a02","properties":{"formattedCitation":"(Fu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10" name="Picture 10"/>
            <wp:cNvGraphicFramePr>
              <a:graphicFrameLocks noChangeAspect="1"/>
            </wp:cNvGraphicFramePr>
            <a:graphic>
              <a:graphicData uri="http://schemas.openxmlformats.org/drawingml/2006/picture">
                <pic:pic>
                  <pic:nvPicPr>
                    <pic:cNvPr id="0" name="all_quota_spatial_errors.png"/>
                    <pic:cNvPicPr/>
                  </pic:nvPicPr>
                  <pic:blipFill>
                    <a:blip r:embed="rId19"/>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spacing w:line="480" w:lineRule="auto"/>
      </w:pPr>
      <w:r>
        <w:t xml:space="preserve">Field simulations retain the recorded irrigation, sowing and harvest dates and archived daily weather. Wheat crop-start storage follows the pre-sowing simulation, whereas maize is initialized separately from observed treatment-specific total storage in 2 m; its distribution among layers is assumed. Field capacity, wilting point and bulk density are transferred from the published Luancheng profile, with the bottom 10 cm extrapolated </w:t>
      </w:r>
      <w:r>
        <w:fldChar w:fldCharType="begin"/>
      </w:r>
      <w:r>
        <w:instrText xml:space="preserve"> ADDIN ZOTERO_ITEM CSL_CITATION {"citationID":"93d590259100e7fd","properties":{"formattedCitation":"(Sun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the SoilGrids–Saxton–Rawls prior </w:t>
      </w:r>
      <w:r>
        <w:fldChar w:fldCharType="begin"/>
      </w:r>
      <w:r>
        <w:instrText xml:space="preserve"> ADDIN ZOTERO_ITEM CSL_CITATION {"citationID":"274f1e7169727d4c","properties":{"formattedCitation":"(ISRIC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xml:space="preserve">, with a particle-density prior of 2.75 g cm⁻³. Reported wheat-straw mulch has no measured cover fraction, so maize retains the exposed-soil evaporation boundary </w:t>
      </w:r>
      <w:r>
        <w:fldChar w:fldCharType="begin"/>
      </w:r>
      <w:r>
        <w:instrText xml:space="preserve"> ADDIN ZOTERO_ITEM CSL_CITATION {"citationID":"051de876dec42d44","properties":{"formattedCitation":"(Yang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The model represents runoff and drainage, which the published ET balance assumes negligible.</w:t>
      </w:r>
    </w:p>
    <w:p>
      <w:pPr>
        <w:spacing w:line="480" w:lineRule="auto"/>
      </w:pPr>
      <w:r>
        <w:t xml:space="preserve">Harvest aboveground biomass comprises grain and residues cut at ground level and oven-dried to constant mass, requiring no moisture adjustment. Annual grain means and standard errors digitized from source Supplementary Figure S2 are reconciled with its eight printed four-year means </w:t>
      </w:r>
      <w:r>
        <w:fldChar w:fldCharType="begin"/>
      </w:r>
      <w:r>
        <w:instrText xml:space="preserve"> ADDIN ZOTERO_ITEM CSL_CITATION {"citationID":"dbe4b349a669c2ea","properties":{"formattedCitation":"(Yang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Pixel tolerances are approximately 0.043 t ha⁻¹ for wheat and 0.056 t ha⁻¹ for maize. Observed grain is multiplied once by 0.87 for dry-matter fitting, and simulated dry grain is divided by 0.87 for comparison at 13% moisture. Annual and four-year means overlap and provide no additional independent observations.</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11" name="Picture 11"/>
            <wp:cNvGraphicFramePr>
              <a:graphicFrameLocks noChangeAspect="1"/>
            </wp:cNvGraphicFramePr>
            <a:graphic>
              <a:graphicData uri="http://schemas.openxmlformats.org/drawingml/2006/picture">
                <pic:pic>
                  <pic:nvPicPr>
                    <pic:cNvPr id="0" name="current_annual_field_grain.png"/>
                    <pic:cNvPicPr/>
                  </pic:nvPicPr>
                  <pic:blipFill>
                    <a:blip r:embed="rId20"/>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12" name="Picture 12"/>
            <wp:cNvGraphicFramePr>
              <a:graphicFrameLocks noChangeAspect="1"/>
            </wp:cNvGraphicFramePr>
            <a:graphic>
              <a:graphicData uri="http://schemas.openxmlformats.org/drawingml/2006/picture">
                <pic:pic>
                  <pic:nvPicPr>
                    <pic:cNvPr id="0" name="Figure_S14_continuous_soil_storage.png"/>
                    <pic:cNvPicPr/>
                  </pic:nvPicPr>
                  <pic:blipFill>
                    <a:blip r:embed="rId21"/>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13" name="Picture 13"/>
            <wp:cNvGraphicFramePr>
              <a:graphicFrameLocks noChangeAspect="1"/>
            </wp:cNvGraphicFramePr>
            <a:graphic>
              <a:graphicData uri="http://schemas.openxmlformats.org/drawingml/2006/picture">
                <pic:pic>
                  <pic:nvPicPr>
                    <pic:cNvPr id="0" name="Figure_S20_raw_harvest_quality.png"/>
                    <pic:cNvPicPr/>
                  </pic:nvPicPr>
                  <pic:blipFill>
                    <a:blip r:embed="rId22"/>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14" name="Picture 14"/>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23"/>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15" name="Picture 15"/>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24"/>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3499805"/>
            <wp:docPr id="16" name="Picture 16"/>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25"/>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1982549"/>
            <wp:docPr id="17" name="Picture 17"/>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26"/>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5017062"/>
            <wp:docPr id="18" name="Picture 18"/>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27"/>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3499805"/>
            <wp:docPr id="19" name="Picture 19"/>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28"/>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1982549"/>
            <wp:docPr id="20" name="Picture 20"/>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9"/>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2010b.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Natural Earth, n.d. Natural Earth, 1:10m Admin 1 – States, Provinces (version 5.1.1).</w:t>
      </w:r>
    </w:p>
    <w:p>
      <w:pPr>
        <w:spacing w:line="480" w:lineRule="auto"/>
        <w:ind w:left="288" w:hanging="288"/>
      </w:pPr>
      <w:r>
        <w:t>Fengqiu Station, 2020a. Crop phenology and growth dynamics at Fengqiu Station, Henan Province, 2004–2008. https://doi.org/10.12199/nesdc.ecodb.mon.2020.dp2011.fqa.002</w:t>
      </w:r>
    </w:p>
    <w:p>
      <w:pPr>
        <w:spacing w:line="480" w:lineRule="auto"/>
        <w:ind w:left="288" w:hanging="288"/>
      </w:pPr>
      <w:r>
        <w:t>Luancheng Station, 2020. Crop phenology and growth dynamics at Luancheng Station, Hebei Province, 2000–2008. https://doi.org/10.12199/nesdc.ecodb.mon.2020.dp2011.lca.002</w:t>
      </w:r>
    </w:p>
    <w:p>
      <w:pPr>
        <w:spacing w:line="480" w:lineRule="auto"/>
        <w:ind w:left="288" w:hanging="288"/>
      </w:pPr>
      <w:r>
        <w:t>Shangqiu Station, 2021. Crop phenology and growth dynamics at Shangqiu Station, Henan Province, 2000–2007. https://doi.org/10.12199/nesdc.ecodb.mon.2020.dp2011.sqa.003</w:t>
      </w:r>
    </w:p>
    <w:p>
      <w:pPr>
        <w:spacing w:line="480" w:lineRule="auto"/>
        <w:ind w:left="288" w:hanging="288"/>
      </w:pPr>
      <w:r>
        <w:t>Yucheng Station, 2021. Crop phenology and growth dynamics at Yucheng Station, Shandong Province, 1998–2006. https://doi.org/10.12199/nesdc.ecodb.mon.2020.dp2011.yca.003</w:t>
      </w:r>
    </w:p>
    <w:p>
      <w:pPr>
        <w:spacing w:line="480" w:lineRule="auto"/>
        <w:ind w:left="288" w:hanging="288"/>
      </w:pPr>
      <w:r>
        <w:t>Yucheng Station, 2025a. Biological observations at Yucheng Station, 2005–2022. https://doi.org/10.12199/nesdc.ecodb.2021YFF0703900.yca.2025.2</w:t>
      </w:r>
    </w:p>
    <w:p>
      <w:pPr>
        <w:spacing w:line="480" w:lineRule="auto"/>
        <w:ind w:left="288" w:hanging="288"/>
      </w:pPr>
      <w:r>
        <w:t>Geng, J., Zhou, G., Song, Y., Ren, S., Zhao, H., Zhou, H., Song, X., Tian, X., 2023. A dataset of effects of different sowing dates on maize growth and development in the northern part of North China from 2018 to 2021. https://doi.org/10.57760/sciencedb.o00119.00017</w:t>
      </w:r>
    </w:p>
    <w:p>
      <w:pPr>
        <w:spacing w:line="480" w:lineRule="auto"/>
        <w:ind w:left="288" w:hanging="288"/>
      </w:pPr>
      <w:r>
        <w:t>Fengqiu Station, 2020b. Farmland soil-water physical properties at Fengqiu Station, Henan Province, 2005–2008. https://doi.org/10.12199/nesdc.ecodb.mon.2020.dp2011.fqa.006</w:t>
      </w:r>
    </w:p>
    <w:p>
      <w:pPr>
        <w:spacing w:line="480" w:lineRule="auto"/>
        <w:ind w:left="288" w:hanging="288"/>
      </w:pPr>
      <w:r>
        <w:t>Yucheng Station, 2025b. Water-environment observations at Yucheng Station, 2005–2022. https://doi.org/10.12199/nesdc.ecodb.2021YFF0703900.yca.2025.3</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Zhao, G., Yao, L., Chen, B., submitted. OpenCropModel: A process-based framework for integrated nutrient, water and crop protection recommendations. Submitted to European Journal of Agronomy.</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p>
    <w:p>
      <w:pPr>
        <w:spacing w:line="480" w:lineRule="auto"/>
        <w:ind w:left="288" w:hanging="288"/>
      </w:pPr>
      <w:r>
        <w:t>Chen, C., Wang, E., Yu, Q., 2010a. Modeling Wheat and Maize Productivity as Affected by Climate Variation and Irrigation Supply in North China Plain. Agronomy Journal 102, 1037–1049. https://doi.org/10.2134/agronj2009.0505</w:t>
      </w:r>
    </w:p>
    <w:p>
      <w:pPr>
        <w:spacing w:line="480" w:lineRule="auto"/>
        <w:ind w:left="288" w:hanging="288"/>
      </w:pPr>
      <w:r>
        <w:t>Yu, Q., Saseendran, S.A., Ma, L., Flerchinger, G.N., Green, T.R., Ahuja, L.R., 2006. Modeling a wheat–maize double cropping system in China using two plant growth modules in RZWQM. Agricultural Systems 89, 457–477. https://doi.org/10.1016/j.agsy.2005.10.009</w:t>
      </w:r>
    </w:p>
    <w:p>
      <w:pPr>
        <w:spacing w:line="480" w:lineRule="auto"/>
        <w:ind w:left="288" w:hanging="288"/>
      </w:pPr>
      <w:r>
        <w:t>Wang, M., Shi, W., 2024. The annual dynamic dataset of high-resolution crop water use in China from 1991 to 2019. Scientific Data 11, 1373. https://doi.org/10.1038/s41597-024-04185-0</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