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Irrigation strategies under contrasting water-storage and rainfall conditions in the North China Plain</w:t>
      </w:r>
    </w:p>
    <w:p>
      <w:pPr>
        <w:keepNext/>
        <w:spacing w:line="360" w:lineRule="auto"/>
      </w:pPr>
      <w:r>
        <w:t>Linjia Yao</w:t>
      </w:r>
      <w:r>
        <w:rPr>
          <w:vertAlign w:val="superscript"/>
        </w:rPr>
        <w:t>1,†</w:t>
      </w:r>
      <w:r>
        <w:t xml:space="preserve">, </w:t>
      </w:r>
      <w:r>
        <w:t>Bin Chen</w:t>
      </w:r>
      <w:r>
        <w:rPr>
          <w:vertAlign w:val="superscript"/>
        </w:rPr>
        <w:t>2,†</w:t>
      </w:r>
      <w:r>
        <w:t xml:space="preserve">, </w:t>
      </w:r>
      <w:r>
        <w:t>Linchao Li</w:t>
      </w:r>
      <w:r>
        <w:rPr>
          <w:vertAlign w:val="superscript"/>
        </w:rPr>
        <w:t>3</w:t>
      </w:r>
      <w:r>
        <w:t xml:space="preserve">, </w:t>
      </w:r>
      <w:r>
        <w:t>Hao Feng</w:t>
      </w:r>
      <w:r>
        <w:rPr>
          <w:vertAlign w:val="superscript"/>
        </w:rPr>
        <w:t>2</w:t>
      </w:r>
      <w:r>
        <w:t xml:space="preserve">, </w:t>
      </w:r>
      <w:r>
        <w:t>Qiang Yu</w:t>
      </w:r>
      <w:r>
        <w:rPr>
          <w:vertAlign w:val="superscript"/>
        </w:rPr>
        <w:t>2,*</w:t>
      </w:r>
      <w:r>
        <w:t xml:space="preserve">, </w:t>
      </w:r>
      <w:r>
        <w:t>Gang Zhao</w:t>
      </w:r>
      <w:r>
        <w:rPr>
          <w:vertAlign w:val="superscript"/>
        </w:rPr>
        <w:t>2,*</w:t>
      </w:r>
    </w:p>
    <w:p>
      <w:pPr>
        <w:keepNext/>
        <w:spacing w:line="360" w:lineRule="auto"/>
      </w:pPr>
      <w:r>
        <w:rPr>
          <w:vertAlign w:val="superscript"/>
        </w:rPr>
        <w:t>1</w:t>
      </w:r>
      <w:r>
        <w:t xml:space="preserve"> College of Natural Resources and Environment, Northwest A&amp;F University, Yangling 712100, China</w:t>
      </w:r>
    </w:p>
    <w:p>
      <w:pPr>
        <w:keepNext/>
        <w:spacing w:line="360" w:lineRule="auto"/>
      </w:pPr>
      <w:r>
        <w:rPr>
          <w:vertAlign w:val="superscript"/>
        </w:rPr>
        <w:t>2</w:t>
      </w:r>
      <w:r>
        <w:t xml:space="preserve"> State Key Laboratory of Soil and Water Conservation and Desertification Control, College of Soil and Water Conservation Science and Engineering, Northwest A&amp;F University, Yangling, Shaanxi 712100, China</w:t>
      </w:r>
    </w:p>
    <w:p>
      <w:pPr>
        <w:keepNext/>
        <w:spacing w:line="360" w:lineRule="auto"/>
      </w:pPr>
      <w:r>
        <w:rPr>
          <w:vertAlign w:val="superscript"/>
        </w:rPr>
        <w:t>3</w:t>
      </w:r>
      <w:r>
        <w:t xml:space="preserve"> College of Agronomy, Inner Mongolia Agricultural University, Hohhot, 010019, China</w:t>
      </w:r>
    </w:p>
    <w:p>
      <w:pPr>
        <w:keepNext/>
        <w:spacing w:line="360" w:lineRule="auto"/>
      </w:pPr>
      <w:r>
        <w:t>† Linjia Yao and Bin Chen contributed equally.</w:t>
      </w:r>
    </w:p>
    <w:p>
      <w:pPr>
        <w:keepNext w:val="0"/>
        <w:spacing w:line="360" w:lineRule="auto"/>
      </w:pPr>
      <w:r>
        <w:t>* Corresponding authors: Qiang Yu (yuq@nwafu.edu.cn) and Gang Zhao (gang.zhao@nwafu.edu.cn).</w:t>
      </w:r>
    </w:p>
    <w:p>
      <w:r>
        <w:t>Keywords: winter wheat–summer maize rotation; irrigation management; crop modeling; GRACE; water availability; consumptive water use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64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4" w:lineRule="auto"/>
    </w:pPr>
    <w:rPr>
      <w:rFonts w:ascii="Times New Roman" w:hAnsi="Times New Roman"/>
      <w:b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Irrigation strategies under contrasting water-storage and rainfall conditions in the North China Plain</dc:title>
  <dc:subject/>
  <dc:creator>Linjia Yao; Bin Chen; Linchao Li; Hao Feng; Qiang Yu; Gang Zhao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