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Climate change reshapes Septoria tritici blotch damage across European wheat-growing regions</w:t>
      </w:r>
    </w:p>
    <w:p>
      <w:r>
        <w:t>Gang Zhao</w:t>
      </w:r>
    </w:p>
    <w:p>
      <w:pPr>
        <w:pStyle w:val="Heading1"/>
      </w:pPr>
      <w:r>
        <w:t>Supplementary Methods</w:t>
      </w:r>
    </w:p>
    <w:p>
      <w:pPr>
        <w:pStyle w:val="Heading2"/>
      </w:pPr>
      <w:r>
        <w:t>Crop, disease and yield relationships</w:t>
      </w:r>
    </w:p>
    <w:p>
      <w:r>
        <w:t>Daily climate data drive wheat-phenology and Septoria-disease calculations. Wheat phenology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Disease-induced HAD loss integrates the assumed loss of functional green leaf area over time, with units of GLAI-days. Division by maximum reference LAI gives normalized HAD loss, expressed as equivalent days of reference canopy function lost.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Weather and wheat-phenology contributions</w:t>
      </w:r>
    </w:p>
    <w:p>
      <w:r>
        <w:t>The separate decomposition uses four historical–future combinations of disease weather and wheat-phenology trajectories in the 64-draw sample. Twenty pairs exceeding the accepted temperature range in a recombined trajectory are excluded. The two Shapley contributions share the interaction equally and sum to the net change on the same valid pairs. Phenology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Wheat-phenology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649214"/>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649214"/>
                    </a:xfrm>
                    <a:prstGeom prst="rect"/>
                  </pic:spPr>
                </pic:pic>
              </a:graphicData>
            </a:graphic>
          </wp:inline>
        </w:drawing>
      </w:r>
    </w:p>
    <w:p>
      <w:r>
        <w:t>Figure S16 | Weather and wheat-phenology contributions and offsets. (a) Weather, crop-phenology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phenology, Septoria disease and the estimated yield response. Wheat phenology comprises leaf appearance, unfolding, flowering and soft dough. Weather drives these stage dates and disease. Leaf availability and seasonal timing connect wheat phenology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