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Wheat phenology partly offsets projected increases in Septoria damage across Europe</w:t>
      </w:r>
    </w:p>
    <w:p>
      <w:r>
        <w:t>Gang Zhao</w:t>
      </w:r>
    </w:p>
    <w:p>
      <w:pPr>
        <w:pStyle w:val="Heading1"/>
      </w:pPr>
      <w:r>
        <w:t>Supplementary Methods</w:t>
      </w:r>
    </w:p>
    <w:p>
      <w:pPr>
        <w:pStyle w:val="Heading2"/>
      </w:pPr>
      <w:r>
        <w:t>Crop, disease and yield relationships</w:t>
      </w:r>
    </w:p>
    <w:p>
      <w:r>
        <w:t>Daily climate data drive wheat-phenology and Septoria-disease calculations. Wheat phenology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Disease-induced HAD loss integrates the assumed loss of functional green leaf area over time, with units of GLAI-days. Division by maximum reference LAI gives normalized HAD loss, expressed as equivalent days of reference canopy function lost.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Severity-based field yield comparisons</w:t>
      </w:r>
    </w:p>
    <w:p>
      <w:r>
        <w:t>The consolidated Tunisia/Nordic inventory contains 423 dated leaf or treatment assessments sharing 272 yield keys. Exclusion of a known control alias and post-harvest assessments leaves 412 assessments and 263 outcomes. These inventory counts do not denote independent environments. The Nordic predictive population contains 62 treated–untreated contrasts in five trials; subsets with known assessment stage and an earlier matched assessment contain 51 and 40 contrasts, respectively. Missing treated-plot stem-extension assessments remain unavailable. Growth-stage interactions use recorded ordinal GS, rather than elapsed time. The fixed stage-regression basis is severity reduction multiplied by (GS − 75)/10. The secondary nonnegative basis uses severity reduction multiplied by (85 − GS)/10. Neither basis represents observed infection timing.</w:t>
      </w:r>
    </w:p>
    <w:p>
      <w:r>
        <w:t>The Tunisian plot table contains incidence-weighted lesion area on flag and immediately lower leaves. Flag leaves were assessed at GS75 in both years; lower leaves were assessed at GS61 in 2018 and GS73 in 2019. The leaf-stage and year differences prevent separate identification of leaf-specific physiological coefficients. No same-leaf AUDPC or HAD is reconstructed. Cultivar proportions define composition predictors and shared mixture identities; treatment numbers are year-specific. Two-way whole-year transfer evaluates absolute yield on 82 outcomes. The 40 source-matched reference contrasts retain one negative response; within-year validation excludes entire mixture compositions or source replicate groups. These comparisons remain within one site-year and do not establish external environmental validity.</w:t>
      </w:r>
    </w:p>
    <w:p>
      <w:r>
        <w:t>German source harmonization preserves the original site-table precision and follows the documented source treatment coding, while excluding drought-suffixed WF references from unsuffixed NF/WF pairs. One nonnumeric severity token remains unavailable. Treatment means retain yield and severity replicate counts separately; missing protected severity is not imputed. The primary endpoint population contains 3,264 comparisons across 16 site-years and five locations. The subset with observed severity on both management groups contains 954 comparisons across seven site-years and four locations. Common-population benchmarks accompany each comparison. The primary and temporal comparisons give site-years equal weight; geographic transfer gives locations equal weight. Site-specific rating comparability and incomplete assessment timing remain limitations.</w:t>
      </w:r>
    </w:p>
    <w:p>
      <w:r>
        <w:t>The complete source inventory includes raw field observations, regional survey aggregates, published model-adjusted means, fitted curves and model inputs. Fitted response grids, duplicate archive copies and published parameter tables do not increase observational sample size. Older Nordic/Baltic yield and weather-derived recommendation tables do not provide observed severity–yield pairs. New data-source identities, eligibility, fixed protocols, held-out predictions and independent numerical checks are retained with the current source data.</w:t>
      </w:r>
    </w:p>
    <w:p>
      <w:pPr>
        <w:pStyle w:val="Heading2"/>
      </w:pPr>
      <w:r>
        <w:t>Weather and wheat-phenology contributions</w:t>
      </w:r>
    </w:p>
    <w:p>
      <w:r>
        <w:t>The separate decomposition uses four historical–future combinations of disease weather and wheat-phenology trajectories in the 64-draw sample. Twenty pairs exceeding the accepted temperature range in a recombined trajectory are excluded. The two Shapley contributions share the interaction equally and sum to the net change on the same valid pairs. Phenology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Stefan, L. </w:t>
      </w:r>
      <w:r>
        <w:rPr>
          <w:i/>
        </w:rPr>
        <w:t>et al.</w:t>
      </w:r>
      <w:r>
        <w:rPr>
          <w:i w:val="0"/>
        </w:rPr>
        <w:t xml:space="preserve"> Agronomic performance of cultivar mixtures of winter wheat varieties, obtained from mixture field trials at 5 locations in Switzerland from 2019 to 2020, together with yield data from the varieties in pure stand obtained from the national variety testing trial network. Zenodo https://doi.org/10.5281/zenodo.17432866 (2023).</w:t>
      </w:r>
    </w:p>
    <w:p>
      <w:pPr>
        <w:ind w:left="432" w:hanging="432"/>
      </w:pPr>
      <w:r>
        <w:rPr>
          <w:i w:val="0"/>
        </w:rPr>
        <w:t>18.</w:t>
      </w:r>
      <w:r>
        <w:rPr>
          <w:i w:val="0"/>
        </w:rPr>
        <w:t xml:space="preserve">Montazeaud, G. </w:t>
      </w:r>
      <w:r>
        <w:rPr>
          <w:i/>
        </w:rPr>
        <w:t>et al.</w:t>
      </w:r>
      <w:r>
        <w:rPr>
          <w:i w:val="0"/>
        </w:rPr>
        <w:t xml:space="preserve"> Data from: “From cultivar mixtures to allelic mixtures: opposite effects of allelic richness between genotypes and genotype richness in wheat.” Zenodo https://doi.org/10.5281/zenodo.5393959 (2021).</w:t>
      </w:r>
    </w:p>
    <w:p>
      <w:pPr>
        <w:ind w:left="432" w:hanging="432"/>
      </w:pPr>
      <w:r>
        <w:rPr>
          <w:i w:val="0"/>
        </w:rPr>
        <w:t>19.</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20.</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21.</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22.</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23.</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24.</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25.</w:t>
      </w:r>
      <w:r>
        <w:rPr>
          <w:i w:val="0"/>
        </w:rPr>
        <w:t>Jägermeyr, J., Müller, C., Minoli, S., Ray, D. &amp; Siebert, S. GGCMI Phase 3 crop calendar. Zenodo https://doi.org/10.5281/zenodo.5062513 (2021).</w:t>
      </w:r>
    </w:p>
    <w:p>
      <w:pPr>
        <w:ind w:left="432" w:hanging="432"/>
      </w:pPr>
      <w:r>
        <w:rPr>
          <w:i w:val="0"/>
        </w:rPr>
        <w:t>26.</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27.</w:t>
      </w:r>
      <w:r>
        <w:rPr>
          <w:i w:val="0"/>
        </w:rPr>
        <w:t>European Environment Agency. Biogeographical regions, Europe 2016, version 1. (2016).</w:t>
      </w:r>
    </w:p>
    <w:p>
      <w:pPr>
        <w:ind w:left="432" w:hanging="432"/>
      </w:pPr>
      <w:r>
        <w:rPr>
          <w:i w:val="0"/>
        </w:rPr>
        <w:t>28.</w:t>
      </w:r>
      <w:r>
        <w:rPr>
          <w:i w:val="0"/>
        </w:rPr>
        <w:t>Holst, N. Data from 56 fungicide trials in wheat fields across Europe 2017–2019. Zenodo https://doi.org/10.5281/zenodo.6521175 (2022).</w:t>
      </w:r>
    </w:p>
    <w:p>
      <w:pPr>
        <w:ind w:left="432" w:hanging="432"/>
      </w:pPr>
      <w:r>
        <w:rPr>
          <w:i w:val="0"/>
        </w:rPr>
        <w:t>29.</w:t>
      </w:r>
      <w:r>
        <w:rPr>
          <w:i w:val="0"/>
        </w:rPr>
        <w:t>Holst, N. &amp; Donner, M. Data from 168 fungicide trials in wheat fields across Europe 2014–2018. Zenodo https://doi.org/10.5281/zenodo.6352615 (2022).</w:t>
      </w:r>
    </w:p>
    <w:p>
      <w:pPr>
        <w:ind w:left="432" w:hanging="432"/>
      </w:pPr>
      <w:r>
        <w:rPr>
          <w:i w:val="0"/>
        </w:rPr>
        <w:t>30.</w:t>
      </w:r>
      <w:r>
        <w:rPr>
          <w:i w:val="0"/>
        </w:rPr>
        <w:t xml:space="preserve">Karisto, P. </w:t>
      </w:r>
      <w:r>
        <w:rPr>
          <w:i/>
        </w:rPr>
        <w:t>et al.</w:t>
      </w:r>
      <w:r>
        <w:rPr>
          <w:i w:val="0"/>
        </w:rPr>
        <w:t xml:space="preserve"> Improved control of Septoria tritici blotch in durum wheat using cultivar mixtures. https://doi.org/10.5061/dryad.r2280gbb5 (2020).</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Wheat-phenology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r>
        <w:t>Table S17 | Additional field evidence for disease-related yield-response evaluation. The Tunisia/Nordic combined source inventory contains 423 assessments and 272 yield keys; excluding post-harvest measurements and one pooled-control alias leaves 412 assessments and 263 outcomes. Counts retain plot versus treatment-mean grain and do not represent independent environments. The German archive is separate from this combined inventory. None supplies compatible repeated leaf-area and harvested-yield measurements sufficient to validate the climate HAD conversion.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Source</w:t>
            </w:r>
          </w:p>
        </w:tc>
        <w:tc>
          <w:tcPr>
            <w:tcW w:type="dxa" w:w="1933"/>
          </w:tcPr>
          <w:p>
            <w:pPr>
              <w:spacing w:after="40" w:line="240" w:lineRule="auto"/>
            </w:pPr>
            <w:r>
              <w:rPr>
                <w:b/>
                <w:sz w:val="16"/>
              </w:rPr>
              <w:t>Matched yield outcomes</w:t>
            </w:r>
          </w:p>
        </w:tc>
        <w:tc>
          <w:tcPr>
            <w:tcW w:type="dxa" w:w="1933"/>
          </w:tcPr>
          <w:p>
            <w:pPr>
              <w:spacing w:after="40" w:line="240" w:lineRule="auto"/>
            </w:pPr>
            <w:r>
              <w:rPr>
                <w:b/>
                <w:sz w:val="16"/>
              </w:rPr>
              <w:t>Predictive comparisons</w:t>
            </w:r>
          </w:p>
        </w:tc>
        <w:tc>
          <w:tcPr>
            <w:tcW w:type="dxa" w:w="1933"/>
          </w:tcPr>
          <w:p>
            <w:pPr>
              <w:spacing w:after="40" w:line="240" w:lineRule="auto"/>
            </w:pPr>
            <w:r>
              <w:rPr>
                <w:b/>
                <w:sz w:val="16"/>
              </w:rPr>
              <w:t>Environmental coverage</w:t>
            </w:r>
          </w:p>
        </w:tc>
        <w:tc>
          <w:tcPr>
            <w:tcW w:type="dxa" w:w="1933"/>
          </w:tcPr>
          <w:p>
            <w:pPr>
              <w:spacing w:after="40" w:line="240" w:lineRule="auto"/>
            </w:pPr>
            <w:r>
              <w:rPr>
                <w:b/>
                <w:sz w:val="16"/>
              </w:rPr>
              <w:t>Measurement support</w:t>
            </w:r>
          </w:p>
        </w:tc>
      </w:tr>
      <w:tr>
        <w:tc>
          <w:tcPr>
            <w:tcW w:type="dxa" w:w="1933"/>
          </w:tcPr>
          <w:p>
            <w:pPr>
              <w:spacing w:after="40" w:line="240" w:lineRule="auto"/>
            </w:pPr>
            <w:r>
              <w:rPr>
                <w:b w:val="0"/>
                <w:sz w:val="16"/>
              </w:rPr>
              <w:t>Nordic extension</w:t>
            </w:r>
          </w:p>
        </w:tc>
        <w:tc>
          <w:tcPr>
            <w:tcW w:type="dxa" w:w="1933"/>
          </w:tcPr>
          <w:p>
            <w:pPr>
              <w:spacing w:after="40" w:line="240" w:lineRule="auto"/>
            </w:pPr>
            <w:r>
              <w:rPr>
                <w:b w:val="0"/>
                <w:sz w:val="16"/>
              </w:rPr>
              <w:t>181 eligible treatment means</w:t>
            </w:r>
          </w:p>
        </w:tc>
        <w:tc>
          <w:tcPr>
            <w:tcW w:type="dxa" w:w="1933"/>
          </w:tcPr>
          <w:p>
            <w:pPr>
              <w:spacing w:after="40" w:line="240" w:lineRule="auto"/>
            </w:pPr>
            <w:r>
              <w:rPr>
                <w:b w:val="0"/>
                <w:sz w:val="16"/>
              </w:rPr>
              <w:t>62 treated–untreated contrasts</w:t>
            </w:r>
          </w:p>
        </w:tc>
        <w:tc>
          <w:tcPr>
            <w:tcW w:type="dxa" w:w="1933"/>
          </w:tcPr>
          <w:p>
            <w:pPr>
              <w:spacing w:after="40" w:line="240" w:lineRule="auto"/>
            </w:pPr>
            <w:r>
              <w:rPr>
                <w:b w:val="0"/>
                <w:sz w:val="16"/>
              </w:rPr>
              <w:t>5 prediction trials; 11 inventory trials</w:t>
            </w:r>
          </w:p>
        </w:tc>
        <w:tc>
          <w:tcPr>
            <w:tcW w:type="dxa" w:w="1933"/>
          </w:tcPr>
          <w:p>
            <w:pPr>
              <w:spacing w:after="40" w:line="240" w:lineRule="auto"/>
            </w:pPr>
            <w:r>
              <w:rPr>
                <w:b w:val="0"/>
                <w:sz w:val="16"/>
              </w:rPr>
              <w:t>Dated symptoms; leaf ranks unconfirmed in prediction trials</w:t>
            </w:r>
          </w:p>
        </w:tc>
      </w:tr>
      <w:tr>
        <w:tc>
          <w:tcPr>
            <w:tcW w:type="dxa" w:w="1933"/>
          </w:tcPr>
          <w:p>
            <w:pPr>
              <w:spacing w:after="40" w:line="240" w:lineRule="auto"/>
            </w:pPr>
            <w:r>
              <w:rPr>
                <w:b w:val="0"/>
                <w:sz w:val="16"/>
              </w:rPr>
              <w:t>Tunisia</w:t>
            </w:r>
          </w:p>
        </w:tc>
        <w:tc>
          <w:tcPr>
            <w:tcW w:type="dxa" w:w="1933"/>
          </w:tcPr>
          <w:p>
            <w:pPr>
              <w:spacing w:after="40" w:line="240" w:lineRule="auto"/>
            </w:pPr>
            <w:r>
              <w:rPr>
                <w:b w:val="0"/>
                <w:sz w:val="16"/>
              </w:rPr>
              <w:t>82 unprotected plots; 40 protected references</w:t>
            </w:r>
          </w:p>
        </w:tc>
        <w:tc>
          <w:tcPr>
            <w:tcW w:type="dxa" w:w="1933"/>
          </w:tcPr>
          <w:p>
            <w:pPr>
              <w:spacing w:after="40" w:line="240" w:lineRule="auto"/>
            </w:pPr>
            <w:r>
              <w:rPr>
                <w:b w:val="0"/>
                <w:sz w:val="16"/>
              </w:rPr>
              <w:t>82 cross-year yields; 40 reference gaps</w:t>
            </w:r>
          </w:p>
        </w:tc>
        <w:tc>
          <w:tcPr>
            <w:tcW w:type="dxa" w:w="1933"/>
          </w:tcPr>
          <w:p>
            <w:pPr>
              <w:spacing w:after="40" w:line="240" w:lineRule="auto"/>
            </w:pPr>
            <w:r>
              <w:rPr>
                <w:b w:val="0"/>
                <w:sz w:val="16"/>
              </w:rPr>
              <w:t>2 years at one site; references only in 2019</w:t>
            </w:r>
          </w:p>
        </w:tc>
        <w:tc>
          <w:tcPr>
            <w:tcW w:type="dxa" w:w="1933"/>
          </w:tcPr>
          <w:p>
            <w:pPr>
              <w:spacing w:after="40" w:line="240" w:lineRule="auto"/>
            </w:pPr>
            <w:r>
              <w:rPr>
                <w:b w:val="0"/>
                <w:sz w:val="16"/>
              </w:rPr>
              <w:t>Flag and lower leaf on different dates; protected severity missing</w:t>
            </w:r>
          </w:p>
        </w:tc>
      </w:tr>
      <w:tr>
        <w:tc>
          <w:tcPr>
            <w:tcW w:type="dxa" w:w="1933"/>
          </w:tcPr>
          <w:p>
            <w:pPr>
              <w:spacing w:after="40" w:line="240" w:lineRule="auto"/>
            </w:pPr>
            <w:r>
              <w:rPr>
                <w:b w:val="0"/>
                <w:sz w:val="16"/>
              </w:rPr>
              <w:t>Germany</w:t>
            </w:r>
          </w:p>
        </w:tc>
        <w:tc>
          <w:tcPr>
            <w:tcW w:type="dxa" w:w="1933"/>
          </w:tcPr>
          <w:p>
            <w:pPr>
              <w:spacing w:after="40" w:line="240" w:lineRule="auto"/>
            </w:pPr>
            <w:r>
              <w:rPr>
                <w:b w:val="0"/>
                <w:sz w:val="16"/>
              </w:rPr>
              <w:t>Cultivar treatment means from original site files</w:t>
            </w:r>
          </w:p>
        </w:tc>
        <w:tc>
          <w:tcPr>
            <w:tcW w:type="dxa" w:w="1933"/>
          </w:tcPr>
          <w:p>
            <w:pPr>
              <w:spacing w:after="40" w:line="240" w:lineRule="auto"/>
            </w:pPr>
            <w:r>
              <w:rPr>
                <w:b w:val="0"/>
                <w:sz w:val="16"/>
              </w:rPr>
              <w:t>3,264 matched protection responses</w:t>
            </w:r>
          </w:p>
        </w:tc>
        <w:tc>
          <w:tcPr>
            <w:tcW w:type="dxa" w:w="1933"/>
          </w:tcPr>
          <w:p>
            <w:pPr>
              <w:spacing w:after="40" w:line="240" w:lineRule="auto"/>
            </w:pPr>
            <w:r>
              <w:rPr>
                <w:b w:val="0"/>
                <w:sz w:val="16"/>
              </w:rPr>
              <w:t>16 site-years; 5 locations</w:t>
            </w:r>
          </w:p>
        </w:tc>
        <w:tc>
          <w:tcPr>
            <w:tcW w:type="dxa" w:w="1933"/>
          </w:tcPr>
          <w:p>
            <w:pPr>
              <w:spacing w:after="40" w:line="240" w:lineRule="auto"/>
            </w:pPr>
            <w:r>
              <w:rPr>
                <w:b w:val="0"/>
                <w:sz w:val="16"/>
              </w:rPr>
              <w:t>Whole-plot severity; assessment dates and leaf ranks unspecified</w:t>
            </w:r>
          </w:p>
        </w:tc>
      </w:tr>
    </w:tbl>
    <w:p>
      <w:r>
        <w:br w:type="page"/>
      </w:r>
    </w:p>
    <w:p>
      <w:r>
        <w:t>Table S18 | Nordic grouped yield-response comparisons. The target is 1 − untreated yield / treated yield; values are percentage points. All candidates use their own common-population training-mean benchmark. Whole trials retain shared controls and repeated disease assessments. Nested selection uses training trials only. Intervals resample complete trials conditional on fixed held-out predictions and exclude refitting uncertainty. The nonnegative stage row is a secondary diagnostic after inspection of the unconstrained stage-model slopes. All specified model scores remain in Source Data; fitted coefficients accompany the held-out prediction CSVs in the evidence archive.</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Population / validation</w:t>
            </w:r>
          </w:p>
        </w:tc>
        <w:tc>
          <w:tcPr>
            <w:tcW w:type="dxa" w:w="1610"/>
          </w:tcPr>
          <w:p>
            <w:pPr>
              <w:spacing w:after="40" w:line="240" w:lineRule="auto"/>
            </w:pPr>
            <w:r>
              <w:rPr>
                <w:b/>
                <w:sz w:val="16"/>
              </w:rPr>
              <w:t>Model</w:t>
            </w:r>
          </w:p>
        </w:tc>
        <w:tc>
          <w:tcPr>
            <w:tcW w:type="dxa" w:w="1610"/>
          </w:tcPr>
          <w:p>
            <w:pPr>
              <w:spacing w:after="40" w:line="240" w:lineRule="auto"/>
            </w:pPr>
            <w:r>
              <w:rPr>
                <w:b/>
                <w:sz w:val="16"/>
              </w:rPr>
              <w:t>n / trials</w:t>
            </w:r>
          </w:p>
        </w:tc>
        <w:tc>
          <w:tcPr>
            <w:tcW w:type="dxa" w:w="1610"/>
          </w:tcPr>
          <w:p>
            <w:pPr>
              <w:spacing w:after="40" w:line="240" w:lineRule="auto"/>
            </w:pPr>
            <w:r>
              <w:rPr>
                <w:b/>
                <w:sz w:val="16"/>
              </w:rPr>
              <w:t>RMSE (pp)</w:t>
            </w:r>
          </w:p>
        </w:tc>
        <w:tc>
          <w:tcPr>
            <w:tcW w:type="dxa" w:w="1610"/>
          </w:tcPr>
          <w:p>
            <w:pPr>
              <w:spacing w:after="40" w:line="240" w:lineRule="auto"/>
            </w:pPr>
            <w:r>
              <w:rPr>
                <w:b/>
                <w:sz w:val="16"/>
              </w:rPr>
              <w:t>Mean benchmark (pp)</w:t>
            </w:r>
          </w:p>
        </w:tc>
        <w:tc>
          <w:tcPr>
            <w:tcW w:type="dxa" w:w="1610"/>
          </w:tcPr>
          <w:p>
            <w:pPr>
              <w:spacing w:after="40" w:line="240" w:lineRule="auto"/>
            </w:pPr>
            <w:r>
              <w:rPr>
                <w:b/>
                <w:sz w:val="16"/>
              </w:rPr>
              <w:t>95% ΔRMSE (pp)</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7.24</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+4.01</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exponential</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7.17</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-0.01 to +3.93</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-0.60 to +0.64</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4.88</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-0.33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5.82</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-0.86 to +1.67</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assessment stage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3.99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-3.38 to +1.09</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-0.01 to +1.10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 nonnegative</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7.97</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+1.11 to +4.18</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6.04</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-0.26 to +2.26</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5.62</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5.04</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Training-selected model</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Stage recorded / secondary</w:t>
            </w:r>
          </w:p>
        </w:tc>
        <w:tc>
          <w:tcPr>
            <w:tcW w:type="dxa" w:w="1610"/>
          </w:tcPr>
          <w:p>
            <w:pPr>
              <w:spacing w:after="40" w:line="240" w:lineRule="auto"/>
            </w:pPr>
            <w:r>
              <w:rPr>
                <w:b w:val="0"/>
                <w:sz w:val="16"/>
              </w:rPr>
              <w:t>Stage response, nonnegative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7.55</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+0.54 to +3.49</w:t>
            </w:r>
          </w:p>
        </w:tc>
      </w:tr>
    </w:tbl>
    <w:p>
      <w:r>
        <w:br w:type="page"/>
      </w:r>
    </w:p>
    <w:p>
      <w:r>
        <w:t>Table S19 | Tunisian leaf-rank models under grouped yield evaluation. Absolute-yield transfer gives the two years equal weight. Within-2019 response is 1 − unprotected yield / source-matched protected yield, with complete mixture compositions or source replicate groups excluded from fitting. The latter tests remain within one environment. Flag-leaf and lower-leaf predictors are observed incidence-weighted lesion percentages; protected severity is unavailable. Cultivar-composition predictors use four source cultivar proportions. The nonnegative model constrains higher damage to lower absolute yield or a larger relative protected-reference gap. One negative measured reference gap remains in all compatible comparisons.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Prediction task</w:t>
            </w:r>
          </w:p>
        </w:tc>
        <w:tc>
          <w:tcPr>
            <w:tcW w:type="dxa" w:w="1610"/>
          </w:tcPr>
          <w:p>
            <w:pPr>
              <w:spacing w:after="40" w:line="240" w:lineRule="auto"/>
            </w:pPr>
            <w:r>
              <w:rPr>
                <w:b/>
                <w:sz w:val="16"/>
              </w:rPr>
              <w:t>Model</w:t>
            </w:r>
          </w:p>
        </w:tc>
        <w:tc>
          <w:tcPr>
            <w:tcW w:type="dxa" w:w="1610"/>
          </w:tcPr>
          <w:p>
            <w:pPr>
              <w:spacing w:after="40" w:line="240" w:lineRule="auto"/>
            </w:pPr>
            <w:r>
              <w:rPr>
                <w:b/>
                <w:sz w:val="16"/>
              </w:rPr>
              <w:t>n / groups</w:t>
            </w:r>
          </w:p>
        </w:tc>
        <w:tc>
          <w:tcPr>
            <w:tcW w:type="dxa" w:w="1610"/>
          </w:tcPr>
          <w:p>
            <w:pPr>
              <w:spacing w:after="40" w:line="240" w:lineRule="auto"/>
            </w:pPr>
            <w:r>
              <w:rPr>
                <w:b/>
                <w:sz w:val="16"/>
              </w:rPr>
              <w:t>RMSE</w:t>
            </w:r>
          </w:p>
        </w:tc>
        <w:tc>
          <w:tcPr>
            <w:tcW w:type="dxa" w:w="1610"/>
          </w:tcPr>
          <w:p>
            <w:pPr>
              <w:spacing w:after="40" w:line="240" w:lineRule="auto"/>
            </w:pPr>
            <w:r>
              <w:rPr>
                <w:b/>
                <w:sz w:val="16"/>
              </w:rPr>
              <w:t>Mean benchmark</w:t>
            </w:r>
          </w:p>
        </w:tc>
        <w:tc>
          <w:tcPr>
            <w:tcW w:type="dxa" w:w="1610"/>
          </w:tcPr>
          <w:p>
            <w:pPr>
              <w:spacing w:after="40" w:line="240" w:lineRule="auto"/>
            </w:pPr>
            <w:r>
              <w:rPr>
                <w:b/>
                <w:sz w:val="16"/>
              </w:rPr>
              <w:t>Units</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3.12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3.27</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3.28</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3.42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10.68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9.92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10.03</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10.12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10.48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10.33</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9.76</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10.02</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9.99</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10.38</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bl>
    <w:p>
      <w:r>
        <w:br w:type="page"/>
      </w:r>
    </w:p>
    <w:p>
      <w:r>
        <w:t>Table S20 | German protection-response models under spatial and temporal transfer. All comparisons use source original site files, matching cultivar, nitrogen and source-coded water regime. The response is 1 − unprotected treatment-mean yield / protected treatment-mean yield. Drought-suffixed references and nonpositive yields are excluded; missing disease measurements are not imputed. Site-year and temporal scores weight site-years equally; geographic transfer weights locations equally. The observed-reduction subset requires recorded severity in both treatment groups, with its own benchmark. Treatment means retain their different disease and yield replicate coverage. These protection responses concern multiple diseases and are not causal estimates of STB-specific loss.</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Population / validation</w:t>
            </w:r>
          </w:p>
        </w:tc>
        <w:tc>
          <w:tcPr>
            <w:tcW w:type="dxa" w:w="1933"/>
          </w:tcPr>
          <w:p>
            <w:pPr>
              <w:spacing w:after="40" w:line="240" w:lineRule="auto"/>
            </w:pPr>
            <w:r>
              <w:rPr>
                <w:b/>
                <w:sz w:val="16"/>
              </w:rPr>
              <w:t>Model</w:t>
            </w:r>
          </w:p>
        </w:tc>
        <w:tc>
          <w:tcPr>
            <w:tcW w:type="dxa" w:w="1933"/>
          </w:tcPr>
          <w:p>
            <w:pPr>
              <w:spacing w:after="40" w:line="240" w:lineRule="auto"/>
            </w:pPr>
            <w:r>
              <w:rPr>
                <w:b/>
                <w:sz w:val="16"/>
              </w:rPr>
              <w:t>n / groups</w:t>
            </w:r>
          </w:p>
        </w:tc>
        <w:tc>
          <w:tcPr>
            <w:tcW w:type="dxa" w:w="1933"/>
          </w:tcPr>
          <w:p>
            <w:pPr>
              <w:spacing w:after="40" w:line="240" w:lineRule="auto"/>
            </w:pPr>
            <w:r>
              <w:rPr>
                <w:b/>
                <w:sz w:val="16"/>
              </w:rPr>
              <w:t>RMSE (pp)</w:t>
            </w:r>
          </w:p>
        </w:tc>
        <w:tc>
          <w:tcPr>
            <w:tcW w:type="dxa" w:w="1933"/>
          </w:tcPr>
          <w:p>
            <w:pPr>
              <w:spacing w:after="40" w:line="240" w:lineRule="auto"/>
            </w:pPr>
            <w:r>
              <w:rPr>
                <w:b/>
                <w:sz w:val="16"/>
              </w:rPr>
              <w:t>Mean benchmark (pp)</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17.57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16.82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17.66</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16.92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18.32</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19.56</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19.63</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17.51</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16.29</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16.47</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17.23</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17.42</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16.95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22.62</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23.45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24.51</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22.37</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22.91</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22.86</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22.94</w:t>
            </w:r>
          </w:p>
        </w:tc>
        <w:tc>
          <w:tcPr>
            <w:tcW w:type="dxa" w:w="1933"/>
          </w:tcPr>
          <w:p>
            <w:pPr>
              <w:spacing w:after="40" w:line="240" w:lineRule="auto"/>
            </w:pPr>
            <w:r>
              <w:rPr>
                <w:b w:val="0"/>
                <w:sz w:val="16"/>
              </w:rPr>
              <w:t>22.37</w:t>
            </w:r>
          </w:p>
        </w:tc>
      </w:tr>
    </w:tbl>
    <w:p>
      <w:r>
        <w:br w:type="page"/>
      </w:r>
    </w:p>
    <w:p>
      <w:r>
        <w:t>Table S21 | European production exposure across scenarios and periods. Fixed SPAM2020 production is located in cells with positive ensemble-mean changes or positive changes in all three climate models. These overlapping quantities are not additive and do not estimate production losses. Regional, fractional source-country and 27-of-30-pair sensitivity results are supplied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Baseline (Mt)</w:t>
            </w:r>
          </w:p>
        </w:tc>
        <w:tc>
          <w:tcPr>
            <w:tcW w:type="dxa" w:w="1380"/>
          </w:tcPr>
          <w:p>
            <w:pPr>
              <w:spacing w:after="40" w:line="240" w:lineRule="auto"/>
            </w:pPr>
            <w:r>
              <w:rPr>
                <w:b/>
                <w:sz w:val="16"/>
              </w:rPr>
              <w:t>Ensemble-increase exposure (Mt)</w:t>
            </w:r>
          </w:p>
        </w:tc>
        <w:tc>
          <w:tcPr>
            <w:tcW w:type="dxa" w:w="1380"/>
          </w:tcPr>
          <w:p>
            <w:pPr>
              <w:spacing w:after="40" w:line="240" w:lineRule="auto"/>
            </w:pPr>
            <w:r>
              <w:rPr>
                <w:b/>
                <w:sz w:val="16"/>
              </w:rPr>
              <w:t>All-model increase exposure (Mt)</w:t>
            </w:r>
          </w:p>
        </w:tc>
        <w:tc>
          <w:tcPr>
            <w:tcW w:type="dxa" w:w="1380"/>
          </w:tcPr>
          <w:p>
            <w:pPr>
              <w:spacing w:after="40" w:line="240" w:lineRule="auto"/>
            </w:pPr>
            <w:r>
              <w:rPr>
                <w:b/>
                <w:sz w:val="16"/>
              </w:rPr>
              <w:t>Unavailable (Mt)</w:t>
            </w:r>
          </w:p>
        </w:tc>
        <w:tc>
          <w:tcPr>
            <w:tcW w:type="dxa" w:w="1380"/>
          </w:tcPr>
          <w:p>
            <w:pPr>
              <w:spacing w:after="40" w:line="240" w:lineRule="auto"/>
            </w:pPr>
            <w:r>
              <w:rPr>
                <w:b/>
                <w:sz w:val="16"/>
              </w:rPr>
              <w:t>Production-weighted HAD change (days)</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232.010</w:t>
            </w:r>
          </w:p>
        </w:tc>
        <w:tc>
          <w:tcPr>
            <w:tcW w:type="dxa" w:w="1380"/>
          </w:tcPr>
          <w:p>
            <w:pPr>
              <w:spacing w:after="40" w:line="240" w:lineRule="auto"/>
            </w:pPr>
            <w:r>
              <w:rPr>
                <w:b w:val="0"/>
                <w:sz w:val="16"/>
              </w:rPr>
              <w:t>98.121</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+1.145</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228.909</w:t>
            </w:r>
          </w:p>
        </w:tc>
        <w:tc>
          <w:tcPr>
            <w:tcW w:type="dxa" w:w="1380"/>
          </w:tcPr>
          <w:p>
            <w:pPr>
              <w:spacing w:after="40" w:line="240" w:lineRule="auto"/>
            </w:pPr>
            <w:r>
              <w:rPr>
                <w:b w:val="0"/>
                <w:sz w:val="16"/>
              </w:rPr>
              <w:t>97.044</w:t>
            </w:r>
          </w:p>
        </w:tc>
        <w:tc>
          <w:tcPr>
            <w:tcW w:type="dxa" w:w="1380"/>
          </w:tcPr>
          <w:p>
            <w:pPr>
              <w:spacing w:after="40" w:line="240" w:lineRule="auto"/>
            </w:pPr>
            <w:r>
              <w:rPr>
                <w:b w:val="0"/>
                <w:sz w:val="16"/>
              </w:rPr>
              <w:t>0.034</w:t>
            </w:r>
          </w:p>
        </w:tc>
        <w:tc>
          <w:tcPr>
            <w:tcW w:type="dxa" w:w="1380"/>
          </w:tcPr>
          <w:p>
            <w:pPr>
              <w:spacing w:after="40" w:line="240" w:lineRule="auto"/>
            </w:pPr>
            <w:r>
              <w:rPr>
                <w:b w:val="0"/>
                <w:sz w:val="16"/>
              </w:rPr>
              <w:t>+1.604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181.824</w:t>
            </w:r>
          </w:p>
        </w:tc>
        <w:tc>
          <w:tcPr>
            <w:tcW w:type="dxa" w:w="1380"/>
          </w:tcPr>
          <w:p>
            <w:pPr>
              <w:spacing w:after="40" w:line="240" w:lineRule="auto"/>
            </w:pPr>
            <w:r>
              <w:rPr>
                <w:b w:val="0"/>
                <w:sz w:val="16"/>
              </w:rPr>
              <w:t>53.256</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+1.000</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212.111</w:t>
            </w:r>
          </w:p>
        </w:tc>
        <w:tc>
          <w:tcPr>
            <w:tcW w:type="dxa" w:w="1380"/>
          </w:tcPr>
          <w:p>
            <w:pPr>
              <w:spacing w:after="40" w:line="240" w:lineRule="auto"/>
            </w:pPr>
            <w:r>
              <w:rPr>
                <w:b w:val="0"/>
                <w:sz w:val="16"/>
              </w:rPr>
              <w:t>118.557</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+1.784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219.614</w:t>
            </w:r>
          </w:p>
        </w:tc>
        <w:tc>
          <w:tcPr>
            <w:tcW w:type="dxa" w:w="1380"/>
          </w:tcPr>
          <w:p>
            <w:pPr>
              <w:spacing w:after="40" w:line="240" w:lineRule="auto"/>
            </w:pPr>
            <w:r>
              <w:rPr>
                <w:b w:val="0"/>
                <w:sz w:val="16"/>
              </w:rPr>
              <w:t>131.046</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+1.836</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194.868</w:t>
            </w:r>
          </w:p>
        </w:tc>
        <w:tc>
          <w:tcPr>
            <w:tcW w:type="dxa" w:w="1380"/>
          </w:tcPr>
          <w:p>
            <w:pPr>
              <w:spacing w:after="40" w:line="240" w:lineRule="auto"/>
            </w:pPr>
            <w:r>
              <w:rPr>
                <w:b w:val="0"/>
                <w:sz w:val="16"/>
              </w:rPr>
              <w:t>162.212</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+3.356</w:t>
            </w:r>
          </w:p>
        </w:tc>
      </w:tr>
    </w:tbl>
    <w:p>
      <w:r>
        <w:br w:type="page"/>
      </w:r>
    </w:p>
    <w:p>
      <w:r>
        <w:t>Table S22 | Crop and symptom timing on identical complete season pairs. Reference and future periods are 1991–2020 and 2071–2100 under SSP5–8.5. All events require finite dates in both seasons. Event dates are elapsed calendar days after sowing; relative symptom timing and grain-fill elapsed duration are date differences. Fixed harvested-area and valid-pair weights precede equal climate-model averaging. All event differences therefore reconcile on the same population.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Event or interval</w:t>
            </w:r>
          </w:p>
        </w:tc>
        <w:tc>
          <w:tcPr>
            <w:tcW w:type="dxa" w:w="1933"/>
          </w:tcPr>
          <w:p>
            <w:pPr>
              <w:spacing w:after="40" w:line="240" w:lineRule="auto"/>
            </w:pPr>
            <w:r>
              <w:rPr>
                <w:b/>
                <w:sz w:val="16"/>
              </w:rPr>
              <w:t>Reference (days)</w:t>
            </w:r>
          </w:p>
        </w:tc>
        <w:tc>
          <w:tcPr>
            <w:tcW w:type="dxa" w:w="1933"/>
          </w:tcPr>
          <w:p>
            <w:pPr>
              <w:spacing w:after="40" w:line="240" w:lineRule="auto"/>
            </w:pPr>
            <w:r>
              <w:rPr>
                <w:b/>
                <w:sz w:val="16"/>
              </w:rPr>
              <w:t>Future (days)</w:t>
            </w:r>
          </w:p>
        </w:tc>
        <w:tc>
          <w:tcPr>
            <w:tcW w:type="dxa" w:w="1933"/>
          </w:tcPr>
          <w:p>
            <w:pPr>
              <w:spacing w:after="40" w:line="240" w:lineRule="auto"/>
            </w:pPr>
            <w:r>
              <w:rPr>
                <w:b/>
                <w:sz w:val="16"/>
              </w:rPr>
              <w:t>Change (days)</w:t>
            </w:r>
          </w:p>
        </w:tc>
        <w:tc>
          <w:tcPr>
            <w:tcW w:type="dxa" w:w="1933"/>
          </w:tcPr>
          <w:p>
            <w:pPr>
              <w:spacing w:after="40" w:line="240" w:lineRule="auto"/>
            </w:pPr>
            <w:r>
              <w:rPr>
                <w:b/>
                <w:sz w:val="16"/>
              </w:rPr>
              <w:t>Climate-model change range (days)</w:t>
            </w:r>
          </w:p>
        </w:tc>
      </w:tr>
      <w:tr>
        <w:tc>
          <w:tcPr>
            <w:tcW w:type="dxa" w:w="1933"/>
          </w:tcPr>
          <w:p>
            <w:pPr>
              <w:spacing w:after="40" w:line="240" w:lineRule="auto"/>
            </w:pPr>
            <w:r>
              <w:rPr>
                <w:b w:val="0"/>
                <w:sz w:val="16"/>
              </w:rPr>
              <w:t>flowering days</w:t>
            </w:r>
          </w:p>
        </w:tc>
        <w:tc>
          <w:tcPr>
            <w:tcW w:type="dxa" w:w="1933"/>
          </w:tcPr>
          <w:p>
            <w:pPr>
              <w:spacing w:after="40" w:line="240" w:lineRule="auto"/>
            </w:pPr>
            <w:r>
              <w:rPr>
                <w:b w:val="0"/>
                <w:sz w:val="16"/>
              </w:rPr>
              <w:t>255.604</w:t>
            </w:r>
          </w:p>
        </w:tc>
        <w:tc>
          <w:tcPr>
            <w:tcW w:type="dxa" w:w="1933"/>
          </w:tcPr>
          <w:p>
            <w:pPr>
              <w:spacing w:after="40" w:line="240" w:lineRule="auto"/>
            </w:pPr>
            <w:r>
              <w:rPr>
                <w:b w:val="0"/>
                <w:sz w:val="16"/>
              </w:rPr>
              <w:t>228.289</w:t>
            </w:r>
          </w:p>
        </w:tc>
        <w:tc>
          <w:tcPr>
            <w:tcW w:type="dxa" w:w="1933"/>
          </w:tcPr>
          <w:p>
            <w:pPr>
              <w:spacing w:after="40" w:line="240" w:lineRule="auto"/>
            </w:pPr>
            <w:r>
              <w:rPr>
                <w:b w:val="0"/>
                <w:sz w:val="16"/>
              </w:rPr>
              <w:t>-27.315</w:t>
            </w:r>
          </w:p>
        </w:tc>
        <w:tc>
          <w:tcPr>
            <w:tcW w:type="dxa" w:w="1933"/>
          </w:tcPr>
          <w:p>
            <w:pPr>
              <w:spacing w:after="40" w:line="240" w:lineRule="auto"/>
            </w:pPr>
            <w:r>
              <w:rPr>
                <w:b w:val="0"/>
                <w:sz w:val="16"/>
              </w:rPr>
              <w:t>-39.366 to -17.165</w:t>
            </w:r>
          </w:p>
        </w:tc>
      </w:tr>
      <w:tr>
        <w:tc>
          <w:tcPr>
            <w:tcW w:type="dxa" w:w="1933"/>
          </w:tcPr>
          <w:p>
            <w:pPr>
              <w:spacing w:after="40" w:line="240" w:lineRule="auto"/>
            </w:pPr>
            <w:r>
              <w:rPr>
                <w:b w:val="0"/>
                <w:sz w:val="16"/>
              </w:rPr>
              <w:t>grain fill elapsed days</w:t>
            </w:r>
          </w:p>
        </w:tc>
        <w:tc>
          <w:tcPr>
            <w:tcW w:type="dxa" w:w="1933"/>
          </w:tcPr>
          <w:p>
            <w:pPr>
              <w:spacing w:after="40" w:line="240" w:lineRule="auto"/>
            </w:pPr>
            <w:r>
              <w:rPr>
                <w:b w:val="0"/>
                <w:sz w:val="16"/>
              </w:rPr>
              <w:t>33.223</w:t>
            </w:r>
          </w:p>
        </w:tc>
        <w:tc>
          <w:tcPr>
            <w:tcW w:type="dxa" w:w="1933"/>
          </w:tcPr>
          <w:p>
            <w:pPr>
              <w:spacing w:after="40" w:line="240" w:lineRule="auto"/>
            </w:pPr>
            <w:r>
              <w:rPr>
                <w:b w:val="0"/>
                <w:sz w:val="16"/>
              </w:rPr>
              <w:t>33.472</w:t>
            </w:r>
          </w:p>
        </w:tc>
        <w:tc>
          <w:tcPr>
            <w:tcW w:type="dxa" w:w="1933"/>
          </w:tcPr>
          <w:p>
            <w:pPr>
              <w:spacing w:after="40" w:line="240" w:lineRule="auto"/>
            </w:pPr>
            <w:r>
              <w:rPr>
                <w:b w:val="0"/>
                <w:sz w:val="16"/>
              </w:rPr>
              <w:t>+0.249</w:t>
            </w:r>
          </w:p>
        </w:tc>
        <w:tc>
          <w:tcPr>
            <w:tcW w:type="dxa" w:w="1933"/>
          </w:tcPr>
          <w:p>
            <w:pPr>
              <w:spacing w:after="40" w:line="240" w:lineRule="auto"/>
            </w:pPr>
            <w:r>
              <w:rPr>
                <w:b w:val="0"/>
                <w:sz w:val="16"/>
              </w:rPr>
              <w:t>-0.491 to +1.192</w:t>
            </w:r>
          </w:p>
        </w:tc>
      </w:tr>
      <w:tr>
        <w:tc>
          <w:tcPr>
            <w:tcW w:type="dxa" w:w="1933"/>
          </w:tcPr>
          <w:p>
            <w:pPr>
              <w:spacing w:after="40" w:line="240" w:lineRule="auto"/>
            </w:pPr>
            <w:r>
              <w:rPr>
                <w:b w:val="0"/>
                <w:sz w:val="16"/>
              </w:rPr>
              <w:t>soft dough days</w:t>
            </w:r>
          </w:p>
        </w:tc>
        <w:tc>
          <w:tcPr>
            <w:tcW w:type="dxa" w:w="1933"/>
          </w:tcPr>
          <w:p>
            <w:pPr>
              <w:spacing w:after="40" w:line="240" w:lineRule="auto"/>
            </w:pPr>
            <w:r>
              <w:rPr>
                <w:b w:val="0"/>
                <w:sz w:val="16"/>
              </w:rPr>
              <w:t>288.827</w:t>
            </w:r>
          </w:p>
        </w:tc>
        <w:tc>
          <w:tcPr>
            <w:tcW w:type="dxa" w:w="1933"/>
          </w:tcPr>
          <w:p>
            <w:pPr>
              <w:spacing w:after="40" w:line="240" w:lineRule="auto"/>
            </w:pPr>
            <w:r>
              <w:rPr>
                <w:b w:val="0"/>
                <w:sz w:val="16"/>
              </w:rPr>
              <w:t>261.761</w:t>
            </w:r>
          </w:p>
        </w:tc>
        <w:tc>
          <w:tcPr>
            <w:tcW w:type="dxa" w:w="1933"/>
          </w:tcPr>
          <w:p>
            <w:pPr>
              <w:spacing w:after="40" w:line="240" w:lineRule="auto"/>
            </w:pPr>
            <w:r>
              <w:rPr>
                <w:b w:val="0"/>
                <w:sz w:val="16"/>
              </w:rPr>
              <w:t>-27.066</w:t>
            </w:r>
          </w:p>
        </w:tc>
        <w:tc>
          <w:tcPr>
            <w:tcW w:type="dxa" w:w="1933"/>
          </w:tcPr>
          <w:p>
            <w:pPr>
              <w:spacing w:after="40" w:line="240" w:lineRule="auto"/>
            </w:pPr>
            <w:r>
              <w:rPr>
                <w:b w:val="0"/>
                <w:sz w:val="16"/>
              </w:rPr>
              <w:t>-38.174 to -17.656</w:t>
            </w:r>
          </w:p>
        </w:tc>
      </w:tr>
      <w:tr>
        <w:tc>
          <w:tcPr>
            <w:tcW w:type="dxa" w:w="1933"/>
          </w:tcPr>
          <w:p>
            <w:pPr>
              <w:spacing w:after="40" w:line="240" w:lineRule="auto"/>
            </w:pPr>
            <w:r>
              <w:rPr>
                <w:b w:val="0"/>
                <w:sz w:val="16"/>
              </w:rPr>
              <w:t>symptom days</w:t>
            </w:r>
          </w:p>
        </w:tc>
        <w:tc>
          <w:tcPr>
            <w:tcW w:type="dxa" w:w="1933"/>
          </w:tcPr>
          <w:p>
            <w:pPr>
              <w:spacing w:after="40" w:line="240" w:lineRule="auto"/>
            </w:pPr>
            <w:r>
              <w:rPr>
                <w:b w:val="0"/>
                <w:sz w:val="16"/>
              </w:rPr>
              <w:t>246.100</w:t>
            </w:r>
          </w:p>
        </w:tc>
        <w:tc>
          <w:tcPr>
            <w:tcW w:type="dxa" w:w="1933"/>
          </w:tcPr>
          <w:p>
            <w:pPr>
              <w:spacing w:after="40" w:line="240" w:lineRule="auto"/>
            </w:pPr>
            <w:r>
              <w:rPr>
                <w:b w:val="0"/>
                <w:sz w:val="16"/>
              </w:rPr>
              <w:t>215.322</w:t>
            </w:r>
          </w:p>
        </w:tc>
        <w:tc>
          <w:tcPr>
            <w:tcW w:type="dxa" w:w="1933"/>
          </w:tcPr>
          <w:p>
            <w:pPr>
              <w:spacing w:after="40" w:line="240" w:lineRule="auto"/>
            </w:pPr>
            <w:r>
              <w:rPr>
                <w:b w:val="0"/>
                <w:sz w:val="16"/>
              </w:rPr>
              <w:t>-30.778</w:t>
            </w:r>
          </w:p>
        </w:tc>
        <w:tc>
          <w:tcPr>
            <w:tcW w:type="dxa" w:w="1933"/>
          </w:tcPr>
          <w:p>
            <w:pPr>
              <w:spacing w:after="40" w:line="240" w:lineRule="auto"/>
            </w:pPr>
            <w:r>
              <w:rPr>
                <w:b w:val="0"/>
                <w:sz w:val="16"/>
              </w:rPr>
              <w:t>-45.386 to -18.737</w:t>
            </w:r>
          </w:p>
        </w:tc>
      </w:tr>
      <w:tr>
        <w:tc>
          <w:tcPr>
            <w:tcW w:type="dxa" w:w="1933"/>
          </w:tcPr>
          <w:p>
            <w:pPr>
              <w:spacing w:after="40" w:line="240" w:lineRule="auto"/>
            </w:pPr>
            <w:r>
              <w:rPr>
                <w:b w:val="0"/>
                <w:sz w:val="16"/>
              </w:rPr>
              <w:t>symptom relative flowering days</w:t>
            </w:r>
          </w:p>
        </w:tc>
        <w:tc>
          <w:tcPr>
            <w:tcW w:type="dxa" w:w="1933"/>
          </w:tcPr>
          <w:p>
            <w:pPr>
              <w:spacing w:after="40" w:line="240" w:lineRule="auto"/>
            </w:pPr>
            <w:r>
              <w:rPr>
                <w:b w:val="0"/>
                <w:sz w:val="16"/>
              </w:rPr>
              <w:t>-9.504</w:t>
            </w:r>
          </w:p>
        </w:tc>
        <w:tc>
          <w:tcPr>
            <w:tcW w:type="dxa" w:w="1933"/>
          </w:tcPr>
          <w:p>
            <w:pPr>
              <w:spacing w:after="40" w:line="240" w:lineRule="auto"/>
            </w:pPr>
            <w:r>
              <w:rPr>
                <w:b w:val="0"/>
                <w:sz w:val="16"/>
              </w:rPr>
              <w:t>-12.968</w:t>
            </w:r>
          </w:p>
        </w:tc>
        <w:tc>
          <w:tcPr>
            <w:tcW w:type="dxa" w:w="1933"/>
          </w:tcPr>
          <w:p>
            <w:pPr>
              <w:spacing w:after="40" w:line="240" w:lineRule="auto"/>
            </w:pPr>
            <w:r>
              <w:rPr>
                <w:b w:val="0"/>
                <w:sz w:val="16"/>
              </w:rPr>
              <w:t>-3.463</w:t>
            </w:r>
          </w:p>
        </w:tc>
        <w:tc>
          <w:tcPr>
            <w:tcW w:type="dxa" w:w="1933"/>
          </w:tcPr>
          <w:p>
            <w:pPr>
              <w:spacing w:after="40" w:line="240" w:lineRule="auto"/>
            </w:pPr>
            <w:r>
              <w:rPr>
                <w:b w:val="0"/>
                <w:sz w:val="16"/>
              </w:rPr>
              <w:t>-6.020 to -1.572</w:t>
            </w:r>
          </w:p>
        </w:tc>
      </w:tr>
    </w:tbl>
    <w:p>
      <w:r>
        <w:br w:type="page"/>
      </w:r>
    </w:p>
    <w:p>
      <w:r>
        <w:t>Table S23 | Decision relevance and unresolved evidence requirements. Production exposure supports conditional prioritization of observation and evaluation. The weather–phenology decomposition does not estimate management efficacy, and baseline production located in exposed cells does not measure lost tonnes.</w:t>
      </w:r>
    </w:p>
    <w:tbl>
      <w:tblPr>
        <w:tblStyle w:val="TableGrid"/>
        <w:tblW w:type="auto" w:w="0"/>
        <w:tblLook w:firstColumn="1" w:firstRow="1" w:lastColumn="0" w:lastRow="0" w:noHBand="0" w:noVBand="1" w:val="04A0"/>
      </w:tblPr>
      <w:tblGrid>
        <w:gridCol w:w="3221"/>
        <w:gridCol w:w="3221"/>
        <w:gridCol w:w="3221"/>
      </w:tblGrid>
      <w:tr>
        <w:tc>
          <w:tcPr>
            <w:tcW w:type="dxa" w:w="3221"/>
          </w:tcPr>
          <w:p>
            <w:pPr>
              <w:spacing w:after="40" w:line="240" w:lineRule="auto"/>
            </w:pPr>
            <w:r>
              <w:rPr>
                <w:b/>
                <w:sz w:val="16"/>
              </w:rPr>
              <w:t>Decision</w:t>
            </w:r>
          </w:p>
        </w:tc>
        <w:tc>
          <w:tcPr>
            <w:tcW w:type="dxa" w:w="3221"/>
          </w:tcPr>
          <w:p>
            <w:pPr>
              <w:spacing w:after="40" w:line="240" w:lineRule="auto"/>
            </w:pPr>
            <w:r>
              <w:rPr>
                <w:b/>
                <w:sz w:val="16"/>
              </w:rPr>
              <w:t>Evidence available</w:t>
            </w:r>
          </w:p>
        </w:tc>
        <w:tc>
          <w:tcPr>
            <w:tcW w:type="dxa" w:w="3221"/>
          </w:tcPr>
          <w:p>
            <w:pPr>
              <w:spacing w:after="40" w:line="240" w:lineRule="auto"/>
            </w:pPr>
            <w:r>
              <w:rPr>
                <w:b/>
                <w:sz w:val="16"/>
              </w:rPr>
              <w:t>Additional evidence required</w:t>
            </w:r>
          </w:p>
        </w:tc>
      </w:tr>
      <w:tr>
        <w:tc>
          <w:tcPr>
            <w:tcW w:type="dxa" w:w="3221"/>
          </w:tcPr>
          <w:p>
            <w:pPr>
              <w:spacing w:after="40" w:line="240" w:lineRule="auto"/>
            </w:pPr>
            <w:r>
              <w:rPr>
                <w:b w:val="0"/>
                <w:sz w:val="16"/>
              </w:rPr>
              <w:t>Regional surveillance and field-trial coverage</w:t>
            </w:r>
          </w:p>
        </w:tc>
        <w:tc>
          <w:tcPr>
            <w:tcW w:type="dxa" w:w="3221"/>
          </w:tcPr>
          <w:p>
            <w:pPr>
              <w:spacing w:after="40" w:line="240" w:lineRule="auto"/>
            </w:pPr>
            <w:r>
              <w:rPr>
                <w:b w:val="0"/>
                <w:sz w:val="16"/>
              </w:rPr>
              <w:t>Production exposure, projected damage direction and climate-model disagreement</w:t>
            </w:r>
          </w:p>
        </w:tc>
        <w:tc>
          <w:tcPr>
            <w:tcW w:type="dxa" w:w="3221"/>
          </w:tcPr>
          <w:p>
            <w:pPr>
              <w:spacing w:after="40" w:line="240" w:lineRule="auto"/>
            </w:pPr>
            <w:r>
              <w:rPr>
                <w:b w:val="0"/>
                <w:sz w:val="16"/>
              </w:rPr>
              <w:t>Field verification; separate winter/spring and rainfed/irrigated wheat representation</w:t>
            </w:r>
          </w:p>
        </w:tc>
      </w:tr>
      <w:tr>
        <w:tc>
          <w:tcPr>
            <w:tcW w:type="dxa" w:w="3221"/>
          </w:tcPr>
          <w:p>
            <w:pPr>
              <w:spacing w:after="40" w:line="240" w:lineRule="auto"/>
            </w:pPr>
            <w:r>
              <w:rPr>
                <w:b w:val="0"/>
                <w:sz w:val="16"/>
              </w:rPr>
              <w:t>Sowing-date or cultivar choice</w:t>
            </w:r>
          </w:p>
        </w:tc>
        <w:tc>
          <w:tcPr>
            <w:tcW w:type="dxa" w:w="3221"/>
          </w:tcPr>
          <w:p>
            <w:pPr>
              <w:spacing w:after="40" w:line="240" w:lineRule="auto"/>
            </w:pPr>
            <w:r>
              <w:rPr>
                <w:b w:val="0"/>
                <w:sz w:val="16"/>
              </w:rPr>
              <w:t>Climate-driven timing shifts and model decomposition</w:t>
            </w:r>
          </w:p>
        </w:tc>
        <w:tc>
          <w:tcPr>
            <w:tcW w:type="dxa" w:w="3221"/>
          </w:tcPr>
          <w:p>
            <w:pPr>
              <w:spacing w:after="40" w:line="240" w:lineRule="auto"/>
            </w:pPr>
            <w:r>
              <w:rPr>
                <w:b w:val="0"/>
                <w:sz w:val="16"/>
              </w:rPr>
              <w:t>Feasible management comparisons with grain yield, heat/water exposure and costs</w:t>
            </w:r>
          </w:p>
        </w:tc>
      </w:tr>
      <w:tr>
        <w:tc>
          <w:tcPr>
            <w:tcW w:type="dxa" w:w="3221"/>
          </w:tcPr>
          <w:p>
            <w:pPr>
              <w:spacing w:after="40" w:line="240" w:lineRule="auto"/>
            </w:pPr>
            <w:r>
              <w:rPr>
                <w:b w:val="0"/>
                <w:sz w:val="16"/>
              </w:rPr>
              <w:t>Disease-attributable grain loss</w:t>
            </w:r>
          </w:p>
        </w:tc>
        <w:tc>
          <w:tcPr>
            <w:tcW w:type="dxa" w:w="3221"/>
          </w:tcPr>
          <w:p>
            <w:pPr>
              <w:spacing w:after="40" w:line="240" w:lineRule="auto"/>
            </w:pPr>
            <w:r>
              <w:rPr>
                <w:b w:val="0"/>
                <w:sz w:val="16"/>
              </w:rPr>
              <w:t>Conditional canopy damage; limited treatment-mean yield evidence</w:t>
            </w:r>
          </w:p>
        </w:tc>
        <w:tc>
          <w:tcPr>
            <w:tcW w:type="dxa" w:w="3221"/>
          </w:tcPr>
          <w:p>
            <w:pPr>
              <w:spacing w:after="40" w:line="240" w:lineRule="auto"/>
            </w:pPr>
            <w:r>
              <w:rPr>
                <w:b w:val="0"/>
                <w:sz w:val="16"/>
              </w:rPr>
              <w:t>Matched functional canopy and harvest observations; independent crop-growth and disease-loss evaluation</w:t>
            </w:r>
          </w:p>
        </w:tc>
      </w:tr>
      <w:tr>
        <w:tc>
          <w:tcPr>
            <w:tcW w:type="dxa" w:w="3221"/>
          </w:tcPr>
          <w:p>
            <w:pPr>
              <w:spacing w:after="40" w:line="240" w:lineRule="auto"/>
            </w:pPr>
            <w:r>
              <w:rPr>
                <w:b w:val="0"/>
                <w:sz w:val="16"/>
              </w:rPr>
              <w:t>Avoided production loss or input-reduction targets</w:t>
            </w:r>
          </w:p>
        </w:tc>
        <w:tc>
          <w:tcPr>
            <w:tcW w:type="dxa" w:w="3221"/>
          </w:tcPr>
          <w:p>
            <w:pPr>
              <w:spacing w:after="40" w:line="240" w:lineRule="auto"/>
            </w:pPr>
            <w:r>
              <w:rPr>
                <w:b w:val="0"/>
                <w:sz w:val="16"/>
              </w:rPr>
              <w:t>No validated intervention-effect estimate</w:t>
            </w:r>
          </w:p>
        </w:tc>
        <w:tc>
          <w:tcPr>
            <w:tcW w:type="dxa" w:w="3221"/>
          </w:tcPr>
          <w:p>
            <w:pPr>
              <w:spacing w:after="40" w:line="240" w:lineRule="auto"/>
            </w:pPr>
            <w:r>
              <w:rPr>
                <w:b w:val="0"/>
                <w:sz w:val="16"/>
              </w:rPr>
              <w:t>Paired crop-growth scenarios with and without disease, field intervention trials and implementation costs</w:t>
            </w:r>
          </w:p>
        </w:tc>
      </w:tr>
    </w:tbl>
    <w:p>
      <w:r>
        <w:br w:type="page"/>
      </w:r>
    </w:p>
    <w:p>
      <w:r>
        <w:t>Table S24 | Measurement compatibility and evidence requirements for grain-loss and adaptation claims. Availability of observed grain yield supplies a prediction target; it does not establish a validated crop–disease–yield chain. Ordinal ratings remain source-specific categories. The inventory contains 948 additional unique plot harvests, including 724 Swiss plots and 224 French plots; no additional compatible functional-canopy series or identified STB-specific yield counterfactual was found. Source metadata, units, duplicate checks and raw-yield reconciliation are retained in Source Data and the public source subset.</w:t>
      </w:r>
    </w:p>
    <w:tbl>
      <w:tblPr>
        <w:tblStyle w:val="TableGrid"/>
        <w:tblW w:type="auto" w:w="0"/>
        <w:tblLook w:firstColumn="1" w:firstRow="1" w:lastColumn="0" w:lastRow="0" w:noHBand="0" w:noVBand="1" w:val="04A0"/>
      </w:tblPr>
      <w:tblGrid>
        <w:gridCol w:w="3221"/>
        <w:gridCol w:w="3221"/>
        <w:gridCol w:w="3221"/>
      </w:tblGrid>
      <w:tr>
        <w:tc>
          <w:tcPr>
            <w:tcW w:type="dxa" w:w="3221"/>
          </w:tcPr>
          <w:p>
            <w:pPr>
              <w:spacing w:after="40" w:line="240" w:lineRule="auto"/>
            </w:pPr>
            <w:r>
              <w:rPr>
                <w:b/>
                <w:sz w:val="16"/>
              </w:rPr>
              <w:t>Quantity</w:t>
            </w:r>
          </w:p>
        </w:tc>
        <w:tc>
          <w:tcPr>
            <w:tcW w:type="dxa" w:w="3221"/>
          </w:tcPr>
          <w:p>
            <w:pPr>
              <w:spacing w:after="40" w:line="240" w:lineRule="auto"/>
            </w:pPr>
            <w:r>
              <w:rPr>
                <w:b/>
                <w:sz w:val="16"/>
              </w:rPr>
              <w:t>Available evidence</w:t>
            </w:r>
          </w:p>
        </w:tc>
        <w:tc>
          <w:tcPr>
            <w:tcW w:type="dxa" w:w="3221"/>
          </w:tcPr>
          <w:p>
            <w:pPr>
              <w:spacing w:after="40" w:line="240" w:lineRule="auto"/>
            </w:pPr>
            <w:r>
              <w:rPr>
                <w:b/>
                <w:sz w:val="16"/>
              </w:rPr>
              <w:t>Missing evidence for the main inference</w:t>
            </w:r>
          </w:p>
        </w:tc>
      </w:tr>
      <w:tr>
        <w:tc>
          <w:tcPr>
            <w:tcW w:type="dxa" w:w="3221"/>
          </w:tcPr>
          <w:p>
            <w:pPr>
              <w:spacing w:after="40" w:line="240" w:lineRule="auto"/>
            </w:pPr>
            <w:r>
              <w:rPr>
                <w:b w:val="0"/>
                <w:sz w:val="16"/>
              </w:rPr>
              <w:t>disease</w:t>
            </w:r>
          </w:p>
        </w:tc>
        <w:tc>
          <w:tcPr>
            <w:tcW w:type="dxa" w:w="3221"/>
          </w:tcPr>
          <w:p>
            <w:pPr>
              <w:spacing w:after="40" w:line="240" w:lineRule="auto"/>
            </w:pPr>
            <w:r>
              <w:rPr>
                <w:b w:val="0"/>
                <w:sz w:val="16"/>
              </w:rPr>
              <w:t>Observed source-specific disease ratings and existing external disease/response benchmarks</w:t>
            </w:r>
          </w:p>
        </w:tc>
        <w:tc>
          <w:tcPr>
            <w:tcW w:type="dxa" w:w="3221"/>
          </w:tcPr>
          <w:p>
            <w:pPr>
              <w:spacing w:after="40" w:line="240" w:lineRule="auto"/>
            </w:pPr>
            <w:r>
              <w:rPr>
                <w:b w:val="0"/>
                <w:sz w:val="16"/>
              </w:rPr>
              <w:t>Dated repeated quantitative leaf-area severity, leaf ranks and observation functions for canopy-linked validation</w:t>
            </w:r>
          </w:p>
        </w:tc>
      </w:tr>
      <w:tr>
        <w:tc>
          <w:tcPr>
            <w:tcW w:type="dxa" w:w="3221"/>
          </w:tcPr>
          <w:p>
            <w:pPr>
              <w:spacing w:after="40" w:line="240" w:lineRule="auto"/>
            </w:pPr>
            <w:r>
              <w:rPr>
                <w:b w:val="0"/>
                <w:sz w:val="16"/>
              </w:rPr>
              <w:t>HAD</w:t>
            </w:r>
          </w:p>
        </w:tc>
        <w:tc>
          <w:tcPr>
            <w:tcW w:type="dxa" w:w="3221"/>
          </w:tcPr>
          <w:p>
            <w:pPr>
              <w:spacing w:after="40" w:line="240" w:lineRule="auto"/>
            </w:pPr>
            <w:r>
              <w:rPr>
                <w:b w:val="0"/>
                <w:sz w:val="16"/>
              </w:rPr>
              <w:t>Conditional proxy diagnostics and archived physiological summaries only</w:t>
            </w:r>
          </w:p>
        </w:tc>
        <w:tc>
          <w:tcPr>
            <w:tcW w:type="dxa" w:w="3221"/>
          </w:tcPr>
          <w:p>
            <w:pPr>
              <w:spacing w:after="40" w:line="240" w:lineRule="auto"/>
            </w:pPr>
            <w:r>
              <w:rPr>
                <w:b w:val="0"/>
                <w:sz w:val="16"/>
              </w:rPr>
              <w:t>Repeated dated functional green/reference LAI by leaf rank across anthesis to maturity, measured senescence and uncertainty</w:t>
            </w:r>
          </w:p>
        </w:tc>
      </w:tr>
      <w:tr>
        <w:tc>
          <w:tcPr>
            <w:tcW w:type="dxa" w:w="3221"/>
          </w:tcPr>
          <w:p>
            <w:pPr>
              <w:spacing w:after="40" w:line="240" w:lineRule="auto"/>
            </w:pPr>
            <w:r>
              <w:rPr>
                <w:b w:val="0"/>
                <w:sz w:val="16"/>
              </w:rPr>
              <w:t>grain yield</w:t>
            </w:r>
          </w:p>
        </w:tc>
        <w:tc>
          <w:tcPr>
            <w:tcW w:type="dxa" w:w="3221"/>
          </w:tcPr>
          <w:p>
            <w:pPr>
              <w:spacing w:after="40" w:line="240" w:lineRule="auto"/>
            </w:pPr>
            <w:r>
              <w:rPr>
                <w:b w:val="0"/>
                <w:sz w:val="16"/>
              </w:rPr>
              <w:t>948 unique observed plot harvests: 724 Swiss and 224 French; existing benchmarks retained</w:t>
            </w:r>
          </w:p>
        </w:tc>
        <w:tc>
          <w:tcPr>
            <w:tcW w:type="dxa" w:w="3221"/>
          </w:tcPr>
          <w:p>
            <w:pPr>
              <w:spacing w:after="40" w:line="240" w:lineRule="auto"/>
            </w:pPr>
            <w:r>
              <w:rPr>
                <w:b w:val="0"/>
                <w:sz w:val="16"/>
              </w:rPr>
              <w:t>Matched canopy/phenology/weather/soil/management and independent yield predictions for end-to-end crop-model validation</w:t>
            </w:r>
          </w:p>
        </w:tc>
      </w:tr>
      <w:tr>
        <w:tc>
          <w:tcPr>
            <w:tcW w:type="dxa" w:w="3221"/>
          </w:tcPr>
          <w:p>
            <w:pPr>
              <w:spacing w:after="40" w:line="240" w:lineRule="auto"/>
            </w:pPr>
            <w:r>
              <w:rPr>
                <w:b w:val="0"/>
                <w:sz w:val="16"/>
              </w:rPr>
              <w:t>grain loss</w:t>
            </w:r>
          </w:p>
        </w:tc>
        <w:tc>
          <w:tcPr>
            <w:tcW w:type="dxa" w:w="3221"/>
          </w:tcPr>
          <w:p>
            <w:pPr>
              <w:spacing w:after="40" w:line="240" w:lineRule="auto"/>
            </w:pPr>
            <w:r>
              <w:rPr>
                <w:b w:val="0"/>
                <w:sz w:val="16"/>
              </w:rPr>
              <w:t>Existing treatment-associated yield responses; new sources lack an identified STB yield counterfactual</w:t>
            </w:r>
          </w:p>
        </w:tc>
        <w:tc>
          <w:tcPr>
            <w:tcW w:type="dxa" w:w="3221"/>
          </w:tcPr>
          <w:p>
            <w:pPr>
              <w:spacing w:after="40" w:line="240" w:lineRule="auto"/>
            </w:pPr>
            <w:r>
              <w:rPr>
                <w:b w:val="0"/>
                <w:sz w:val="16"/>
              </w:rPr>
              <w:t>Comparable randomized/matched reference and exposed plots with measured disease in both, functional canopy, harvest and other stresses</w:t>
            </w:r>
          </w:p>
        </w:tc>
      </w:tr>
      <w:tr>
        <w:tc>
          <w:tcPr>
            <w:tcW w:type="dxa" w:w="3221"/>
          </w:tcPr>
          <w:p>
            <w:pPr>
              <w:spacing w:after="40" w:line="240" w:lineRule="auto"/>
            </w:pPr>
            <w:r>
              <w:rPr>
                <w:b w:val="0"/>
                <w:sz w:val="16"/>
              </w:rPr>
              <w:t>tonnes</w:t>
            </w:r>
          </w:p>
        </w:tc>
        <w:tc>
          <w:tcPr>
            <w:tcW w:type="dxa" w:w="3221"/>
          </w:tcPr>
          <w:p>
            <w:pPr>
              <w:spacing w:after="40" w:line="240" w:lineRule="auto"/>
            </w:pPr>
            <w:r>
              <w:rPr>
                <w:b w:val="0"/>
                <w:sz w:val="16"/>
              </w:rPr>
              <w:t>Conditional scenarios only; no validated regional grain-loss conversion</w:t>
            </w:r>
          </w:p>
        </w:tc>
        <w:tc>
          <w:tcPr>
            <w:tcW w:type="dxa" w:w="3221"/>
          </w:tcPr>
          <w:p>
            <w:pPr>
              <w:spacing w:after="40" w:line="240" w:lineRule="auto"/>
            </w:pPr>
            <w:r>
              <w:rPr>
                <w:b w:val="0"/>
                <w:sz w:val="16"/>
              </w:rPr>
              <w:t>Validated absolute yield changes, crop area and production baselines, moisture consistency, spatial representativeness and uncertainty</w:t>
            </w:r>
          </w:p>
        </w:tc>
      </w:tr>
      <w:tr>
        <w:tc>
          <w:tcPr>
            <w:tcW w:type="dxa" w:w="3221"/>
          </w:tcPr>
          <w:p>
            <w:pPr>
              <w:spacing w:after="40" w:line="240" w:lineRule="auto"/>
            </w:pPr>
            <w:r>
              <w:rPr>
                <w:b w:val="0"/>
                <w:sz w:val="16"/>
              </w:rPr>
              <w:t>adaptation</w:t>
            </w:r>
          </w:p>
        </w:tc>
        <w:tc>
          <w:tcPr>
            <w:tcW w:type="dxa" w:w="3221"/>
          </w:tcPr>
          <w:p>
            <w:pPr>
              <w:spacing w:after="40" w:line="240" w:lineRule="auto"/>
            </w:pPr>
            <w:r>
              <w:rPr>
                <w:b w:val="0"/>
                <w:sz w:val="16"/>
              </w:rPr>
              <w:t>Recorded mixture composition and management; existing treatment-response comparisons</w:t>
            </w:r>
          </w:p>
        </w:tc>
        <w:tc>
          <w:tcPr>
            <w:tcW w:type="dxa" w:w="3221"/>
          </w:tcPr>
          <w:p>
            <w:pPr>
              <w:spacing w:after="40" w:line="240" w:lineRule="auto"/>
            </w:pPr>
            <w:r>
              <w:rPr>
                <w:b w:val="0"/>
                <w:sz w:val="16"/>
              </w:rPr>
              <w:t>Replicated feasible intervention contrasts with matched physiology, yield, multiple environments and implementation/cost constraints</w:t>
            </w:r>
          </w:p>
        </w:tc>
      </w:tr>
    </w:tbl>
    <w:p>
      <w:r>
        <w:br w:type="page"/>
      </w:r>
    </w:p>
    <w:p>
      <w:r>
        <w:t>Table S25 | Exploratory Swiss harvest-yield prediction across sites and site-years. All six fixed models use the same 724 plot harvests across ten site-years at five sites, with each site-year receiving equal evaluation weight. Whole-site validation is primary; site-year validation is secondary. Encodings and fitting are restricted to each training fold. STB and other disease ratings remain ordinal categories; disease dates are unavailable. Cultivar identities can recur across folds. The protocol was specified after source inspection and before fitting, without external preregistration. Five-site descriptive resampling of the incremental STB comparison includes both improvement and deterioration. These retrospective associations do not identify STB-attributable yield loss or management efficacy.</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Held-out group</w:t>
            </w:r>
          </w:p>
        </w:tc>
        <w:tc>
          <w:tcPr>
            <w:tcW w:type="dxa" w:w="1933"/>
          </w:tcPr>
          <w:p>
            <w:pPr>
              <w:spacing w:after="40" w:line="240" w:lineRule="auto"/>
            </w:pPr>
            <w:r>
              <w:rPr>
                <w:b/>
                <w:sz w:val="16"/>
              </w:rPr>
              <w:t>Predictors</w:t>
            </w:r>
          </w:p>
        </w:tc>
        <w:tc>
          <w:tcPr>
            <w:tcW w:type="dxa" w:w="1933"/>
          </w:tcPr>
          <w:p>
            <w:pPr>
              <w:spacing w:after="40" w:line="240" w:lineRule="auto"/>
            </w:pPr>
            <w:r>
              <w:rPr>
                <w:b/>
                <w:sz w:val="16"/>
              </w:rPr>
              <w:t>Yield RMSE (t ha⁻¹)</w:t>
            </w:r>
          </w:p>
        </w:tc>
        <w:tc>
          <w:tcPr>
            <w:tcW w:type="dxa" w:w="1933"/>
          </w:tcPr>
          <w:p>
            <w:pPr>
              <w:spacing w:after="40" w:line="240" w:lineRule="auto"/>
            </w:pPr>
            <w:r>
              <w:rPr>
                <w:b/>
                <w:sz w:val="16"/>
              </w:rPr>
              <w:t>Yield MAE (t ha⁻¹)</w:t>
            </w:r>
          </w:p>
        </w:tc>
        <w:tc>
          <w:tcPr>
            <w:tcW w:type="dxa" w:w="1933"/>
          </w:tcPr>
          <w:p>
            <w:pPr>
              <w:spacing w:after="40" w:line="240" w:lineRule="auto"/>
            </w:pPr>
            <w:r>
              <w:rPr>
                <w:b/>
                <w:sz w:val="16"/>
              </w:rPr>
              <w:t>MSE skill versus training mean</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w:t>
            </w:r>
          </w:p>
        </w:tc>
        <w:tc>
          <w:tcPr>
            <w:tcW w:type="dxa" w:w="1933"/>
          </w:tcPr>
          <w:p>
            <w:pPr>
              <w:spacing w:after="40" w:line="240" w:lineRule="auto"/>
            </w:pPr>
            <w:r>
              <w:rPr>
                <w:b w:val="0"/>
                <w:sz w:val="16"/>
              </w:rPr>
              <w:t>0.914</w:t>
            </w:r>
          </w:p>
        </w:tc>
        <w:tc>
          <w:tcPr>
            <w:tcW w:type="dxa" w:w="1933"/>
          </w:tcPr>
          <w:p>
            <w:pPr>
              <w:spacing w:after="40" w:line="240" w:lineRule="auto"/>
            </w:pPr>
            <w:r>
              <w:rPr>
                <w:b w:val="0"/>
                <w:sz w:val="16"/>
              </w:rPr>
              <w:t>0.757</w:t>
            </w:r>
          </w:p>
        </w:tc>
        <w:tc>
          <w:tcPr>
            <w:tcW w:type="dxa" w:w="1933"/>
          </w:tcPr>
          <w:p>
            <w:pPr>
              <w:spacing w:after="40" w:line="240" w:lineRule="auto"/>
            </w:pPr>
            <w:r>
              <w:rPr>
                <w:b w:val="0"/>
                <w:sz w:val="16"/>
              </w:rPr>
              <w:t>0.359</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other diseases</w:t>
            </w:r>
          </w:p>
        </w:tc>
        <w:tc>
          <w:tcPr>
            <w:tcW w:type="dxa" w:w="1933"/>
          </w:tcPr>
          <w:p>
            <w:pPr>
              <w:spacing w:after="40" w:line="240" w:lineRule="auto"/>
            </w:pPr>
            <w:r>
              <w:rPr>
                <w:b w:val="0"/>
                <w:sz w:val="16"/>
              </w:rPr>
              <w:t>0.951</w:t>
            </w:r>
          </w:p>
        </w:tc>
        <w:tc>
          <w:tcPr>
            <w:tcW w:type="dxa" w:w="1933"/>
          </w:tcPr>
          <w:p>
            <w:pPr>
              <w:spacing w:after="40" w:line="240" w:lineRule="auto"/>
            </w:pPr>
            <w:r>
              <w:rPr>
                <w:b w:val="0"/>
                <w:sz w:val="16"/>
              </w:rPr>
              <w:t>0.757</w:t>
            </w:r>
          </w:p>
        </w:tc>
        <w:tc>
          <w:tcPr>
            <w:tcW w:type="dxa" w:w="1933"/>
          </w:tcPr>
          <w:p>
            <w:pPr>
              <w:spacing w:after="40" w:line="240" w:lineRule="auto"/>
            </w:pPr>
            <w:r>
              <w:rPr>
                <w:b w:val="0"/>
                <w:sz w:val="16"/>
              </w:rPr>
              <w:t>0.306</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other diseases + STB</w:t>
            </w:r>
          </w:p>
        </w:tc>
        <w:tc>
          <w:tcPr>
            <w:tcW w:type="dxa" w:w="1933"/>
          </w:tcPr>
          <w:p>
            <w:pPr>
              <w:spacing w:after="40" w:line="240" w:lineRule="auto"/>
            </w:pPr>
            <w:r>
              <w:rPr>
                <w:b w:val="0"/>
                <w:sz w:val="16"/>
              </w:rPr>
              <w:t>0.932</w:t>
            </w:r>
          </w:p>
        </w:tc>
        <w:tc>
          <w:tcPr>
            <w:tcW w:type="dxa" w:w="1933"/>
          </w:tcPr>
          <w:p>
            <w:pPr>
              <w:spacing w:after="40" w:line="240" w:lineRule="auto"/>
            </w:pPr>
            <w:r>
              <w:rPr>
                <w:b w:val="0"/>
                <w:sz w:val="16"/>
              </w:rPr>
              <w:t>0.743</w:t>
            </w:r>
          </w:p>
        </w:tc>
        <w:tc>
          <w:tcPr>
            <w:tcW w:type="dxa" w:w="1933"/>
          </w:tcPr>
          <w:p>
            <w:pPr>
              <w:spacing w:after="40" w:line="240" w:lineRule="auto"/>
            </w:pPr>
            <w:r>
              <w:rPr>
                <w:b w:val="0"/>
                <w:sz w:val="16"/>
              </w:rPr>
              <w:t>0.334</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STB</w:t>
            </w:r>
          </w:p>
        </w:tc>
        <w:tc>
          <w:tcPr>
            <w:tcW w:type="dxa" w:w="1933"/>
          </w:tcPr>
          <w:p>
            <w:pPr>
              <w:spacing w:after="40" w:line="240" w:lineRule="auto"/>
            </w:pPr>
            <w:r>
              <w:rPr>
                <w:b w:val="0"/>
                <w:sz w:val="16"/>
              </w:rPr>
              <w:t>0.877</w:t>
            </w:r>
          </w:p>
        </w:tc>
        <w:tc>
          <w:tcPr>
            <w:tcW w:type="dxa" w:w="1933"/>
          </w:tcPr>
          <w:p>
            <w:pPr>
              <w:spacing w:after="40" w:line="240" w:lineRule="auto"/>
            </w:pPr>
            <w:r>
              <w:rPr>
                <w:b w:val="0"/>
                <w:sz w:val="16"/>
              </w:rPr>
              <w:t>0.706</w:t>
            </w:r>
          </w:p>
        </w:tc>
        <w:tc>
          <w:tcPr>
            <w:tcW w:type="dxa" w:w="1933"/>
          </w:tcPr>
          <w:p>
            <w:pPr>
              <w:spacing w:after="40" w:line="240" w:lineRule="auto"/>
            </w:pPr>
            <w:r>
              <w:rPr>
                <w:b w:val="0"/>
                <w:sz w:val="16"/>
              </w:rPr>
              <w:t>0.410</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Ordinal STB</w:t>
            </w:r>
          </w:p>
        </w:tc>
        <w:tc>
          <w:tcPr>
            <w:tcW w:type="dxa" w:w="1933"/>
          </w:tcPr>
          <w:p>
            <w:pPr>
              <w:spacing w:after="40" w:line="240" w:lineRule="auto"/>
            </w:pPr>
            <w:r>
              <w:rPr>
                <w:b w:val="0"/>
                <w:sz w:val="16"/>
              </w:rPr>
              <w:t>0.926</w:t>
            </w:r>
          </w:p>
        </w:tc>
        <w:tc>
          <w:tcPr>
            <w:tcW w:type="dxa" w:w="1933"/>
          </w:tcPr>
          <w:p>
            <w:pPr>
              <w:spacing w:after="40" w:line="240" w:lineRule="auto"/>
            </w:pPr>
            <w:r>
              <w:rPr>
                <w:b w:val="0"/>
                <w:sz w:val="16"/>
              </w:rPr>
              <w:t>0.747</w:t>
            </w:r>
          </w:p>
        </w:tc>
        <w:tc>
          <w:tcPr>
            <w:tcW w:type="dxa" w:w="1933"/>
          </w:tcPr>
          <w:p>
            <w:pPr>
              <w:spacing w:after="40" w:line="240" w:lineRule="auto"/>
            </w:pPr>
            <w:r>
              <w:rPr>
                <w:b w:val="0"/>
                <w:sz w:val="16"/>
              </w:rPr>
              <w:t>0.342</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1.142</w:t>
            </w:r>
          </w:p>
        </w:tc>
        <w:tc>
          <w:tcPr>
            <w:tcW w:type="dxa" w:w="1933"/>
          </w:tcPr>
          <w:p>
            <w:pPr>
              <w:spacing w:after="40" w:line="240" w:lineRule="auto"/>
            </w:pPr>
            <w:r>
              <w:rPr>
                <w:b w:val="0"/>
                <w:sz w:val="16"/>
              </w:rPr>
              <w:t>0.928</w:t>
            </w:r>
          </w:p>
        </w:tc>
        <w:tc>
          <w:tcPr>
            <w:tcW w:type="dxa" w:w="1933"/>
          </w:tcPr>
          <w:p>
            <w:pPr>
              <w:spacing w:after="40" w:line="240" w:lineRule="auto"/>
            </w:pPr>
            <w:r>
              <w:rPr>
                <w:b w:val="0"/>
                <w:sz w:val="16"/>
              </w:rPr>
              <w:t>0.000</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w:t>
            </w:r>
          </w:p>
        </w:tc>
        <w:tc>
          <w:tcPr>
            <w:tcW w:type="dxa" w:w="1933"/>
          </w:tcPr>
          <w:p>
            <w:pPr>
              <w:spacing w:after="40" w:line="240" w:lineRule="auto"/>
            </w:pPr>
            <w:r>
              <w:rPr>
                <w:b w:val="0"/>
                <w:sz w:val="16"/>
              </w:rPr>
              <w:t>0.998</w:t>
            </w:r>
          </w:p>
        </w:tc>
        <w:tc>
          <w:tcPr>
            <w:tcW w:type="dxa" w:w="1933"/>
          </w:tcPr>
          <w:p>
            <w:pPr>
              <w:spacing w:after="40" w:line="240" w:lineRule="auto"/>
            </w:pPr>
            <w:r>
              <w:rPr>
                <w:b w:val="0"/>
                <w:sz w:val="16"/>
              </w:rPr>
              <w:t>0.833</w:t>
            </w:r>
          </w:p>
        </w:tc>
        <w:tc>
          <w:tcPr>
            <w:tcW w:type="dxa" w:w="1933"/>
          </w:tcPr>
          <w:p>
            <w:pPr>
              <w:spacing w:after="40" w:line="240" w:lineRule="auto"/>
            </w:pPr>
            <w:r>
              <w:rPr>
                <w:b w:val="0"/>
                <w:sz w:val="16"/>
              </w:rPr>
              <w:t>0.259</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other diseases</w:t>
            </w:r>
          </w:p>
        </w:tc>
        <w:tc>
          <w:tcPr>
            <w:tcW w:type="dxa" w:w="1933"/>
          </w:tcPr>
          <w:p>
            <w:pPr>
              <w:spacing w:after="40" w:line="240" w:lineRule="auto"/>
            </w:pPr>
            <w:r>
              <w:rPr>
                <w:b w:val="0"/>
                <w:sz w:val="16"/>
              </w:rPr>
              <w:t>1.064</w:t>
            </w:r>
          </w:p>
        </w:tc>
        <w:tc>
          <w:tcPr>
            <w:tcW w:type="dxa" w:w="1933"/>
          </w:tcPr>
          <w:p>
            <w:pPr>
              <w:spacing w:after="40" w:line="240" w:lineRule="auto"/>
            </w:pPr>
            <w:r>
              <w:rPr>
                <w:b w:val="0"/>
                <w:sz w:val="16"/>
              </w:rPr>
              <w:t>0.860</w:t>
            </w:r>
          </w:p>
        </w:tc>
        <w:tc>
          <w:tcPr>
            <w:tcW w:type="dxa" w:w="1933"/>
          </w:tcPr>
          <w:p>
            <w:pPr>
              <w:spacing w:after="40" w:line="240" w:lineRule="auto"/>
            </w:pPr>
            <w:r>
              <w:rPr>
                <w:b w:val="0"/>
                <w:sz w:val="16"/>
              </w:rPr>
              <w:t>0.158</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other diseases + STB</w:t>
            </w:r>
          </w:p>
        </w:tc>
        <w:tc>
          <w:tcPr>
            <w:tcW w:type="dxa" w:w="1933"/>
          </w:tcPr>
          <w:p>
            <w:pPr>
              <w:spacing w:after="40" w:line="240" w:lineRule="auto"/>
            </w:pPr>
            <w:r>
              <w:rPr>
                <w:b w:val="0"/>
                <w:sz w:val="16"/>
              </w:rPr>
              <w:t>1.005</w:t>
            </w:r>
          </w:p>
        </w:tc>
        <w:tc>
          <w:tcPr>
            <w:tcW w:type="dxa" w:w="1933"/>
          </w:tcPr>
          <w:p>
            <w:pPr>
              <w:spacing w:after="40" w:line="240" w:lineRule="auto"/>
            </w:pPr>
            <w:r>
              <w:rPr>
                <w:b w:val="0"/>
                <w:sz w:val="16"/>
              </w:rPr>
              <w:t>0.802</w:t>
            </w:r>
          </w:p>
        </w:tc>
        <w:tc>
          <w:tcPr>
            <w:tcW w:type="dxa" w:w="1933"/>
          </w:tcPr>
          <w:p>
            <w:pPr>
              <w:spacing w:after="40" w:line="240" w:lineRule="auto"/>
            </w:pPr>
            <w:r>
              <w:rPr>
                <w:b w:val="0"/>
                <w:sz w:val="16"/>
              </w:rPr>
              <w:t>0.249</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STB</w:t>
            </w:r>
          </w:p>
        </w:tc>
        <w:tc>
          <w:tcPr>
            <w:tcW w:type="dxa" w:w="1933"/>
          </w:tcPr>
          <w:p>
            <w:pPr>
              <w:spacing w:after="40" w:line="240" w:lineRule="auto"/>
            </w:pPr>
            <w:r>
              <w:rPr>
                <w:b w:val="0"/>
                <w:sz w:val="16"/>
              </w:rPr>
              <w:t>0.915</w:t>
            </w:r>
          </w:p>
        </w:tc>
        <w:tc>
          <w:tcPr>
            <w:tcW w:type="dxa" w:w="1933"/>
          </w:tcPr>
          <w:p>
            <w:pPr>
              <w:spacing w:after="40" w:line="240" w:lineRule="auto"/>
            </w:pPr>
            <w:r>
              <w:rPr>
                <w:b w:val="0"/>
                <w:sz w:val="16"/>
              </w:rPr>
              <w:t>0.738</w:t>
            </w:r>
          </w:p>
        </w:tc>
        <w:tc>
          <w:tcPr>
            <w:tcW w:type="dxa" w:w="1933"/>
          </w:tcPr>
          <w:p>
            <w:pPr>
              <w:spacing w:after="40" w:line="240" w:lineRule="auto"/>
            </w:pPr>
            <w:r>
              <w:rPr>
                <w:b w:val="0"/>
                <w:sz w:val="16"/>
              </w:rPr>
              <w:t>0.377</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Ordinal STB</w:t>
            </w:r>
          </w:p>
        </w:tc>
        <w:tc>
          <w:tcPr>
            <w:tcW w:type="dxa" w:w="1933"/>
          </w:tcPr>
          <w:p>
            <w:pPr>
              <w:spacing w:after="40" w:line="240" w:lineRule="auto"/>
            </w:pPr>
            <w:r>
              <w:rPr>
                <w:b w:val="0"/>
                <w:sz w:val="16"/>
              </w:rPr>
              <w:t>0.972</w:t>
            </w:r>
          </w:p>
        </w:tc>
        <w:tc>
          <w:tcPr>
            <w:tcW w:type="dxa" w:w="1933"/>
          </w:tcPr>
          <w:p>
            <w:pPr>
              <w:spacing w:after="40" w:line="240" w:lineRule="auto"/>
            </w:pPr>
            <w:r>
              <w:rPr>
                <w:b w:val="0"/>
                <w:sz w:val="16"/>
              </w:rPr>
              <w:t>0.785</w:t>
            </w:r>
          </w:p>
        </w:tc>
        <w:tc>
          <w:tcPr>
            <w:tcW w:type="dxa" w:w="1933"/>
          </w:tcPr>
          <w:p>
            <w:pPr>
              <w:spacing w:after="40" w:line="240" w:lineRule="auto"/>
            </w:pPr>
            <w:r>
              <w:rPr>
                <w:b w:val="0"/>
                <w:sz w:val="16"/>
              </w:rPr>
              <w:t>0.297</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1.159</w:t>
            </w:r>
          </w:p>
        </w:tc>
        <w:tc>
          <w:tcPr>
            <w:tcW w:type="dxa" w:w="1933"/>
          </w:tcPr>
          <w:p>
            <w:pPr>
              <w:spacing w:after="40" w:line="240" w:lineRule="auto"/>
            </w:pPr>
            <w:r>
              <w:rPr>
                <w:b w:val="0"/>
                <w:sz w:val="16"/>
              </w:rPr>
              <w:t>0.940</w:t>
            </w:r>
          </w:p>
        </w:tc>
        <w:tc>
          <w:tcPr>
            <w:tcW w:type="dxa" w:w="1933"/>
          </w:tcPr>
          <w:p>
            <w:pPr>
              <w:spacing w:after="40" w:line="240" w:lineRule="auto"/>
            </w:pPr>
            <w:r>
              <w:rPr>
                <w:b w:val="0"/>
                <w:sz w:val="16"/>
              </w:rPr>
              <w:t>0.000</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649214"/>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649214"/>
                    </a:xfrm>
                    <a:prstGeom prst="rect"/>
                  </pic:spPr>
                </pic:pic>
              </a:graphicData>
            </a:graphic>
          </wp:inline>
        </w:drawing>
      </w:r>
    </w:p>
    <w:p>
      <w:r>
        <w:t>Figure S16 | Weather and wheat-phenology contributions and offsets. (a) Weather, crop-phenology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phenology, Septoria disease and the estimated yield response. Wheat phenology comprises leaf appearance, unfolding, flowering and soft dough. Weather drives these stage dates and disease. Leaf availability and seasonal timing connect wheat phenology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r>
        <w:drawing>
          <wp:inline xmlns:a="http://schemas.openxmlformats.org/drawingml/2006/main" xmlns:pic="http://schemas.openxmlformats.org/drawingml/2006/picture">
            <wp:extent cx="5806440" cy="4168504"/>
            <wp:docPr id="22" name="Picture 22"/>
            <wp:cNvGraphicFramePr>
              <a:graphicFrameLocks noChangeAspect="1"/>
            </wp:cNvGraphicFramePr>
            <a:graphic>
              <a:graphicData uri="http://schemas.openxmlformats.org/drawingml/2006/picture">
                <pic:pic>
                  <pic:nvPicPr>
                    <pic:cNvPr id="0" name="figS22_nordic_yield_validation.png"/>
                    <pic:cNvPicPr/>
                  </pic:nvPicPr>
                  <pic:blipFill>
                    <a:blip r:embed="rId31"/>
                    <a:stretch>
                      <a:fillRect/>
                    </a:stretch>
                  </pic:blipFill>
                  <pic:spPr>
                    <a:xfrm>
                      <a:off x="0" y="0"/>
                      <a:ext cx="5806440" cy="4168504"/>
                    </a:xfrm>
                    <a:prstGeom prst="rect"/>
                  </pic:spPr>
                </pic:pic>
              </a:graphicData>
            </a:graphic>
          </wp:inline>
        </w:drawing>
      </w:r>
    </w:p>
    <w:p>
      <w:r>
        <w:t>Figure S22 | Nordic yield-response prediction and assessment stage. (a) Same-date severity reduction and relative treated–untreated yield response, retaining negative responses. (b) Entire-trial-held-out prediction on 62 contrasts from five trials. (c) RMSE differences from the matched training mean for the 51-contrast, four-trial population with recorded growth stage. Whiskers are 95% paired trial-bootstrap intervals conditional on fixed held-out predictions. The nonnegative stage model is a secondary sign diagnostic. (d) Forward transfer from 2024 to 2025, with 38 contrasts in three evaluation trials; the training-selected model is the training mean. The data describe protection responses against multiple diseases, rather than isolated Septoria loss or measured HAD.</w:t>
      </w:r>
    </w:p>
    <w:p>
      <w:r>
        <w:br w:type="page"/>
      </w:r>
    </w:p>
    <w:p>
      <w:r>
        <w:drawing>
          <wp:inline xmlns:a="http://schemas.openxmlformats.org/drawingml/2006/main" xmlns:pic="http://schemas.openxmlformats.org/drawingml/2006/picture">
            <wp:extent cx="5806440" cy="4426904"/>
            <wp:docPr id="23" name="Picture 23"/>
            <wp:cNvGraphicFramePr>
              <a:graphicFrameLocks noChangeAspect="1"/>
            </wp:cNvGraphicFramePr>
            <a:graphic>
              <a:graphicData uri="http://schemas.openxmlformats.org/drawingml/2006/picture">
                <pic:pic>
                  <pic:nvPicPr>
                    <pic:cNvPr id="0" name="figS23_leaf_yield_validation.png"/>
                    <pic:cNvPicPr/>
                  </pic:nvPicPr>
                  <pic:blipFill>
                    <a:blip r:embed="rId32"/>
                    <a:stretch>
                      <a:fillRect/>
                    </a:stretch>
                  </pic:blipFill>
                  <pic:spPr>
                    <a:xfrm>
                      <a:off x="0" y="0"/>
                      <a:ext cx="5806440" cy="4426904"/>
                    </a:xfrm>
                    <a:prstGeom prst="rect"/>
                  </pic:spPr>
                </pic:pic>
              </a:graphicData>
            </a:graphic>
          </wp:inline>
        </w:drawing>
      </w:r>
    </w:p>
    <w:p>
      <w:r>
        <w:t>Figure S23 | Leaf-rank severity and yield-response transfer in Tunisia. (a) Flag-leaf incidence-weighted lesion area at GS75 and observed yield for 82 plot-season outcomes in 2018–2019. (b) Absolute-yield errors under two-way whole-year transfer, with years given equal weight. (c) Observed protected-reference yield gaps and unprotected flag-leaf severity in 40 paired 2019 outcomes. (d) Entire-mixture-held-out prediction in that single environment. The lower leaf was assessed at GS61 in 2018 and GS73 in 2019, on different dates from the flag leaf. Protected severity and functional leaf area are unobserved; the two leaf assessments do not establish a disease time integral. Yield moisture basis is unspecified.</w:t>
      </w:r>
    </w:p>
    <w:p>
      <w:r>
        <w:br w:type="page"/>
      </w:r>
    </w:p>
    <w:p>
      <w:r>
        <w:drawing>
          <wp:inline xmlns:a="http://schemas.openxmlformats.org/drawingml/2006/main" xmlns:pic="http://schemas.openxmlformats.org/drawingml/2006/picture">
            <wp:extent cx="5806440" cy="4086333"/>
            <wp:docPr id="24" name="Picture 24"/>
            <wp:cNvGraphicFramePr>
              <a:graphicFrameLocks noChangeAspect="1"/>
            </wp:cNvGraphicFramePr>
            <a:graphic>
              <a:graphicData uri="http://schemas.openxmlformats.org/drawingml/2006/picture">
                <pic:pic>
                  <pic:nvPicPr>
                    <pic:cNvPr id="0" name="figS24_german_yield_validation.png"/>
                    <pic:cNvPicPr/>
                  </pic:nvPicPr>
                  <pic:blipFill>
                    <a:blip r:embed="rId33"/>
                    <a:stretch>
                      <a:fillRect/>
                    </a:stretch>
                  </pic:blipFill>
                  <pic:spPr>
                    <a:xfrm>
                      <a:off x="0" y="0"/>
                      <a:ext cx="5806440" cy="4086333"/>
                    </a:xfrm>
                    <a:prstGeom prst="rect"/>
                  </pic:spPr>
                </pic:pic>
              </a:graphicData>
            </a:graphic>
          </wp:inline>
        </w:drawing>
      </w:r>
    </w:p>
    <w:p>
      <w:r>
        <w:t>Figure S24 | German multi-environment protection-response prediction. (a) Unprotected Septoria severity and observed relative protection response for 3,264 cultivar–management comparisons from 16 site-years at five locations. Negative responses remain in the data. Treatment means match cultivar, nitrogen and source-coded water regime; drought-suffixed references are excluded. (b) Whole-site-year-held-out errors, with site-years weighted equally. (c) Whole-geographic-site-held-out errors, with locations weighted equally. (d) Forward transfer from 2015–2017 to 619 comparisons in six site-years during 2018–2019. German yields share a dry-mass basis, which cancels in the relative response. Missing severity remains unknown. Protection targets multiple diseases; disease-assessment dates and final-leaf ranks are undocumented.</w:t>
      </w:r>
    </w:p>
    <w:p>
      <w:r>
        <w:br w:type="page"/>
      </w:r>
    </w:p>
    <w:p>
      <w:r>
        <w:drawing>
          <wp:inline xmlns:a="http://schemas.openxmlformats.org/drawingml/2006/main" xmlns:pic="http://schemas.openxmlformats.org/drawingml/2006/picture">
            <wp:extent cx="5806440" cy="3724662"/>
            <wp:docPr id="25" name="Picture 25"/>
            <wp:cNvGraphicFramePr>
              <a:graphicFrameLocks noChangeAspect="1"/>
            </wp:cNvGraphicFramePr>
            <a:graphic>
              <a:graphicData uri="http://schemas.openxmlformats.org/drawingml/2006/picture">
                <pic:pic>
                  <pic:nvPicPr>
                    <pic:cNvPr id="0" name="figS25_full_scenario_canopy_damage.png"/>
                    <pic:cNvPicPr/>
                  </pic:nvPicPr>
                  <pic:blipFill>
                    <a:blip r:embed="rId34"/>
                    <a:stretch>
                      <a:fillRect/>
                    </a:stretch>
                  </pic:blipFill>
                  <pic:spPr>
                    <a:xfrm>
                      <a:off x="0" y="0"/>
                      <a:ext cx="5806440" cy="3724662"/>
                    </a:xfrm>
                    <a:prstGeom prst="rect"/>
                  </pic:spPr>
                </pic:pic>
              </a:graphicData>
            </a:graphic>
          </wp:inline>
        </w:drawing>
      </w:r>
    </w:p>
    <w:p>
      <w:r>
        <w:t>Figure S25 | Canopy-damage changes across all emissions pathways and periods. Three-climate-model mean changes in normalized healthy-area-duration loss during flowering to soft dough relative to 1991–2020, shown on the native quarter-degree wheat grid. Positive values indicate greater loss of assumed canopy function. All six panels share a symmetric colour scale. Grey wheat cells have unavailable estimates. The all-wheat production domain uses imposed winter-wheat rainfed calendars.</w:t>
      </w:r>
    </w:p>
    <w:p>
      <w:r>
        <w:br w:type="page"/>
      </w:r>
    </w:p>
    <w:p>
      <w:r>
        <w:drawing>
          <wp:inline xmlns:a="http://schemas.openxmlformats.org/drawingml/2006/main" xmlns:pic="http://schemas.openxmlformats.org/drawingml/2006/picture">
            <wp:extent cx="5806440" cy="2392795"/>
            <wp:docPr id="26" name="Picture 26"/>
            <wp:cNvGraphicFramePr>
              <a:graphicFrameLocks noChangeAspect="1"/>
            </wp:cNvGraphicFramePr>
            <a:graphic>
              <a:graphicData uri="http://schemas.openxmlformats.org/drawingml/2006/picture">
                <pic:pic>
                  <pic:nvPicPr>
                    <pic:cNvPr id="0" name="figS26_common_pair_timing.png"/>
                    <pic:cNvPicPr/>
                  </pic:nvPicPr>
                  <pic:blipFill>
                    <a:blip r:embed="rId35"/>
                    <a:stretch>
                      <a:fillRect/>
                    </a:stretch>
                  </pic:blipFill>
                  <pic:spPr>
                    <a:xfrm>
                      <a:off x="0" y="0"/>
                      <a:ext cx="5806440" cy="2392795"/>
                    </a:xfrm>
                    <a:prstGeom prst="rect"/>
                  </pic:spPr>
                </pic:pic>
              </a:graphicData>
            </a:graphic>
          </wp:inline>
        </w:drawing>
      </w:r>
    </w:p>
    <w:p>
      <w:r>
        <w:t>Figure S26 | Common-population calendar timing and weather–phenology contributions. (a) European mean dates under SSP5–8.5. Symptom appearance, flowering and soft dough use identical historical–future season pairs with all dates recorded in the full-grid outputs. Fixed harvested-area weighting precedes equal climate-model averaging. Arrows connect period means; the horizontal axis shows elapsed calendar days after sowing. (b) Weather, wheat-phenology and net contributions to normalized HAD loss in the separate 62-cell diagnostic sample (64 area-proportional draws; 5,731 valid season pairs). Grey segments span climate-model means; coloured whiskers show one spatial Monte Carlo standard error. Each Shapley contribution includes half the weather–phenology interaction. The 70.6% offset is the ratio of ensemble contributions. The full-grid timing population in a differs from the sampled decomposition in b. These comparisons concern climate-driven timing shifts; they do not estimate benefits of changing sowing date, cultivar or crop protection.</w:t>
      </w:r>
    </w:p>
    <w:p>
      <w:r>
        <w:br w:type="page"/>
      </w:r>
    </w:p>
    <w:p>
      <w:r>
        <w:drawing>
          <wp:inline xmlns:a="http://schemas.openxmlformats.org/drawingml/2006/main" xmlns:pic="http://schemas.openxmlformats.org/drawingml/2006/picture">
            <wp:extent cx="5806440" cy="2125396"/>
            <wp:docPr id="27" name="Picture 27"/>
            <wp:cNvGraphicFramePr>
              <a:graphicFrameLocks noChangeAspect="1"/>
            </wp:cNvGraphicFramePr>
            <a:graphic>
              <a:graphicData uri="http://schemas.openxmlformats.org/drawingml/2006/picture">
                <pic:pic>
                  <pic:nvPicPr>
                    <pic:cNvPr id="0" name="figS27_frequency_canopy_and_calendar_diagnostics.png"/>
                    <pic:cNvPicPr/>
                  </pic:nvPicPr>
                  <pic:blipFill>
                    <a:blip r:embed="rId36"/>
                    <a:stretch>
                      <a:fillRect/>
                    </a:stretch>
                  </pic:blipFill>
                  <pic:spPr>
                    <a:xfrm>
                      <a:off x="0" y="0"/>
                      <a:ext cx="5806440" cy="2125396"/>
                    </a:xfrm>
                    <a:prstGeom prst="rect"/>
                  </pic:spPr>
                </pic:pic>
              </a:graphicData>
            </a:graphic>
          </wp:inline>
        </w:drawing>
      </w:r>
    </w:p>
    <w:p>
      <w:r>
        <w:t>Figure S27 | Complementary symptom and canopy diagnostics under late-century SSP5–8.5. Three-model mean changes in 2071–2100 relative to 1991–2020. (a) Frequency of flag-leaf symptoms before soft dough. (b) Relative HAD loss during grain filling; this is the fraction of assumed canopy function lost, not observed lesion percentage. (c) Elapsed days from the fixed sowing date to first symptoms. Its continuous linear symmetric colour scale spans every finite change, retaining distinctions among ordinary advances and rare extremes. Date arithmetic is checked against recorded sowing and symptom dates; this consistency check does not validate biological plausibility of extreme projections. Timing requires detected symptoms in both paired seasons, whereas frequency includes complete symptom-free seasons. Grey wheat cells have unavailable estimates.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