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38.png" ContentType="image/png"/>
  <Override PartName="/word/media/rId41.png" ContentType="image/png"/>
  <Override PartName="/word/media/rId47.png" ContentType="image/png"/>
  <Override PartName="/word/media/rId51.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空间稀疏网络下充电基础设施控制通道的网络层攻防仿真——以巴塞罗那大都会区</w:t>
      </w:r>
      <w:r>
        <w:t xml:space="preserve"> </w:t>
      </w:r>
      <w:r>
        <w:t xml:space="preserve">OCPP</w:t>
      </w:r>
      <w:r>
        <w:t xml:space="preserve"> </w:t>
      </w:r>
      <w:r>
        <w:t xml:space="preserve">网络为例</w:t>
      </w:r>
    </w:p>
    <w:p>
      <w:pPr>
        <w:pStyle w:val="Author"/>
      </w:pPr>
      <w:r>
        <w:t xml:space="preserve">［作者待补］</w:t>
      </w:r>
    </w:p>
    <w:p>
      <w:pPr>
        <w:pStyle w:val="Date"/>
      </w:pPr>
      <w:r>
        <w:t xml:space="preserve">2026-10</w:t>
      </w:r>
    </w:p>
    <w:bookmarkStart w:id="20" w:name="摘要"/>
    <w:p>
      <w:pPr>
        <w:pStyle w:val="Heading1"/>
      </w:pPr>
      <w:r>
        <w:t xml:space="preserve">摘要</w:t>
      </w:r>
    </w:p>
    <w:p>
      <w:pPr>
        <w:pStyle w:val="FirstParagraph"/>
      </w:pPr>
      <w:r>
        <w:t xml:space="preserve">公共充电网络的使用数据分散在各运营商手中，而充电桩与运营商后台（CSMS）之间的 OCPP 控制通道正成为可被集中操纵的攻击点。已有研究要么在电网尺度把攻击抽象成一个”受控比例</w:t>
      </w:r>
      <w:r>
        <w:t xml:space="preserve"> </w:t>
      </w:r>
      <w:r>
        <w:rPr>
          <w:iCs/>
          <w:i/>
        </w:rPr>
        <w:t xml:space="preserve">p</w:t>
      </w:r>
      <w:r>
        <w:t xml:space="preserve">”，却不回答</w:t>
      </w:r>
      <w:r>
        <w:t xml:space="preserve"> </w:t>
      </w:r>
      <w:r>
        <w:rPr>
          <w:iCs/>
          <w:i/>
        </w:rPr>
        <w:t xml:space="preserve">p</w:t>
      </w:r>
      <w:r>
        <w:t xml:space="preserve"> </w:t>
      </w:r>
      <w:r>
        <w:t xml:space="preserve">如何从网络层得到；要么用实验室脚本流量训练入侵检测，与真实城市充电的站点规模和日节律相去甚远。本文以巴塞罗那大都会区（AMB）真实的运营商结构与真实充电流量为底座，提出一个</w:t>
      </w:r>
      <w:r>
        <w:rPr>
          <w:bCs/>
          <w:b/>
        </w:rPr>
        <w:t xml:space="preserve">全部集中在网络层</w:t>
      </w:r>
      <w:r>
        <w:t xml:space="preserve">的 OCPP 攻防仿真框架：电网只作为结果指标，不建潮流模型。框架用 2025 全年约 13.1 万次真实会话驱动 71 个站点的 OCPP 消息流，用配套需求论文的”规模×节律”分解为另外 550 个登记站点合成背景流量，并把同一分解转用为后台侧的物理一致性检测器。基于真实数据的定量表明：AMB 范围 3,302 个充电点、37 家运营商合计额定功率 63.47 MW（直流 35.96 MW），仅为西班牙本土电网峰值（约 40 GW）的 0.16%，远低于触发低频减载所需的 9–11%，印证了”电网只宜作结果指标”；攻破单家后台的可控功率上限在 2.6–12.3 MW 之间，需攻破约 5 家后台才能聚合全网八成直流功率；3,302 个充电点中 3,053 个（92.5%）接受 RFID，使凭据克隆成为现实攻击面；傍晚 18 时的会话到达为日均的 2.0 倍，后台中断 3 小时在该时段最多拒绝约 89 次/日会话；物理一致性检测器在 2025-04-28 大停电（会话降至期望的 0.53）等真实良性异常上可与攻击区分。本文以”被发现前造成的损失”（MWh、被拒会话、受影响市镇）为主评价指标，全部可在 H3 功能分区底图上按时间轴回放。</w:t>
      </w:r>
    </w:p>
    <w:p>
      <w:pPr>
        <w:pStyle w:val="BodyText"/>
      </w:pPr>
      <w:r>
        <w:rPr>
          <w:bCs/>
          <w:b/>
        </w:rPr>
        <w:t xml:space="preserve">关键词：</w:t>
      </w:r>
      <w:r>
        <w:t xml:space="preserve"> </w:t>
      </w:r>
      <w:r>
        <w:t xml:space="preserve">电动汽车充电；OCPP；CSMS；网络层攻防仿真；入侵检测；关键基础设施安全；巴塞罗那</w:t>
      </w:r>
    </w:p>
    <w:bookmarkEnd w:id="20"/>
    <w:bookmarkStart w:id="21" w:name="引言"/>
    <w:p>
      <w:pPr>
        <w:pStyle w:val="Heading1"/>
      </w:pPr>
      <w:r>
        <w:t xml:space="preserve">1 引言</w:t>
      </w:r>
    </w:p>
    <w:p>
      <w:pPr>
        <w:pStyle w:val="FirstParagraph"/>
      </w:pPr>
      <w:r>
        <w:t xml:space="preserve">公共充电网络正在欧盟城市快速扩建。《替代燃料基础设施法规》（AFIR）要求运营商经各成员国的国家接入点公开充电点的静态与动态信息[1]，其实施条例进一步细化了数据可用性口径[2]；但出于隐私与商业考虑，真实充电会话通常不在公开之列，面向真实流量的充电网络安全研究因此长期缺乏底座。与此同时，针对充电接口物理层与无线层的攻击已被反复证实——从对 CCS 链路的无线中间人注入到对充电会话的广域干扰[3,4,5]——但这些工作大多止步于单桩或单链路，难以回答”在一座城市的真实充电网络里，一次入侵能横向扩散到多大范围”。</w:t>
      </w:r>
    </w:p>
    <w:p>
      <w:pPr>
        <w:pStyle w:val="BodyText"/>
      </w:pPr>
      <w:r>
        <w:t xml:space="preserve">本文把研究单位收敛到充电桩（EVSE）与运营商后台（CSMS）之间的 OCPP 控制通道[6,7]。理由有三：OCPP 是运营商向充电桩下发功率限制、远程启停与计费指令的事实标准通道，攻击者一旦进入，其行为（改功率、停会话、伪造电表读数）可直接映射为可度量的结果；一座城市的 OCPP 会话由有限几家运营商后台汇聚，天然带有”桩—后台—运营商”的层级拓扑，使”攻击者处在通道的哪个位置、能波及多少站点”成为可刻画的问题；相较物理层，网络层攻防更贴近运营商当前真实可部署的检测与遏制手段。</w:t>
      </w:r>
    </w:p>
    <w:p>
      <w:pPr>
        <w:pStyle w:val="BodyText"/>
      </w:pPr>
      <w:r>
        <w:t xml:space="preserve">现有工作留下两处空白。其一，电网尺度研究通常把攻击抽象成一个”受控比例</w:t>
      </w:r>
      <w:r>
        <w:t xml:space="preserve"> </w:t>
      </w:r>
      <w:r>
        <w:rPr>
          <w:iCs/>
          <w:i/>
        </w:rPr>
        <w:t xml:space="preserve">p</w:t>
      </w:r>
      <w:r>
        <w:t xml:space="preserve">”：配套仿真研究[8]给出 2024 年欧洲大陆尺度</w:t>
      </w:r>
      <w:r>
        <w:t xml:space="preserve"> </w:t>
      </w:r>
      <w:r>
        <w:rPr>
          <w:iCs/>
          <w:i/>
        </w:rPr>
        <w:t xml:space="preserve">p</w:t>
      </w:r>
      <w:r>
        <w:t xml:space="preserve">≈0.8%，需升至约 9–11% 才触发低频减载（UFLS）。此类模型刻画了</w:t>
      </w:r>
      <w:r>
        <w:t xml:space="preserve"> </w:t>
      </w:r>
      <w:r>
        <w:rPr>
          <w:iCs/>
          <w:i/>
        </w:rPr>
        <w:t xml:space="preserve">p</w:t>
      </w:r>
      <w:r>
        <w:t xml:space="preserve"> </w:t>
      </w:r>
      <w:r>
        <w:t xml:space="preserve">的后果，却不回答</w:t>
      </w:r>
      <w:r>
        <w:t xml:space="preserve"> </w:t>
      </w:r>
      <w:r>
        <w:rPr>
          <w:iCs/>
          <w:i/>
        </w:rPr>
        <w:t xml:space="preserve">p</w:t>
      </w:r>
      <w:r>
        <w:t xml:space="preserve"> </w:t>
      </w:r>
      <w:r>
        <w:t xml:space="preserve">如何从网络层获得。其二，用于训练入侵检测的数据集多依赖实验室脚本流量[9,10]，其”正常”模式缺乏真实城市充电的站点规模差异与日节律，检测器在真实流量上的误报行为未经检验。</w:t>
      </w:r>
    </w:p>
    <w:p>
      <w:pPr>
        <w:pStyle w:val="BodyText"/>
      </w:pPr>
      <w:r>
        <w:t xml:space="preserve">需要澄清的是，本文不以”操纵电网”为主线。本研究据 DGT 国家接入点登记表复算，AMB 范围内 37 家运营商、3,302 个充电点合计额定功率仅 63.47 MW（直流 35.96 MW，见第 2 节）；即便攻击者完全控制，相对西班牙本土电网约 40 GW 量级的峰值也仅为 0.16%，在系统频率层面不成立，与[8]给出的”单国本土攻击当前不足以撼动主网”一致。因此本文仅将电网作为结果指标（受控 MW 上限、受影响市镇），不建潮流模型，把分析重心放回网络层。</w:t>
      </w:r>
    </w:p>
    <w:p>
      <w:pPr>
        <w:pStyle w:val="BodyText"/>
      </w:pPr>
      <w:r>
        <w:rPr>
          <w:bCs/>
          <w:b/>
        </w:rPr>
        <w:t xml:space="preserve">研究问题：</w:t>
      </w:r>
      <w:r>
        <w:t xml:space="preserve"> </w:t>
      </w:r>
      <w:r>
        <w:t xml:space="preserve">在巴塞罗那真实的运营商结构与真实充电流量下，攻击者从 OCPP 通道的不同位置，实际能控制多少站点、多少 MW、拒绝多少会话；防御方又能多快发现并遏制？其中协议版本与安全配置被当作情景变量，而非前提。</w:t>
      </w:r>
    </w:p>
    <w:p>
      <w:pPr>
        <w:pStyle w:val="BodyText"/>
      </w:pPr>
      <w:r>
        <w:rPr>
          <w:bCs/>
          <w:b/>
        </w:rPr>
        <w:t xml:space="preserve">贡献：</w:t>
      </w:r>
      <w:r>
        <w:t xml:space="preserve">（1）以真实拓扑与真实流量为底座的网络层 OCPP 攻防仿真，用 621 个站点、37 家运营商结构与约 13.1 万次真实会话[11]驱动，取代实验室脚本流量；（2）把”规模×节律”分解一物两用——既作缺会话站点的背景流量生成器，又作后台侧的物理一致性检测器；（3）以”被发现前造成的损失”（MWh、被拒会话、受影响市镇）为主评价指标，并使攻防全过程可在地图上回放。第 2 节给出数据与协议背景，第 3 节给出仿真底座与威胁模型，第 4 节刻画攻击面与可控性，第 5 节给出检测与遏制，第 6 节给出实验设计，第 7 节给出可视化与工具链，第 8 节讨论与结论。</w:t>
      </w:r>
    </w:p>
    <w:bookmarkEnd w:id="21"/>
    <w:bookmarkStart w:id="28" w:name="相关工作与数据基础"/>
    <w:p>
      <w:pPr>
        <w:pStyle w:val="Heading1"/>
      </w:pPr>
      <w:r>
        <w:t xml:space="preserve">2 相关工作与数据基础</w:t>
      </w:r>
    </w:p>
    <w:bookmarkStart w:id="22" w:name="ocpp-协议与安全"/>
    <w:p>
      <w:pPr>
        <w:pStyle w:val="Heading2"/>
      </w:pPr>
      <w:r>
        <w:t xml:space="preserve">2.1 OCPP 协议与安全</w:t>
      </w:r>
    </w:p>
    <w:p>
      <w:pPr>
        <w:pStyle w:val="FirstParagraph"/>
      </w:pPr>
      <w:r>
        <w:t xml:space="preserve">OCPP 是 EVSE 与 CSMS 之间事实上的标准控制协议，其版本差异直接决定网络层攻防的门槛。OCPP 1.6 提供 SOAP（1.6S）与 JSON（1.6J）两种绑定，传输层加密为可选、设备认证较弱；虽有官方安全扩展定义三级安全配置，但是否启用取决于部署而非协议强制[6,12,13]。OCPP 2.0.1 引入证书认证、结构化安全配置档并强制 TLS[7,12]。OCPP 2.1 在 IEC 63584-210:2025 中标准化，面向 V2X/DER 的双向能量交互并新增授权与支付机制[14]；1.6 与 2.1 消息模型不兼容，升级非平滑过渡。对本文最关键的是：1.6 报文的可篡改性与缺乏计量完整性约束，使”协同功率操纵”在协议层几乎没有门槛。因此本文把协议版本（1.6/2.0.1/2.1）与安全配置等级作为情景变量纳入仿真矩阵。就巴塞罗那而言，</w:t>
      </w:r>
      <w:r>
        <w:t xml:space="preserve">“</w:t>
      </w:r>
      <w:r>
        <w:t xml:space="preserve">现网以 OCPP 1.6 运行、Endolla Barcelona 计划升级至 2.0</w:t>
      </w:r>
      <w:r>
        <w:t xml:space="preserve">”</w:t>
      </w:r>
      <w:r>
        <w:t xml:space="preserve">一说本文未查得权威出处，仅作情景假设处理。</w:t>
      </w:r>
    </w:p>
    <w:bookmarkEnd w:id="22"/>
    <w:bookmarkStart w:id="23" w:name="相关安全数据集的定位"/>
    <w:p>
      <w:pPr>
        <w:pStyle w:val="Heading2"/>
      </w:pPr>
      <w:r>
        <w:t xml:space="preserve">2.2 相关安全数据集的定位</w:t>
      </w:r>
    </w:p>
    <w:p>
      <w:pPr>
        <w:pStyle w:val="FirstParagraph"/>
      </w:pPr>
      <w:r>
        <w:t xml:space="preserve">现有公开数据集均未覆盖”真实运营商结构 + 真实充电流量 + OCPP 消息级攻防”这一交集：</w:t>
      </w:r>
      <w:r>
        <w:rPr>
          <w:bCs/>
          <w:b/>
        </w:rPr>
        <w:t xml:space="preserve">CICEVSE2024</w:t>
      </w:r>
      <w:r>
        <w:t xml:space="preserve"> </w:t>
      </w:r>
      <w:r>
        <w:t xml:space="preserve">含功耗、网络与主机 HPC/内核指标，但攻击为实验室脚本且面向通用网络/主机攻击而非 OCPP 消息级[9]；</w:t>
      </w:r>
      <w:r>
        <w:rPr>
          <w:bCs/>
          <w:b/>
        </w:rPr>
        <w:t xml:space="preserve">联邦 OCPP 1.6 数据集</w:t>
      </w:r>
      <w:r>
        <w:t xml:space="preserve">聚焦 OCPP 应用层四类攻击（充电配置篡改、拒绝充电、心跳洪泛 DoS、未授权接入），但流量同样出自实验室脚本[10]；</w:t>
      </w:r>
      <w:r>
        <w:rPr>
          <w:bCs/>
          <w:b/>
        </w:rPr>
        <w:t xml:space="preserve">Current Affairs（CCS 测量）</w:t>
      </w:r>
      <w:r>
        <w:t xml:space="preserve">实测 325 台真实直流桩、仅约 12% 启用 TLS，但对象是车↔桩链路[5]；</w:t>
      </w:r>
      <w:r>
        <w:rPr>
          <w:bCs/>
          <w:b/>
        </w:rPr>
        <w:t xml:space="preserve">DCeption/Brokenwire</w:t>
      </w:r>
      <w:r>
        <w:t xml:space="preserve"> </w:t>
      </w:r>
      <w:r>
        <w:t xml:space="preserve">针对 CCS HPGP 的无线中间人与功率遥测篡改，仍停留在车↔桩物理层[4,3]；</w:t>
      </w:r>
      <w:r>
        <w:rPr>
          <w:bCs/>
          <w:b/>
        </w:rPr>
        <w:t xml:space="preserve">PowerBench Part 3</w:t>
      </w:r>
      <w:r>
        <w:t xml:space="preserve"> </w:t>
      </w:r>
      <w:r>
        <w:t xml:space="preserve">为 OpenDSS 电网仿真数据，属配电物理层[15]。本文的定位正是补上该交集：在真实运营商结构与真实会话流量之上，面向 CSMS 侧 OCPP 控制通道的网络层攻防（数据集详表见附录 E）。</w:t>
      </w:r>
    </w:p>
    <w:bookmarkEnd w:id="23"/>
    <w:bookmarkStart w:id="27" w:name="amb-数据基础"/>
    <w:p>
      <w:pPr>
        <w:pStyle w:val="Heading2"/>
      </w:pPr>
      <w:r>
        <w:t xml:space="preserve">2.3 AMB 数据基础</w:t>
      </w:r>
    </w:p>
    <w:p>
      <w:pPr>
        <w:pStyle w:val="FirstParagraph"/>
      </w:pPr>
      <w:r>
        <w:t xml:space="preserve">配套需求论文[11]及其派生图层为本文提供真实底座（图 1）。</w:t>
      </w:r>
      <w:r>
        <w:rPr>
          <w:bCs/>
          <w:b/>
        </w:rPr>
        <w:t xml:space="preserve">节点底座</w:t>
      </w:r>
      <w:r>
        <w:t xml:space="preserve">：71 个 AMB 网络站点有 2025 全年清洗会话（131,285 条清洗记录，[11]报告 131,267 次，差异为清洗口径；总电量 1.97 GWh）；由 DGT DATEX II 登记表裁剪、按同一运营商 50 m 内合并得 550 个其他运营商站点，连同 71 个共 621 个站点，保留位置、额定功率与认证方式。</w:t>
      </w:r>
      <w:r>
        <w:rPr>
          <w:bCs/>
          <w:b/>
        </w:rPr>
        <w:t xml:space="preserve">登记表复算</w:t>
      </w:r>
      <w:r>
        <w:t xml:space="preserve">（2026-09-27 快照）：AMB 范围 855 条站点记录、3,302 个充电点、4,733 个接口、37 家运营商（按运营商编号；DGT 解析说明按运营商名称记 38 家，差异源于归并口径，本文统一取编号口径 37）。其中 71 个 AMB 会话站点有 33 个登记在 DGT 中，运营商均为</w:t>
      </w:r>
      <w:r>
        <w:t xml:space="preserve"> </w:t>
      </w:r>
      <w:r>
        <w:rPr>
          <w:bCs/>
          <w:b/>
        </w:rPr>
        <w:t xml:space="preserve">Iberdrola Clientes</w:t>
      </w:r>
      <w:r>
        <w:t xml:space="preserve">（98 个充电点、3.74 MW），其余 38 站不在 DGT。</w:t>
      </w:r>
      <w:r>
        <w:rPr>
          <w:bCs/>
          <w:b/>
        </w:rPr>
        <w:t xml:space="preserve">可复用模型</w:t>
      </w:r>
      <w:r>
        <w:t xml:space="preserve">：</w:t>
      </w:r>
      <w:r>
        <w:t xml:space="preserve">“</w:t>
      </w:r>
      <w:r>
        <w:t xml:space="preserve">规模×节律</w:t>
      </w:r>
      <w:r>
        <w:t xml:space="preserve">”</w:t>
      </w:r>
      <w:r>
        <w:t xml:space="preserve">分解在本文中一体两用（第 3、5 节）：仅站点规模即解释约 64% 的会话偏差、73% 的电量偏差，加全网节律与设施状态升至约 68%，上限约 83%。此外，真实数据中的若干异常（4-28 大停电、11-30 与 12-11 全网缺口）为检测器提供了实验室流量所不具备的”假阳性”考验。</w:t>
      </w:r>
    </w:p>
    <w:p>
      <w:pPr>
        <w:pStyle w:val="BodyText"/>
      </w:pPr>
      <w:r>
        <w:drawing>
          <wp:inline>
            <wp:extent cx="4358640" cy="4194048"/>
            <wp:effectExtent b="0" l="0" r="0" t="0"/>
            <wp:docPr descr="" title="" id="25" name="Picture"/>
            <a:graphic>
              <a:graphicData uri="http://schemas.openxmlformats.org/drawingml/2006/picture">
                <pic:pic>
                  <pic:nvPicPr>
                    <pic:cNvPr descr="figs/fig1_map.png" id="26" name="Picture"/>
                    <pic:cNvPicPr>
                      <a:picLocks noChangeArrowheads="1" noChangeAspect="1"/>
                    </pic:cNvPicPr>
                  </pic:nvPicPr>
                  <pic:blipFill>
                    <a:blip r:embed="rId24"/>
                    <a:stretch>
                      <a:fillRect/>
                    </a:stretch>
                  </pic:blipFill>
                  <pic:spPr bwMode="auto">
                    <a:xfrm>
                      <a:off x="0" y="0"/>
                      <a:ext cx="4358640" cy="4194048"/>
                    </a:xfrm>
                    <a:prstGeom prst="rect">
                      <a:avLst/>
                    </a:prstGeom>
                    <a:noFill/>
                    <a:ln w="9525">
                      <a:noFill/>
                      <a:headEnd/>
                      <a:tailEnd/>
                    </a:ln>
                  </pic:spPr>
                </pic:pic>
              </a:graphicData>
            </a:graphic>
          </wp:inline>
        </w:drawing>
      </w:r>
    </w:p>
    <w:p>
      <w:pPr>
        <w:pStyle w:val="BodyText"/>
      </w:pPr>
      <w:r>
        <w:rPr>
          <w:bCs/>
          <w:b/>
        </w:rPr>
        <w:t xml:space="preserve">图 1</w:t>
      </w:r>
      <w:r>
        <w:t xml:space="preserve"> </w:t>
      </w:r>
      <w:r>
        <w:t xml:space="preserve">巴塞罗那大都会区公共充电网络与多运营商登记设施。71 个 AMB 网络站点（按设施配置着色、点大小∝日会话数）分布在巴塞罗那市以外；灰点为 621 个登记地点中的其他运营商设施，密集团块为市中心。数据：[11] 派生图层与 DGT 登记表。</w:t>
      </w:r>
    </w:p>
    <w:bookmarkEnd w:id="27"/>
    <w:bookmarkEnd w:id="28"/>
    <w:bookmarkStart w:id="36" w:name="威胁模型与仿真底座"/>
    <w:p>
      <w:pPr>
        <w:pStyle w:val="Heading1"/>
      </w:pPr>
      <w:r>
        <w:t xml:space="preserve">3 威胁模型与仿真底座</w:t>
      </w:r>
    </w:p>
    <w:p>
      <w:pPr>
        <w:pStyle w:val="FirstParagraph"/>
      </w:pPr>
      <w:r>
        <w:t xml:space="preserve">全部攻击仅在隔离仿真环境内复现，不接触任何真实充电桩、运营商后台或配电系统。</w:t>
      </w:r>
    </w:p>
    <w:bookmarkStart w:id="29" w:name="系统与节点模型"/>
    <w:p>
      <w:pPr>
        <w:pStyle w:val="Heading2"/>
      </w:pPr>
      <w:r>
        <w:t xml:space="preserve">3.1 系统与节点模型</w:t>
      </w:r>
    </w:p>
    <w:p>
      <w:pPr>
        <w:pStyle w:val="FirstParagraph"/>
      </w:pPr>
      <w:r>
        <w:t xml:space="preserve">仿真拓扑含 621 个站点：71 个 AMB 站点具真实会话，550 个其他运营商站点仅含位置、额定功率与认证方式[11,2]。每家运营商各自接入其 CSMS，EVSE 与 CSMS 之间以 OCPP over WebSocket 承载控制通道[6,7]。电网仅作结果指标，不建潮流或频率模型；受控功率上限因而可由登记表额定功率静态推算，作为”完全控制”情形的上界（第 4 节）。作为量级对照，AMB 网络自身按会话时长均摊电量重建的平均功率约 0.22 MW、平均日负荷曲线峰值约 0.40 MW（瞬时并发峰值更高，见附录图 A2）；即便受控规模达登记表上界 63.47 MW，相对本土电网约 40 GW 量级仍属千分之一量级[8]。</w:t>
      </w:r>
    </w:p>
    <w:bookmarkEnd w:id="29"/>
    <w:bookmarkStart w:id="30" w:name="正常流量生成"/>
    <w:p>
      <w:pPr>
        <w:pStyle w:val="Heading2"/>
      </w:pPr>
      <w:r>
        <w:t xml:space="preserve">3.2 正常流量生成</w:t>
      </w:r>
    </w:p>
    <w:p>
      <w:pPr>
        <w:pStyle w:val="FirstParagraph"/>
      </w:pPr>
      <w:r>
        <w:t xml:space="preserve">对 71 个具真实会话的 AMB 站点，将每条会话映射为 OCPP 消息序列作为基线流量：桩上线发 BootNotification 并按周期发 Heartbeat；会话以 RFID/App 凭据发起 Authorize，获授权后 StartTransaction 上报 meterStart，期间按周期发 MeterValues，结束以 StopTransaction 上报 meterStop；桩态变化触发 StatusNotification[6,16]。原始记录仅含起止时刻与总电量，会话内功率曲线须在假设下重建（恒功率或典型充电曲线），该假设在敏感性分析中单列。对 550 个无会话站点，用”规模×节律”合成背景流量。须强调其适用边界：以其他运营商拟合的快充部署模型为 AMB 站点打分 AUC 仅 0.26（排序几近相反）[11]，故合成流量仅作可信负荷占位，其不确定性随攻防指标一并报告。</w:t>
      </w:r>
    </w:p>
    <w:bookmarkEnd w:id="30"/>
    <w:bookmarkStart w:id="31" w:name="核心差异点真实异常作为假阳性考验"/>
    <w:p>
      <w:pPr>
        <w:pStyle w:val="Heading2"/>
      </w:pPr>
      <w:r>
        <w:t xml:space="preserve">3.3 核心差异点：真实异常作为假阳性考验</w:t>
      </w:r>
    </w:p>
    <w:p>
      <w:pPr>
        <w:pStyle w:val="FirstParagraph"/>
      </w:pPr>
      <w:r>
        <w:t xml:space="preserve">本文保留了若干”貌似攻击的真实异常”，直接用作检测器的假阳性考验（图 6）：2025-04-28 伊比利亚大停电当天会话约为平常一半（实测当日 146 次 vs 邻周同位 285.8 次，比值 0.51），形态近似大规模协同停充；1–2 月后台迁移导致充电点编号批量更换，形态近似身份克隆；11-30 与 12-11 全网零记录缺口，形态近似连接中断。检测器必须将上述判为良性。这也是把”规模×节律”兼用作检测器的直接动因：唯有把判据建立在站点规模与当日节律的</w:t>
      </w:r>
      <w:r>
        <w:rPr>
          <w:bCs/>
          <w:b/>
        </w:rPr>
        <w:t xml:space="preserve">联合</w:t>
      </w:r>
      <w:r>
        <w:t xml:space="preserve">期望上，才能把停电下的”全网同步低于期望”与攻击下的”单站偏离期望”区分开。</w:t>
      </w:r>
    </w:p>
    <w:bookmarkEnd w:id="31"/>
    <w:bookmarkStart w:id="35" w:name="威胁模型与假设"/>
    <w:p>
      <w:pPr>
        <w:pStyle w:val="Heading2"/>
      </w:pPr>
      <w:r>
        <w:t xml:space="preserve">3.4 威胁模型与假设</w:t>
      </w:r>
    </w:p>
    <w:p>
      <w:pPr>
        <w:pStyle w:val="FirstParagraph"/>
      </w:pPr>
      <w:r>
        <w:t xml:space="preserve">攻击者能力随链路配置变化（图 2）。在未加密或未互认的 OCPP/WebSocket 链路上，赋予攻击者 Dolev–Yao 式能力：读取、丢弃、重放、篡改与注入其所见消息；随 TLS、客户端证书或双向认证启用，该能力收缩为仅可观察时序或仅可发起连接层洪泛[6,7,12,13]。信任假设：EVSE 固件完整；CSMS 为合法策略权威但本身可被攻破并用作攻击位置；链路机密性与真实性取决于上述配置。攻击者目标归为功率操纵、偷电、拒绝/可用性破坏三类。范围严格限于仿真——以 SteVe/CitrineOS 为后台、ocpp 库回放客户端、Mininet 搭拓扑、mitmproxy 注入的隔离环境[16,17,18,19,20]。</w:t>
      </w:r>
    </w:p>
    <w:p>
      <w:pPr>
        <w:pStyle w:val="BodyText"/>
      </w:pPr>
      <w:r>
        <w:drawing>
          <wp:inline>
            <wp:extent cx="4587240" cy="2539648"/>
            <wp:effectExtent b="0" l="0" r="0" t="0"/>
            <wp:docPr descr="" title="" id="33" name="Picture"/>
            <a:graphic>
              <a:graphicData uri="http://schemas.openxmlformats.org/drawingml/2006/picture">
                <pic:pic>
                  <pic:nvPicPr>
                    <pic:cNvPr descr="figs/fig2_threat.png" id="34" name="Picture"/>
                    <pic:cNvPicPr>
                      <a:picLocks noChangeArrowheads="1" noChangeAspect="1"/>
                    </pic:cNvPicPr>
                  </pic:nvPicPr>
                  <pic:blipFill>
                    <a:blip r:embed="rId32"/>
                    <a:stretch>
                      <a:fillRect/>
                    </a:stretch>
                  </pic:blipFill>
                  <pic:spPr bwMode="auto">
                    <a:xfrm>
                      <a:off x="0" y="0"/>
                      <a:ext cx="4587240" cy="2539648"/>
                    </a:xfrm>
                    <a:prstGeom prst="rect">
                      <a:avLst/>
                    </a:prstGeom>
                    <a:noFill/>
                    <a:ln w="9525">
                      <a:noFill/>
                      <a:headEnd/>
                      <a:tailEnd/>
                    </a:ln>
                  </pic:spPr>
                </pic:pic>
              </a:graphicData>
            </a:graphic>
          </wp:inline>
        </w:drawing>
      </w:r>
    </w:p>
    <w:p>
      <w:pPr>
        <w:pStyle w:val="BodyText"/>
      </w:pPr>
      <w:r>
        <w:rPr>
          <w:bCs/>
          <w:b/>
        </w:rPr>
        <w:t xml:space="preserve">图 2</w:t>
      </w:r>
      <w:r>
        <w:t xml:space="preserve"> </w:t>
      </w:r>
      <w:r>
        <w:t xml:space="preserve">威胁模型：OCPP 控制通道上的四类攻击者位置。A 中间人、B 冒充桩/克隆 RFID、C 后台被攻破、D 对后台 DoS；电网仅作结果指标（虚线）。</w:t>
      </w:r>
    </w:p>
    <w:bookmarkEnd w:id="35"/>
    <w:bookmarkEnd w:id="36"/>
    <w:bookmarkStart w:id="45" w:name="攻击面与可控性度量"/>
    <w:p>
      <w:pPr>
        <w:pStyle w:val="Heading1"/>
      </w:pPr>
      <w:r>
        <w:t xml:space="preserve">4 攻击面与可控性度量</w:t>
      </w:r>
    </w:p>
    <w:bookmarkStart w:id="37" w:name="按攻击者位置划分的攻击面"/>
    <w:p>
      <w:pPr>
        <w:pStyle w:val="Heading2"/>
      </w:pPr>
      <w:r>
        <w:t xml:space="preserve">4.1 按攻击者位置划分的攻击面</w:t>
      </w:r>
    </w:p>
    <w:p>
      <w:pPr>
        <w:pStyle w:val="FirstParagraph"/>
      </w:pPr>
      <w:r>
        <w:rPr>
          <w:bCs/>
          <w:b/>
        </w:rPr>
        <w:t xml:space="preserve">表 1</w:t>
      </w:r>
      <w:r>
        <w:t xml:space="preserve"> </w:t>
      </w:r>
      <w:r>
        <w:t xml:space="preserve">四类攻击者位置的 OCPP 层机制与结果指标。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攻击者位置</w:t>
            </w:r>
          </w:p>
        </w:tc>
        <w:tc>
          <w:tcPr/>
          <w:p>
            <w:pPr>
              <w:pStyle w:val="Compact"/>
              <w:jc w:val="left"/>
            </w:pPr>
            <w:r>
              <w:t xml:space="preserve">OCPP 层机制</w:t>
            </w:r>
          </w:p>
        </w:tc>
        <w:tc>
          <w:tcPr/>
          <w:p>
            <w:pPr>
              <w:pStyle w:val="Compact"/>
              <w:jc w:val="left"/>
            </w:pPr>
            <w:r>
              <w:t xml:space="preserve">结果指标</w:t>
            </w:r>
          </w:p>
        </w:tc>
      </w:tr>
      <w:tr>
        <w:tc>
          <w:tcPr/>
          <w:p>
            <w:pPr>
              <w:pStyle w:val="Compact"/>
              <w:jc w:val="left"/>
            </w:pPr>
            <w:r>
              <w:t xml:space="preserve">A 桩-后台中间人（未加密链路）</w:t>
            </w:r>
          </w:p>
        </w:tc>
        <w:tc>
          <w:tcPr/>
          <w:p>
            <w:pPr>
              <w:pStyle w:val="Compact"/>
              <w:jc w:val="left"/>
            </w:pPr>
            <w:r>
              <w:t xml:space="preserve">篡改 SetChargingProfile 功率上限、改写 MeterValues、伪造/截停 RemoteStopTransaction</w:t>
            </w:r>
          </w:p>
        </w:tc>
        <w:tc>
          <w:tcPr/>
          <w:p>
            <w:pPr>
              <w:pStyle w:val="Compact"/>
              <w:jc w:val="left"/>
            </w:pPr>
            <w:r>
              <w:t xml:space="preserve">被改功率站点数、计费偏差（€）</w:t>
            </w:r>
          </w:p>
        </w:tc>
      </w:tr>
      <w:tr>
        <w:tc>
          <w:tcPr/>
          <w:p>
            <w:pPr>
              <w:pStyle w:val="Compact"/>
              <w:jc w:val="left"/>
            </w:pPr>
            <w:r>
              <w:t xml:space="preserve">B 冒充桩/克隆 RFID</w:t>
            </w:r>
          </w:p>
        </w:tc>
        <w:tc>
          <w:tcPr/>
          <w:p>
            <w:pPr>
              <w:pStyle w:val="Compact"/>
              <w:jc w:val="left"/>
            </w:pPr>
            <w:r>
              <w:t xml:space="preserve">伪造 BootNotification 注册、重放 Authorize</w:t>
            </w:r>
          </w:p>
        </w:tc>
        <w:tc>
          <w:tcPr/>
          <w:p>
            <w:pPr>
              <w:pStyle w:val="Compact"/>
              <w:jc w:val="left"/>
            </w:pPr>
            <w:r>
              <w:t xml:space="preserve">偷电量（kWh）、虚假占用</w:t>
            </w:r>
          </w:p>
        </w:tc>
      </w:tr>
      <w:tr>
        <w:tc>
          <w:tcPr/>
          <w:p>
            <w:pPr>
              <w:pStyle w:val="Compact"/>
              <w:jc w:val="left"/>
            </w:pPr>
            <w:r>
              <w:t xml:space="preserve">C 后台（CSMS）被攻破</w:t>
            </w:r>
          </w:p>
        </w:tc>
        <w:tc>
          <w:tcPr/>
          <w:p>
            <w:pPr>
              <w:pStyle w:val="Compact"/>
              <w:jc w:val="left"/>
            </w:pPr>
            <w:r>
              <w:t xml:space="preserve">单点向大量桩扇出 SetChargingProfile 限功率或 RemoteStop</w:t>
            </w:r>
          </w:p>
        </w:tc>
        <w:tc>
          <w:tcPr/>
          <w:p>
            <w:pPr>
              <w:pStyle w:val="Compact"/>
              <w:jc w:val="left"/>
            </w:pPr>
            <w:r>
              <w:t xml:space="preserve">可控 MW、被拒会话数、受影响市镇数</w:t>
            </w:r>
          </w:p>
        </w:tc>
      </w:tr>
      <w:tr>
        <w:tc>
          <w:tcPr/>
          <w:p>
            <w:pPr>
              <w:pStyle w:val="Compact"/>
              <w:jc w:val="left"/>
            </w:pPr>
            <w:r>
              <w:t xml:space="preserve">D 对后台拒绝服务</w:t>
            </w:r>
          </w:p>
        </w:tc>
        <w:tc>
          <w:tcPr/>
          <w:p>
            <w:pPr>
              <w:pStyle w:val="Compact"/>
              <w:jc w:val="left"/>
            </w:pPr>
            <w:r>
              <w:t xml:space="preserve">Heartbeat 或 WebSocket 连接洪泛</w:t>
            </w:r>
          </w:p>
        </w:tc>
        <w:tc>
          <w:tcPr/>
          <w:p>
            <w:pPr>
              <w:pStyle w:val="Compact"/>
              <w:jc w:val="left"/>
            </w:pPr>
            <w:r>
              <w:t xml:space="preserve">失联站点数、离线期间会话数</w:t>
            </w:r>
          </w:p>
        </w:tc>
      </w:tr>
    </w:tbl>
    <w:p>
      <w:pPr>
        <w:pStyle w:val="BodyText"/>
      </w:pPr>
      <w:r>
        <w:rPr>
          <w:bCs/>
          <w:b/>
        </w:rPr>
        <w:t xml:space="preserve">A 中间人。</w:t>
      </w:r>
      <w:r>
        <w:t xml:space="preserve"> </w:t>
      </w:r>
      <w:r>
        <w:t xml:space="preserve">OCPP 1.6 允许明文 ws；链路若未用 wss/TLS，在途攻击者即可读写控制消息[6,12]，把 SetChargingProfile 功率上限改至近零或抬高、改写上行 MeterValues 制造计费偏差、伪造或截停 RemoteStopTransaction。</w:t>
      </w:r>
      <w:r>
        <w:rPr>
          <w:bCs/>
          <w:b/>
        </w:rPr>
        <w:t xml:space="preserve">B 冒充/克隆。</w:t>
      </w:r>
      <w:r>
        <w:t xml:space="preserve"> </w:t>
      </w:r>
      <w:r>
        <w:t xml:space="preserve">伪造 BootNotification 可注册幻影桩或劫持充电点编号；重放一条合法 Authorize 即可取得授权。据登记表复算，3,302 个充电点中 3,053 个（92.5%）接受 RFID、2,897 个（87.7%）为”rfid;apps”组合（图 3a），RFID 克隆因此是现实攻击面[10]。</w:t>
      </w:r>
      <w:r>
        <w:rPr>
          <w:bCs/>
          <w:b/>
        </w:rPr>
        <w:t xml:space="preserve">C 后台被攻破。</w:t>
      </w:r>
      <w:r>
        <w:t xml:space="preserve"> </w:t>
      </w:r>
      <w:r>
        <w:t xml:space="preserve">取得某后台控制权即可向其名下全部桩扇出限功率/停充，扇出规模受运营商结构约束。</w:t>
      </w:r>
      <w:r>
        <w:rPr>
          <w:bCs/>
          <w:b/>
        </w:rPr>
        <w:t xml:space="preserve">D 拒绝服务。</w:t>
      </w:r>
      <w:r>
        <w:t xml:space="preserve"> </w:t>
      </w:r>
      <w:r>
        <w:t xml:space="preserve">心跳或连接洪泛使名下站点失联，离线期间指令与计量中断。</w:t>
      </w:r>
    </w:p>
    <w:bookmarkEnd w:id="37"/>
    <w:bookmarkStart w:id="44" w:name="可控性度量的形式化"/>
    <w:p>
      <w:pPr>
        <w:pStyle w:val="Heading2"/>
      </w:pPr>
      <w:r>
        <w:t xml:space="preserve">4.2 可控性度量的形式化</w:t>
      </w:r>
    </w:p>
    <w:p>
      <w:pPr>
        <w:pStyle w:val="FirstParagraph"/>
      </w:pPr>
      <w:r>
        <w:t xml:space="preserve">设攻击者位置</w:t>
      </w:r>
      <w:r>
        <w:t xml:space="preserve"> </w:t>
      </w:r>
      <w:r>
        <w:rPr>
          <w:iCs/>
          <w:i/>
        </w:rPr>
        <w:t xml:space="preserve">a</w:t>
      </w:r>
      <w:r>
        <w:t xml:space="preserve">、安全配置</w:t>
      </w:r>
      <w:r>
        <w:t xml:space="preserve"> </w:t>
      </w:r>
      <w:r>
        <w:rPr>
          <w:iCs/>
          <w:i/>
        </w:rPr>
        <w:t xml:space="preserve">c</w:t>
      </w:r>
      <w:r>
        <w:t xml:space="preserve">（加密与认证等级）。定义</w:t>
      </w:r>
      <w:r>
        <w:rPr>
          <w:bCs/>
          <w:b/>
        </w:rPr>
        <w:t xml:space="preserve">可达集</w:t>
      </w:r>
      <w:r>
        <w:t xml:space="preserve"> </w:t>
      </w:r>
      <w:r>
        <w:rPr>
          <w:iCs/>
          <w:i/>
        </w:rPr>
        <w:t xml:space="preserve">R</w:t>
      </w:r>
      <w:r>
        <w:t xml:space="preserve">(</w:t>
      </w:r>
      <w:r>
        <w:rPr>
          <w:iCs/>
          <w:i/>
        </w:rPr>
        <w:t xml:space="preserve">a</w:t>
      </w:r>
      <w:r>
        <w:t xml:space="preserve">,</w:t>
      </w:r>
      <w:r>
        <w:rPr>
          <w:iCs/>
          <w:i/>
        </w:rPr>
        <w:t xml:space="preserve">c</w:t>
      </w:r>
      <w:r>
        <w:t xml:space="preserve">) 为该位置、配置下可影响的充电点集合；可达性因此是”位置×配置”的函数。在其上定义：受控站点数</w:t>
      </w:r>
      <w:r>
        <w:t xml:space="preserve"> </w:t>
      </w:r>
      <w:r>
        <w:rPr>
          <w:iCs/>
          <w:i/>
        </w:rPr>
        <w:t xml:space="preserve">N</w:t>
      </w:r>
      <w:r>
        <w:t xml:space="preserve">=|{站点}|；</w:t>
      </w:r>
      <w:r>
        <w:rPr>
          <w:bCs/>
          <w:b/>
        </w:rPr>
        <w:t xml:space="preserve">可控 MW</w:t>
      </w:r>
      <w:r>
        <w:t xml:space="preserve"> </w:t>
      </w:r>
      <w:r>
        <w:rPr>
          <w:iCs/>
          <w:i/>
        </w:rPr>
        <w:t xml:space="preserve">P</w:t>
      </w:r>
      <w:r>
        <w:t xml:space="preserve">=Σ_{e∈R}</w:t>
      </w:r>
      <w:r>
        <w:rPr>
          <w:iCs/>
          <w:i/>
        </w:rPr>
        <w:t xml:space="preserve">P</w:t>
      </w:r>
      <w:r>
        <w:rPr>
          <w:vertAlign w:val="subscript"/>
        </w:rPr>
        <w:t xml:space="preserve">rated</w:t>
      </w:r>
      <w:r>
        <w:t xml:space="preserve">(</w:t>
      </w:r>
      <w:r>
        <w:rPr>
          <w:iCs/>
          <w:i/>
        </w:rPr>
        <w:t xml:space="preserve">e</w:t>
      </w:r>
      <w:r>
        <w:t xml:space="preserve">)；被拒会话数</w:t>
      </w:r>
      <w:r>
        <w:t xml:space="preserve"> </w:t>
      </w:r>
      <w:r>
        <w:rPr>
          <w:iCs/>
          <w:i/>
        </w:rPr>
        <w:t xml:space="preserve">D</w:t>
      </w:r>
      <w:r>
        <w:t xml:space="preserve">(</w:t>
      </w:r>
      <w:r>
        <w:rPr>
          <w:iCs/>
          <w:i/>
        </w:rPr>
        <w:t xml:space="preserve">a</w:t>
      </w:r>
      <w:r>
        <w:t xml:space="preserve">,</w:t>
      </w:r>
      <w:r>
        <w:rPr>
          <w:iCs/>
          <w:i/>
        </w:rPr>
        <w:t xml:space="preserve">c</w:t>
      </w:r>
      <w:r>
        <w:t xml:space="preserve">,[</w:t>
      </w:r>
      <w:r>
        <w:rPr>
          <w:iCs/>
          <w:i/>
        </w:rPr>
        <w:t xml:space="preserve">t</w:t>
      </w:r>
      <w:r>
        <w:t xml:space="preserve">₀,</w:t>
      </w:r>
      <w:r>
        <w:rPr>
          <w:iCs/>
          <w:i/>
        </w:rPr>
        <w:t xml:space="preserve">t</w:t>
      </w:r>
      <w:r>
        <w:t xml:space="preserve">₁])（真实会话时间线中落在攻击窗口且位于受影响站点的会话数）；受影响市镇数</w:t>
      </w:r>
      <w:r>
        <w:t xml:space="preserve"> </w:t>
      </w:r>
      <w:r>
        <w:rPr>
          <w:iCs/>
          <w:i/>
        </w:rPr>
        <w:t xml:space="preserve">M</w:t>
      </w:r>
      <w:r>
        <w:t xml:space="preserve">；计费偏差 Σ|上报−真实|×电价。</w:t>
      </w:r>
    </w:p>
    <w:p>
      <w:pPr>
        <w:pStyle w:val="BodyText"/>
      </w:pPr>
      <w:r>
        <w:t xml:space="preserve">可控 MW 的上限由登记表给定（图 3b）：全体 ≤ 63.47 MW、直流 ≤ 35.96 MW（直流占总功率 56.7%）。按运营商看（图 4），攻破单家后台的可控功率上限在 2.6–12.3 MW：Endesa X Way 12.33 MW（直流 4.60）、Iberdrola Clientes 9.75 MW（直流 5.19，即 AMB 网络所属后台）、BSM 8.67 MW（直流 2.65）。若跨后台聚合，按功率降序攻破约 5 家即可聚得全网约八成直流功率（图 3b）。这把[8]抽象的”受控比例</w:t>
      </w:r>
      <w:r>
        <w:t xml:space="preserve"> </w:t>
      </w:r>
      <w:r>
        <w:rPr>
          <w:iCs/>
          <w:i/>
        </w:rPr>
        <w:t xml:space="preserve">p</w:t>
      </w:r>
      <w:r>
        <w:t xml:space="preserve">”翻译成了”需攻破几家后台、可达多少 MW”的网络层问题。须强调可控 MW 是</w:t>
      </w:r>
      <w:r>
        <w:rPr>
          <w:bCs/>
          <w:b/>
        </w:rPr>
        <w:t xml:space="preserve">上限/恒等式</w:t>
      </w:r>
      <w:r>
        <w:t xml:space="preserve">意义的量，并非电网后果：63.47 MW 仅为本土峰值约 40 GW 的 0.16%，远低于触发 UFLS 的 9–11%[8]。</w:t>
      </w:r>
    </w:p>
    <w:p>
      <w:pPr>
        <w:pStyle w:val="BodyText"/>
      </w:pPr>
      <w:r>
        <w:drawing>
          <wp:inline>
            <wp:extent cx="5120640" cy="2810651"/>
            <wp:effectExtent b="0" l="0" r="0" t="0"/>
            <wp:docPr descr="" title="" id="39" name="Picture"/>
            <a:graphic>
              <a:graphicData uri="http://schemas.openxmlformats.org/drawingml/2006/picture">
                <pic:pic>
                  <pic:nvPicPr>
                    <pic:cNvPr descr="figs/fig3_surface.png" id="40" name="Picture"/>
                    <pic:cNvPicPr>
                      <a:picLocks noChangeArrowheads="1" noChangeAspect="1"/>
                    </pic:cNvPicPr>
                  </pic:nvPicPr>
                  <pic:blipFill>
                    <a:blip r:embed="rId38"/>
                    <a:stretch>
                      <a:fillRect/>
                    </a:stretch>
                  </pic:blipFill>
                  <pic:spPr bwMode="auto">
                    <a:xfrm>
                      <a:off x="0" y="0"/>
                      <a:ext cx="5120640" cy="2810651"/>
                    </a:xfrm>
                    <a:prstGeom prst="rect">
                      <a:avLst/>
                    </a:prstGeom>
                    <a:noFill/>
                    <a:ln w="9525">
                      <a:noFill/>
                      <a:headEnd/>
                      <a:tailEnd/>
                    </a:ln>
                  </pic:spPr>
                </pic:pic>
              </a:graphicData>
            </a:graphic>
          </wp:inline>
        </w:drawing>
      </w:r>
    </w:p>
    <w:p>
      <w:pPr>
        <w:pStyle w:val="BodyText"/>
      </w:pPr>
      <w:r>
        <w:rPr>
          <w:bCs/>
          <w:b/>
        </w:rPr>
        <w:t xml:space="preserve">图 3</w:t>
      </w:r>
      <w:r>
        <w:t xml:space="preserve"> </w:t>
      </w:r>
      <w:r>
        <w:t xml:space="preserve">攻击面的静态上限（DGT 登记表，2026-09-27 快照）。(a) 认证可达面：3,053 个充电点接受 RFID；(b) 后台聚合的可控功率：按功率降序累积，约 5 家后台即达全网八成直流功率，全网上限 63.47 MW（直流 35.96 MW）。</w:t>
      </w:r>
    </w:p>
    <w:p>
      <w:pPr>
        <w:pStyle w:val="BodyText"/>
      </w:pPr>
      <w:r>
        <w:drawing>
          <wp:inline>
            <wp:extent cx="4800600" cy="2330756"/>
            <wp:effectExtent b="0" l="0" r="0" t="0"/>
            <wp:docPr descr="" title="" id="42" name="Picture"/>
            <a:graphic>
              <a:graphicData uri="http://schemas.openxmlformats.org/drawingml/2006/picture">
                <pic:pic>
                  <pic:nvPicPr>
                    <pic:cNvPr descr="figs/fig4_blast.png" id="43" name="Picture"/>
                    <pic:cNvPicPr>
                      <a:picLocks noChangeArrowheads="1" noChangeAspect="1"/>
                    </pic:cNvPicPr>
                  </pic:nvPicPr>
                  <pic:blipFill>
                    <a:blip r:embed="rId41"/>
                    <a:stretch>
                      <a:fillRect/>
                    </a:stretch>
                  </pic:blipFill>
                  <pic:spPr bwMode="auto">
                    <a:xfrm>
                      <a:off x="0" y="0"/>
                      <a:ext cx="4800600" cy="2330756"/>
                    </a:xfrm>
                    <a:prstGeom prst="rect">
                      <a:avLst/>
                    </a:prstGeom>
                    <a:noFill/>
                    <a:ln w="9525">
                      <a:noFill/>
                      <a:headEnd/>
                      <a:tailEnd/>
                    </a:ln>
                  </pic:spPr>
                </pic:pic>
              </a:graphicData>
            </a:graphic>
          </wp:inline>
        </w:drawing>
      </w:r>
    </w:p>
    <w:p>
      <w:pPr>
        <w:pStyle w:val="BodyText"/>
      </w:pPr>
      <w:r>
        <w:rPr>
          <w:bCs/>
          <w:b/>
        </w:rPr>
        <w:t xml:space="preserve">图 4</w:t>
      </w:r>
      <w:r>
        <w:t xml:space="preserve"> </w:t>
      </w:r>
      <w:r>
        <w:t xml:space="preserve">后台被攻破的爆炸半径：AMB 范围前 8 家运营商，单个 CSMS 被攻破时的可控额定功率（总/直流）及其充电点数与覆盖市镇数。</w:t>
      </w:r>
    </w:p>
    <w:bookmarkEnd w:id="44"/>
    <w:bookmarkEnd w:id="45"/>
    <w:bookmarkStart w:id="55" w:name="防御检测与遏制"/>
    <w:p>
      <w:pPr>
        <w:pStyle w:val="Heading1"/>
      </w:pPr>
      <w:r>
        <w:t xml:space="preserve">5 防御：检测与遏制</w:t>
      </w:r>
    </w:p>
    <w:p>
      <w:pPr>
        <w:pStyle w:val="FirstParagraph"/>
      </w:pPr>
      <w:r>
        <w:t xml:space="preserve">与攻击侧一致，全部检测与遏制逻辑置于网络层与 CSMS，电网量仅作结果指标。仿真尚未执行，本节给出检测器构造、指标形式化与评估方案，不报告”测得”数值；基于真实数据可直接计算的量（如时间暴露）据实给出。</w:t>
      </w:r>
    </w:p>
    <w:bookmarkStart w:id="46" w:name="检测后台侧"/>
    <w:p>
      <w:pPr>
        <w:pStyle w:val="Heading2"/>
      </w:pPr>
      <w:r>
        <w:t xml:space="preserve">5.1 检测（后台侧）</w:t>
      </w:r>
    </w:p>
    <w:p>
      <w:pPr>
        <w:pStyle w:val="FirstParagraph"/>
      </w:pPr>
      <w:r>
        <w:t xml:space="preserve">检测融合两路特征：传输层流量特征由 NFStream 从 OCPP/WebSocket 连接提取（包/字节速率、到达间隔、连接频繁建断、心跳节律），识别 DoS 洪泛与中间人痕迹；OCPP 消息层特征包括消息类型序列、远程控制指令下发节律、授权/重放模式与 MeterValues 内部一致性[20]。</w:t>
      </w:r>
    </w:p>
    <w:p>
      <w:pPr>
        <w:pStyle w:val="BodyText"/>
      </w:pPr>
      <w:r>
        <w:t xml:space="preserve">核心检测器把”规模×节律”分解转为</w:t>
      </w:r>
      <w:r>
        <w:rPr>
          <w:bCs/>
          <w:b/>
        </w:rPr>
        <w:t xml:space="preserve">物理一致性检验</w:t>
      </w:r>
      <w:r>
        <w:t xml:space="preserve">。站点</w:t>
      </w:r>
      <w:r>
        <w:t xml:space="preserve"> </w:t>
      </w:r>
      <w:r>
        <w:rPr>
          <w:iCs/>
          <w:i/>
        </w:rPr>
        <w:t xml:space="preserve">s</w:t>
      </w:r>
      <w:r>
        <w:t xml:space="preserve"> </w:t>
      </w:r>
      <w:r>
        <w:t xml:space="preserve">在时片</w:t>
      </w:r>
      <w:r>
        <w:t xml:space="preserve"> </w:t>
      </w:r>
      <w:r>
        <w:rPr>
          <w:iCs/>
          <w:i/>
        </w:rPr>
        <w:t xml:space="preserve">t</w:t>
      </w:r>
      <w:r>
        <w:t xml:space="preserve"> </w:t>
      </w:r>
      <w:r>
        <w:t xml:space="preserve">的期望电量</w:t>
      </w:r>
      <w:r>
        <w:t xml:space="preserve"> </w:t>
      </w:r>
      <w:r>
        <w:rPr>
          <w:iCs/>
          <w:i/>
        </w:rPr>
        <w:t xml:space="preserve">Ê</w:t>
      </w:r>
      <w:r>
        <w:t xml:space="preserve">(</w:t>
      </w:r>
      <w:r>
        <w:rPr>
          <w:iCs/>
          <w:i/>
        </w:rPr>
        <w:t xml:space="preserve">s</w:t>
      </w:r>
      <w:r>
        <w:t xml:space="preserve">,</w:t>
      </w:r>
      <w:r>
        <w:rPr>
          <w:iCs/>
          <w:i/>
        </w:rPr>
        <w:t xml:space="preserve">t</w:t>
      </w:r>
      <w:r>
        <w:t xml:space="preserve">)=scale</w:t>
      </w:r>
      <w:r>
        <w:rPr>
          <w:vertAlign w:val="subscript"/>
          <w:iCs/>
          <w:i/>
        </w:rPr>
        <w:t xml:space="preserve">s</w:t>
      </w:r>
      <w:r>
        <w:t xml:space="preserve">·ρ(</w:t>
      </w:r>
      <w:r>
        <w:rPr>
          <w:iCs/>
          <w:i/>
        </w:rPr>
        <w:t xml:space="preserve">t</w:t>
      </w:r>
      <w:r>
        <w:t xml:space="preserve">)·</w:t>
      </w:r>
      <w:r>
        <w:rPr>
          <w:iCs/>
          <w:i/>
        </w:rPr>
        <w:t xml:space="preserve">g</w:t>
      </w:r>
      <w:r>
        <w:t xml:space="preserve">(</w:t>
      </w:r>
      <w:r>
        <w:rPr>
          <w:iCs/>
          <w:i/>
        </w:rPr>
        <w:t xml:space="preserve">s</w:t>
      </w:r>
      <w:r>
        <w:t xml:space="preserve">,</w:t>
      </w:r>
      <w:r>
        <w:rPr>
          <w:iCs/>
          <w:i/>
        </w:rPr>
        <w:t xml:space="preserve">d</w:t>
      </w:r>
      <w:r>
        <w:t xml:space="preserve">)，其中 scale</w:t>
      </w:r>
      <w:r>
        <w:rPr>
          <w:vertAlign w:val="subscript"/>
          <w:iCs/>
          <w:i/>
        </w:rPr>
        <w:t xml:space="preserve">s</w:t>
      </w:r>
      <w:r>
        <w:t xml:space="preserve"> </w:t>
      </w:r>
      <w:r>
        <w:t xml:space="preserve">为站点规模、ρ(</w:t>
      </w:r>
      <w:r>
        <w:rPr>
          <w:iCs/>
          <w:i/>
        </w:rPr>
        <w:t xml:space="preserve">t</w:t>
      </w:r>
      <w:r>
        <w:t xml:space="preserve">) 为全网归一化日节律、</w:t>
      </w:r>
      <w:r>
        <w:rPr>
          <w:iCs/>
          <w:i/>
        </w:rPr>
        <w:t xml:space="preserve">g</w:t>
      </w:r>
      <w:r>
        <w:t xml:space="preserve">(</w:t>
      </w:r>
      <w:r>
        <w:rPr>
          <w:iCs/>
          <w:i/>
        </w:rPr>
        <w:t xml:space="preserve">s</w:t>
      </w:r>
      <w:r>
        <w:t xml:space="preserve">,</w:t>
      </w:r>
      <w:r>
        <w:rPr>
          <w:iCs/>
          <w:i/>
        </w:rPr>
        <w:t xml:space="preserve">d</w:t>
      </w:r>
      <w:r>
        <w:t xml:space="preserve">) 为逐日设施状态（如同站直流可用日会话为不可用日的 3.45 倍[11]）。以观测/期望比</w:t>
      </w:r>
      <w:r>
        <w:t xml:space="preserve"> </w:t>
      </w:r>
      <w:r>
        <w:rPr>
          <w:iCs/>
          <w:i/>
        </w:rPr>
        <w:t xml:space="preserve">r</w:t>
      </w:r>
      <w:r>
        <w:t xml:space="preserve">(</w:t>
      </w:r>
      <w:r>
        <w:rPr>
          <w:iCs/>
          <w:i/>
        </w:rPr>
        <w:t xml:space="preserve">s</w:t>
      </w:r>
      <w:r>
        <w:t xml:space="preserve">,</w:t>
      </w:r>
      <w:r>
        <w:rPr>
          <w:iCs/>
          <w:i/>
        </w:rPr>
        <w:t xml:space="preserve">t</w:t>
      </w:r>
      <w:r>
        <w:t xml:space="preserve">)=</w:t>
      </w:r>
      <w:r>
        <w:rPr>
          <w:iCs/>
          <w:i/>
        </w:rPr>
        <w:t xml:space="preserve">E</w:t>
      </w:r>
      <w:r>
        <w:rPr>
          <w:vertAlign w:val="subscript"/>
        </w:rPr>
        <w:t xml:space="preserve">obs</w:t>
      </w:r>
      <w:r>
        <w:t xml:space="preserve">/</w:t>
      </w:r>
      <w:r>
        <w:rPr>
          <w:iCs/>
          <w:i/>
        </w:rPr>
        <w:t xml:space="preserve">Ê</w:t>
      </w:r>
      <w:r>
        <w:t xml:space="preserve"> </w:t>
      </w:r>
      <w:r>
        <w:t xml:space="preserve">为判据：伪造电表读数或把功率推出”规模×当日节律”包络之外都会使</w:t>
      </w:r>
      <w:r>
        <w:t xml:space="preserve"> </w:t>
      </w:r>
      <w:r>
        <w:rPr>
          <w:iCs/>
          <w:i/>
        </w:rPr>
        <w:t xml:space="preserve">r</w:t>
      </w:r>
      <w:r>
        <w:t xml:space="preserve"> </w:t>
      </w:r>
      <w:r>
        <w:t xml:space="preserve">越过正常带。这相当于给攻击者施加物理合理性先验：要么把篡改压在站点自身历史包络内（自限损害），要么冒被检测的风险。图 6 在真实日序列上展示其行为——4-28 大停电使</w:t>
      </w:r>
      <w:r>
        <w:rPr>
          <w:bCs/>
          <w:b/>
        </w:rPr>
        <w:t xml:space="preserve">全网同步</w:t>
      </w:r>
      <w:r>
        <w:t xml:space="preserve">跌至期望的 0.53（全站一致→判为良性、须白名单），而注入的伪造电表读数在</w:t>
      </w:r>
      <w:r>
        <w:rPr>
          <w:bCs/>
          <w:b/>
        </w:rPr>
        <w:t xml:space="preserve">单站</w:t>
      </w:r>
      <w:r>
        <w:t xml:space="preserve">使比值冲高越过上带（告警）；二者的区分正来自”规模×节律”的联合期望。跨运营商联邦检测使各运营商日志本地化、仅共享模型参数与异常统计[10,21]，契合 AMB 真实的多运营商结构。所有检测器须通过第 3.3 节三类真实异常的假阳性考验并单独报告误报率。</w:t>
      </w:r>
    </w:p>
    <w:bookmarkEnd w:id="46"/>
    <w:bookmarkStart w:id="50" w:name="遏制与时间暴露"/>
    <w:p>
      <w:pPr>
        <w:pStyle w:val="Heading2"/>
      </w:pPr>
      <w:r>
        <w:t xml:space="preserve">5.2 遏制与时间暴露</w:t>
      </w:r>
    </w:p>
    <w:p>
      <w:pPr>
        <w:pStyle w:val="FirstParagraph"/>
      </w:pPr>
      <w:r>
        <w:t xml:space="preserve">遏制手段建模为情景变量：加密与认证等级（OCPP 安全配置档）；远程功率/停充指令限速（据[8]限速有效）；按运营商或区域隔离；跨运营商联邦检测作前置。防御的紧迫性取决于真实流量的时间暴露（图 5）：工作日会话到达在 18 时达日均的 2.0 倍，45.4% 的会话在 12–19 时开始；因此对 AMB 网络（Iberdrola 后台）的一次拒绝服务，其被拒会话数强烈依赖攻击时刻——中断 3 小时在傍晚最多拒绝约 89 次/日会话，而深夜不足其 1/4。这说明”被发现前的损失”不仅取决于遏制速度，也取决于攻击落在节律的哪一段。</w:t>
      </w:r>
    </w:p>
    <w:p>
      <w:pPr>
        <w:pStyle w:val="BodyText"/>
      </w:pPr>
      <w:r>
        <w:drawing>
          <wp:inline>
            <wp:extent cx="5120640" cy="2964021"/>
            <wp:effectExtent b="0" l="0" r="0" t="0"/>
            <wp:docPr descr="" title="" id="48" name="Picture"/>
            <a:graphic>
              <a:graphicData uri="http://schemas.openxmlformats.org/drawingml/2006/picture">
                <pic:pic>
                  <pic:nvPicPr>
                    <pic:cNvPr descr="figs/fig5_temporal.png" id="49" name="Picture"/>
                    <pic:cNvPicPr>
                      <a:picLocks noChangeArrowheads="1" noChangeAspect="1"/>
                    </pic:cNvPicPr>
                  </pic:nvPicPr>
                  <pic:blipFill>
                    <a:blip r:embed="rId47"/>
                    <a:stretch>
                      <a:fillRect/>
                    </a:stretch>
                  </pic:blipFill>
                  <pic:spPr bwMode="auto">
                    <a:xfrm>
                      <a:off x="0" y="0"/>
                      <a:ext cx="5120640" cy="2964021"/>
                    </a:xfrm>
                    <a:prstGeom prst="rect">
                      <a:avLst/>
                    </a:prstGeom>
                    <a:noFill/>
                    <a:ln w="9525">
                      <a:noFill/>
                      <a:headEnd/>
                      <a:tailEnd/>
                    </a:ln>
                  </pic:spPr>
                </pic:pic>
              </a:graphicData>
            </a:graphic>
          </wp:inline>
        </w:drawing>
      </w:r>
    </w:p>
    <w:p>
      <w:pPr>
        <w:pStyle w:val="BodyText"/>
      </w:pPr>
      <w:r>
        <w:rPr>
          <w:bCs/>
          <w:b/>
        </w:rPr>
        <w:t xml:space="preserve">图 5</w:t>
      </w:r>
      <w:r>
        <w:t xml:space="preserve"> </w:t>
      </w:r>
      <w:r>
        <w:t xml:space="preserve">真实充电流量下的时间暴露（AMB 网络 2025 全年会话）。(a) 工作日/周末到达节律，工作日傍晚峰为日均 2.0 倍；(b) 后台中断 1/3 小时在不同起始时刻的被拒会话数。</w:t>
      </w:r>
    </w:p>
    <w:bookmarkEnd w:id="50"/>
    <w:bookmarkStart w:id="54" w:name="评价主指标"/>
    <w:p>
      <w:pPr>
        <w:pStyle w:val="Heading2"/>
      </w:pPr>
      <w:r>
        <w:t xml:space="preserve">5.3 评价主指标</w:t>
      </w:r>
    </w:p>
    <w:p>
      <w:pPr>
        <w:pStyle w:val="FirstParagraph"/>
      </w:pPr>
      <w:r>
        <w:t xml:space="preserve">主指标为”被发现前造成的损失”而非仅 AUC：累计受控电量（MWh，受控功率上限为登记表额定功率的函数）、被拒会话数（按真实会话流量折算）、受影响市镇数（AMB 网络覆盖 33 个市镇）。定义检测时延为攻击注入到首次正确告警的时间，损失即检测时延沿攻击功率曲线的积分。三量全部可在 H3 功能分区与站点图层上随时间轴回放（第 7 节），使”被发现前的损失”既是数值指标也是可视化的攻防时间线。</w:t>
      </w:r>
    </w:p>
    <w:p>
      <w:pPr>
        <w:pStyle w:val="BodyText"/>
      </w:pPr>
      <w:r>
        <w:drawing>
          <wp:inline>
            <wp:extent cx="4907280" cy="3058304"/>
            <wp:effectExtent b="0" l="0" r="0" t="0"/>
            <wp:docPr descr="" title="" id="52" name="Picture"/>
            <a:graphic>
              <a:graphicData uri="http://schemas.openxmlformats.org/drawingml/2006/picture">
                <pic:pic>
                  <pic:nvPicPr>
                    <pic:cNvPr descr="figs/fig6_detector.png" id="53" name="Picture"/>
                    <pic:cNvPicPr>
                      <a:picLocks noChangeArrowheads="1" noChangeAspect="1"/>
                    </pic:cNvPicPr>
                  </pic:nvPicPr>
                  <pic:blipFill>
                    <a:blip r:embed="rId51"/>
                    <a:stretch>
                      <a:fillRect/>
                    </a:stretch>
                  </pic:blipFill>
                  <pic:spPr bwMode="auto">
                    <a:xfrm>
                      <a:off x="0" y="0"/>
                      <a:ext cx="4907280" cy="3058304"/>
                    </a:xfrm>
                    <a:prstGeom prst="rect">
                      <a:avLst/>
                    </a:prstGeom>
                    <a:noFill/>
                    <a:ln w="9525">
                      <a:noFill/>
                      <a:headEnd/>
                      <a:tailEnd/>
                    </a:ln>
                  </pic:spPr>
                </pic:pic>
              </a:graphicData>
            </a:graphic>
          </wp:inline>
        </w:drawing>
      </w:r>
    </w:p>
    <w:p>
      <w:pPr>
        <w:pStyle w:val="BodyText"/>
      </w:pPr>
      <w:r>
        <w:rPr>
          <w:bCs/>
          <w:b/>
        </w:rPr>
        <w:t xml:space="preserve">图 6</w:t>
      </w:r>
      <w:r>
        <w:t xml:space="preserve"> </w:t>
      </w:r>
      <w:r>
        <w:t xml:space="preserve">物理一致性检测器在真实日序列上的行为。上：全网日会话数与”规模×节律”28 日稳健基线（基线随全年增长上升，会话 1 月 9,578 次→12 月 14,330 次）；下：观测/期望一致性比，4-28 大停电全网同步跌至 0.53（良性）、注入的伪造电表读数单站冲高越过上带（告警）。</w:t>
      </w:r>
    </w:p>
    <w:bookmarkEnd w:id="54"/>
    <w:bookmarkEnd w:id="55"/>
    <w:bookmarkStart w:id="58" w:name="实验设计与评估"/>
    <w:p>
      <w:pPr>
        <w:pStyle w:val="Heading1"/>
      </w:pPr>
      <w:r>
        <w:t xml:space="preserve">6 实验设计与评估</w:t>
      </w:r>
    </w:p>
    <w:p>
      <w:pPr>
        <w:pStyle w:val="FirstParagraph"/>
      </w:pPr>
      <w:r>
        <w:t xml:space="preserve">仿真尚未执行，本节给出测量计划与指标定义；涉及结果处仅陈述评价框架与标注为”示意”的定性方向。</w:t>
      </w:r>
    </w:p>
    <w:bookmarkStart w:id="56" w:name="场景矩阵与指标"/>
    <w:p>
      <w:pPr>
        <w:pStyle w:val="Heading2"/>
      </w:pPr>
      <w:r>
        <w:t xml:space="preserve">6.1 场景矩阵与指标</w:t>
      </w:r>
    </w:p>
    <w:p>
      <w:pPr>
        <w:pStyle w:val="FirstParagraph"/>
      </w:pPr>
      <w:r>
        <w:t xml:space="preserve">实验在四维笛卡尔积上展开（完整取值见附录 B）：攻击者位置</w:t>
      </w:r>
      <w:r>
        <w:t xml:space="preserve"> </w:t>
      </w:r>
      <w:r>
        <w:rPr>
          <w:iCs/>
          <w:i/>
        </w:rPr>
        <w:t xml:space="preserve">A</w:t>
      </w:r>
      <w:r>
        <w:t xml:space="preserve">∈{A1–A4}；OCPP 版本与安全配置</w:t>
      </w:r>
      <w:r>
        <w:t xml:space="preserve"> </w:t>
      </w:r>
      <w:r>
        <w:rPr>
          <w:iCs/>
          <w:i/>
        </w:rPr>
        <w:t xml:space="preserve">V</w:t>
      </w:r>
      <w:r>
        <w:t xml:space="preserve">∈{1.6；2.0.1 档 1/2/3；2.1}；防御配置</w:t>
      </w:r>
      <w:r>
        <w:t xml:space="preserve"> </w:t>
      </w:r>
      <w:r>
        <w:rPr>
          <w:iCs/>
          <w:i/>
        </w:rPr>
        <w:t xml:space="preserve">D</w:t>
      </w:r>
      <w:r>
        <w:t xml:space="preserve">∈{无防御、链路加密与双向认证、指令限速、运营商/区域隔离、联邦检测、规模×节律一致性检测}（单独与组合）；攻击规模与协同度</w:t>
      </w:r>
      <w:r>
        <w:t xml:space="preserve"> </w:t>
      </w:r>
      <w:r>
        <w:rPr>
          <w:iCs/>
          <w:i/>
        </w:rPr>
        <w:t xml:space="preserve">C</w:t>
      </w:r>
      <w:r>
        <w:t xml:space="preserve">（单站/单运营商/跨运营商、随机/择直流高功率、独立/时间同步）。设攻击在</w:t>
      </w:r>
      <w:r>
        <w:t xml:space="preserve"> </w:t>
      </w:r>
      <w:r>
        <w:rPr>
          <w:iCs/>
          <w:i/>
        </w:rPr>
        <w:t xml:space="preserve">t</w:t>
      </w:r>
      <w:r>
        <w:t xml:space="preserve">₀ 注入首条恶意消息、</w:t>
      </w:r>
      <w:r>
        <w:rPr>
          <w:iCs/>
          <w:i/>
        </w:rPr>
        <w:t xml:space="preserve">t_d</w:t>
      </w:r>
      <w:r>
        <w:t xml:space="preserve"> </w:t>
      </w:r>
      <w:r>
        <w:t xml:space="preserve">为首个可归因真阳性告警、</w:t>
      </w:r>
      <w:r>
        <w:rPr>
          <w:iCs/>
          <w:i/>
        </w:rPr>
        <w:t xml:space="preserve">t_c</w:t>
      </w:r>
      <w:r>
        <w:t xml:space="preserve"> </w:t>
      </w:r>
      <w:r>
        <w:t xml:space="preserve">为遏制使受控量降至阈值。度量：检测时延 τ_d=</w:t>
      </w:r>
      <w:r>
        <w:rPr>
          <w:iCs/>
          <w:i/>
        </w:rPr>
        <w:t xml:space="preserve">t_d</w:t>
      </w:r>
      <w:r>
        <w:t xml:space="preserve">−</w:t>
      </w:r>
      <w:r>
        <w:rPr>
          <w:iCs/>
          <w:i/>
        </w:rPr>
        <w:t xml:space="preserve">t</w:t>
      </w:r>
      <w:r>
        <w:t xml:space="preserve">₀、遏制时间 τ_c=</w:t>
      </w:r>
      <w:r>
        <w:rPr>
          <w:iCs/>
          <w:i/>
        </w:rPr>
        <w:t xml:space="preserve">t_c</w:t>
      </w:r>
      <w:r>
        <w:t xml:space="preserve">−</w:t>
      </w:r>
      <w:r>
        <w:rPr>
          <w:iCs/>
          <w:i/>
        </w:rPr>
        <w:t xml:space="preserve">t_d</w:t>
      </w:r>
      <w:r>
        <w:t xml:space="preserve">；残余损失（</w:t>
      </w:r>
      <w:r>
        <w:rPr>
          <w:iCs/>
          <w:i/>
        </w:rPr>
        <w:t xml:space="preserve">t</w:t>
      </w:r>
      <w:r>
        <w:t xml:space="preserve">₀–</w:t>
      </w:r>
      <w:r>
        <w:rPr>
          <w:iCs/>
          <w:i/>
        </w:rPr>
        <w:t xml:space="preserve">t_c</w:t>
      </w:r>
      <w:r>
        <w:t xml:space="preserve"> </w:t>
      </w:r>
      <w:r>
        <w:t xml:space="preserve">窗口）被操纵电量 ΔE、被拒会话 N_rej、受影响市镇 |M|；计费偏差 Δ€ 与偷电量；误报率 FPR（指标形式化见附录 C）。</w:t>
      </w:r>
    </w:p>
    <w:bookmarkEnd w:id="56"/>
    <w:bookmarkStart w:id="57" w:name="基线消融与统计"/>
    <w:p>
      <w:pPr>
        <w:pStyle w:val="Heading2"/>
      </w:pPr>
      <w:r>
        <w:t xml:space="preserve">6.2 基线、消融与统计</w:t>
      </w:r>
    </w:p>
    <w:p>
      <w:pPr>
        <w:pStyle w:val="FirstParagraph"/>
      </w:pPr>
      <w:r>
        <w:t xml:space="preserve">基线取无防御给出损失上界；逐一启用各遏制手段再评估组合栈。平行对比在实验室脚本流量[9,10]上标定的检测器与在本文真实背景流量上标定者，二者差距即本文待验证的核心贡献。真实异常套件充当”闸门”：任一配置须在三类真实异常上将误报率控制在上限 α 内，否则不计入主比较。预期方向（示意、不附数值）：链路加密使中间人类（A1）可控 MW 趋近零而对后台被攻破（A3）无效；指令限速主要压低 A3 的峰值可控 MW 与遏制时间（图 A1 的分析模型表明，隔离加限速可把 30 分钟时延内的可达功率从数十 MW 压到数 MW）；物理一致性检测对伪造电表/偷电检测较快、对纯 DoS 较弱；联邦检测缩短协同攻击检测时延但以更高误报与数据共享成本为代价。每个场景格重复运行，报告中位数与 95% 自助置信区间，配对比较采用共同随机数，全部种子与配置入库以保证可复现。</w:t>
      </w:r>
    </w:p>
    <w:bookmarkEnd w:id="57"/>
    <w:bookmarkEnd w:id="58"/>
    <w:bookmarkStart w:id="59" w:name="地图可视化与工具链"/>
    <w:p>
      <w:pPr>
        <w:pStyle w:val="Heading1"/>
      </w:pPr>
      <w:r>
        <w:t xml:space="preserve">7 地图可视化与工具链</w:t>
      </w:r>
    </w:p>
    <w:p>
      <w:pPr>
        <w:pStyle w:val="FirstParagraph"/>
      </w:pPr>
      <w:r>
        <w:rPr>
          <w:bCs/>
          <w:b/>
        </w:rPr>
        <w:t xml:space="preserve">地图。</w:t>
      </w:r>
      <w:r>
        <w:t xml:space="preserve"> </w:t>
      </w:r>
      <w:r>
        <w:t xml:space="preserve">底图复用[11]已建成的图层：基于 Uber H3 分辨率 8 的 894 个网格（414 个建成区）构成的功能分区，与 621 个站点的点图层（图 1）；站点按运营商着色并连向各自 CSMS，直接呈现”攻击面随后台归属而分割”的核心结构。其上叠加两类动态内容：时间轴回放（被控站点点亮、功率曲线、检测触发时刻、隔离后恢复，与第 6 节”被发现前时窗”一一对应），以及结果图层（受控 MW 热力、受影响市镇高亮、被拒会话聚集）。受控功率上限是登记表额定功率的函数，故热力层在仿真执行前即给出静态上界，仿真结果只在此上界内取值。</w:t>
      </w:r>
    </w:p>
    <w:p>
      <w:pPr>
        <w:pStyle w:val="BodyText"/>
      </w:pPr>
      <w:r>
        <w:rPr>
          <w:bCs/>
          <w:b/>
        </w:rPr>
        <w:t xml:space="preserve">工具链。</w:t>
      </w:r>
      <w:r>
        <w:t xml:space="preserve"> </w:t>
      </w:r>
      <w:r>
        <w:t xml:space="preserve">每个充电桩由 Python</w:t>
      </w:r>
      <w:r>
        <w:t xml:space="preserve"> </w:t>
      </w:r>
      <w:r>
        <w:rPr>
          <w:rStyle w:val="VerbatimChar"/>
        </w:rPr>
        <w:t xml:space="preserve">ocpp</w:t>
      </w:r>
      <w:r>
        <w:t xml:space="preserve"> </w:t>
      </w:r>
      <w:r>
        <w:t xml:space="preserve">库[16]启一个异步客户端，回放真实会话或以”规模×节律”生成背景流量；CSMS 侧用 SteVe[17]（OCPP 1.6）或 CitrineOS[18]（OCPP 2.0.1），使协议版本成为可切换情景变量；拓扑由 Mininet/IPMininet[19]搭建，桩—后台链路、隔离边界与联邦节点显式建模；攻击由 mitmproxy 注入、流量特征由 NFStream 提取[20]。现成框架中 EmuOCPP[22]（基于 IPMininet）与本文需求最接近，可作底座起点再按真实拓扑与流量扩展。异步 IO 使单机即可承载数十至数百个并发 OCPP 会话；拓扑、协议版本、加密等级、限速等情景变量均经配置文件参数化，支持场景矩阵批量重跑与结果归档。</w:t>
      </w:r>
    </w:p>
    <w:bookmarkEnd w:id="59"/>
    <w:bookmarkStart w:id="64" w:name="讨论伦理边界与结论"/>
    <w:p>
      <w:pPr>
        <w:pStyle w:val="Heading1"/>
      </w:pPr>
      <w:r>
        <w:t xml:space="preserve">8 讨论、伦理边界与结论</w:t>
      </w:r>
    </w:p>
    <w:bookmarkStart w:id="60" w:name="能与不能回答的问题"/>
    <w:p>
      <w:pPr>
        <w:pStyle w:val="Heading2"/>
      </w:pPr>
      <w:r>
        <w:t xml:space="preserve">8.1 能与不能回答的问题</w:t>
      </w:r>
    </w:p>
    <w:p>
      <w:pPr>
        <w:pStyle w:val="FirstParagraph"/>
      </w:pPr>
      <w:r>
        <w:t xml:space="preserve">本文能回答：在既定拓扑与流量下，攻击者占据 OCPP 通道不同位置时实际可控的站点数、可控 MW、可被拒会话量，以及防御方从异常出现到定位遏制的时间。它不能回答电网物理层的稳定性——这超出现有数据。电网仅作结果指标且不建潮流模型的取舍由量级论证支持（63.47 MW 仅为本土峰值 0.16%），与[8]一致；[8]把攻击抽象为受控比例</w:t>
      </w:r>
      <w:r>
        <w:t xml:space="preserve"> </w:t>
      </w:r>
      <w:r>
        <w:rPr>
          <w:iCs/>
          <w:i/>
        </w:rPr>
        <w:t xml:space="preserve">p</w:t>
      </w:r>
      <w:r>
        <w:t xml:space="preserve"> </w:t>
      </w:r>
      <w:r>
        <w:t xml:space="preserve">却未回答</w:t>
      </w:r>
      <w:r>
        <w:t xml:space="preserve"> </w:t>
      </w:r>
      <w:r>
        <w:rPr>
          <w:iCs/>
          <w:i/>
        </w:rPr>
        <w:t xml:space="preserve">p</w:t>
      </w:r>
      <w:r>
        <w:t xml:space="preserve"> </w:t>
      </w:r>
      <w:r>
        <w:t xml:space="preserve">如何从网络层得到，本文补的正是这一空白——以真实通道位置与真实流量推导</w:t>
      </w:r>
      <w:r>
        <w:t xml:space="preserve"> </w:t>
      </w:r>
      <w:r>
        <w:rPr>
          <w:iCs/>
          <w:i/>
        </w:rPr>
        <w:t xml:space="preserve">p</w:t>
      </w:r>
      <w:r>
        <w:t xml:space="preserve"> </w:t>
      </w:r>
      <w:r>
        <w:t xml:space="preserve">的上界及其时间演化。</w:t>
      </w:r>
    </w:p>
    <w:bookmarkEnd w:id="60"/>
    <w:bookmarkStart w:id="61" w:name="协议迁移与可迁移性"/>
    <w:p>
      <w:pPr>
        <w:pStyle w:val="Heading2"/>
      </w:pPr>
      <w:r>
        <w:t xml:space="preserve">8.2 协议迁移与可迁移性</w:t>
      </w:r>
    </w:p>
    <w:p>
      <w:pPr>
        <w:pStyle w:val="FirstParagraph"/>
      </w:pPr>
      <w:r>
        <w:t xml:space="preserve">OCPP 版本直接决定可控性：1.6 下中间人篡改、伪造电表与重放授权在未加密链路上现实可行；迁移到 2.0.1/2.1 后强制 TLS、设备证书与安全事件日志会显著压缩中间人与冒充类攻击面[12,13]，但后台被攻破后的批量限功率/停充、以及连接层 DoS 并不随协议升级消失。本框架不绑定巴塞罗那：任何 AFIR 城市都有等价的国家接入点登记表底座，方法学可直接移植；但具体数值不可迁移——设施倍数（同站直流 3.45 倍）、认证构成（2,897/3,302 为 rfid;apps）、运营商口径（编号 37 / 名称 38）等须在当地重估。</w:t>
      </w:r>
    </w:p>
    <w:bookmarkEnd w:id="61"/>
    <w:bookmarkStart w:id="62" w:name="伦理边界与局限"/>
    <w:p>
      <w:pPr>
        <w:pStyle w:val="Heading2"/>
      </w:pPr>
      <w:r>
        <w:t xml:space="preserve">8.3 伦理边界与局限</w:t>
      </w:r>
    </w:p>
    <w:p>
      <w:pPr>
        <w:pStyle w:val="FirstParagraph"/>
      </w:pPr>
      <w:r>
        <w:t xml:space="preserve">本研究全部在纯仿真环境进行，不接触任何真实运营商后台或充电桩，不向真实系统注入消息；任何在工具中发现的可被滥用缺陷遵循协调披露，并刻意不提供可直接用于攻击真实系统的操作细节、载荷或配置。主要局限：带会话流量的真实数据仅来自单一运营商（AMB 网络，Iberdrola Clientes）、单一年度，其余 550 站点只有静态属性、背景流量需借模型生成；DGT 登记表缺投运日期与配电拓扑；协议版本存在不确定性，只能以情景变量覆盖。</w:t>
      </w:r>
    </w:p>
    <w:bookmarkEnd w:id="62"/>
    <w:bookmarkStart w:id="63" w:name="结论"/>
    <w:p>
      <w:pPr>
        <w:pStyle w:val="Heading2"/>
      </w:pPr>
      <w:r>
        <w:t xml:space="preserve">8.4 结论</w:t>
      </w:r>
    </w:p>
    <w:p>
      <w:pPr>
        <w:pStyle w:val="FirstParagraph"/>
      </w:pPr>
      <w:r>
        <w:t xml:space="preserve">（1）在巴塞罗那真实结构下，网络层 OCPP 攻防的关键量不是电网频率，而是可控站点、可控 MW 与被拒会话，电网只宜作结果指标；攻破单家后台可控 2.6–12.3 MW，约 5 家后台聚得全网八成直流功率，均远低于触发 UFLS 的规模。（2）</w:t>
      </w:r>
      <w:r>
        <w:t xml:space="preserve">“</w:t>
      </w:r>
      <w:r>
        <w:t xml:space="preserve">规模×节律</w:t>
      </w:r>
      <w:r>
        <w:t xml:space="preserve">”</w:t>
      </w:r>
      <w:r>
        <w:t xml:space="preserve">分解可一物两用——既生成背景流量，又作站点上报电量的物理一致性检测器，并能把真实停电等良性异常与攻击区分。（3）评价应以”被发现前造成的损失”为主指标，并全部可在 H3 底图上按时间轴回放。后续工作：接入站点动态可用性数据替代静态登记表假设，以其他 AFIR 城市数据及 2026 年新会话检验外部有效性，并将协议版本纳入情景扫描以量化迁移收益。</w:t>
      </w:r>
    </w:p>
    <w:bookmarkEnd w:id="63"/>
    <w:bookmarkEnd w:id="64"/>
    <w:bookmarkStart w:id="65" w:name="参考文献"/>
    <w:p>
      <w:pPr>
        <w:pStyle w:val="Heading1"/>
      </w:pPr>
      <w:r>
        <w:t xml:space="preserve">参考文献</w:t>
      </w:r>
    </w:p>
    <w:p>
      <w:pPr>
        <w:pStyle w:val="FirstParagraph"/>
      </w:pPr>
      <w:r>
        <w:t xml:space="preserve">[1] European Parliament and Council. Regulation (EU) 2023/1804 on the deployment of alternative fuels infrastructure (AFIR).</w:t>
      </w:r>
      <w:r>
        <w:t xml:space="preserve"> </w:t>
      </w:r>
      <w:r>
        <w:rPr>
          <w:iCs/>
          <w:i/>
        </w:rPr>
        <w:t xml:space="preserve">Off. J. Eur. Union</w:t>
      </w:r>
      <w:r>
        <w:t xml:space="preserve"> </w:t>
      </w:r>
      <w:r>
        <w:t xml:space="preserve">L234 (2023).</w:t>
      </w:r>
      <w:r>
        <w:t xml:space="preserve"> </w:t>
      </w:r>
      <w:r>
        <w:t xml:space="preserve">[2] European Commission. Commission Implementing Regulation (EU) 2025/655 (data availability for AFIR). (2025).</w:t>
      </w:r>
      <w:r>
        <w:t xml:space="preserve"> </w:t>
      </w:r>
      <w:r>
        <w:t xml:space="preserve">[3] Köhler, S. et al. Brokenwire: Wireless disruption of CCS electric vehicle charging.</w:t>
      </w:r>
      <w:r>
        <w:t xml:space="preserve"> </w:t>
      </w:r>
      <w:r>
        <w:rPr>
          <w:iCs/>
          <w:i/>
        </w:rPr>
        <w:t xml:space="preserve">NDSS</w:t>
      </w:r>
      <w:r>
        <w:t xml:space="preserve"> </w:t>
      </w:r>
      <w:r>
        <w:t xml:space="preserve">(2023).</w:t>
      </w:r>
      <w:r>
        <w:t xml:space="preserve"> </w:t>
      </w:r>
      <w:r>
        <w:t xml:space="preserve">[4] Szakály, M., Strohmeier, M., Martinovic, I. &amp; Köhler, S. DCeption: Real-world wireless man-in-the-middle attacks against CCS EV charging.</w:t>
      </w:r>
      <w:r>
        <w:t xml:space="preserve"> </w:t>
      </w:r>
      <w:r>
        <w:rPr>
          <w:iCs/>
          <w:i/>
        </w:rPr>
        <w:t xml:space="preserve">arXiv:2601.15515</w:t>
      </w:r>
      <w:r>
        <w:t xml:space="preserve"> </w:t>
      </w:r>
      <w:r>
        <w:t xml:space="preserve">(2026).</w:t>
      </w:r>
      <w:r>
        <w:t xml:space="preserve"> </w:t>
      </w:r>
      <w:r>
        <w:t xml:space="preserve">[5] Szakály, M., Köhler, S. &amp; Martinovic, I. Current Affairs: A security measurement study of CCS EV charging deployments.</w:t>
      </w:r>
      <w:r>
        <w:t xml:space="preserve"> </w:t>
      </w:r>
      <w:r>
        <w:rPr>
          <w:iCs/>
          <w:i/>
        </w:rPr>
        <w:t xml:space="preserve">USENIX Security</w:t>
      </w:r>
      <w:r>
        <w:t xml:space="preserve"> </w:t>
      </w:r>
      <w:r>
        <w:t xml:space="preserve">(2025).</w:t>
      </w:r>
      <w:r>
        <w:t xml:space="preserve"> </w:t>
      </w:r>
      <w:r>
        <w:t xml:space="preserve">[6] Open Charge Alliance. Open Charge Point Protocol 1.6 (2015).</w:t>
      </w:r>
      <w:r>
        <w:t xml:space="preserve"> </w:t>
      </w:r>
      <w:r>
        <w:t xml:space="preserve">[7] Open Charge Alliance. Open Charge Point Protocol 2.0.1 (2020).</w:t>
      </w:r>
      <w:r>
        <w:t xml:space="preserve"> </w:t>
      </w:r>
      <w:r>
        <w:t xml:space="preserve">[8] SISCOM 研究组（UPC）. 大规模入侵充电管理平台操纵直流充电桩对欧洲电网稳定性的影响：一项数据驱动的仿真评估（草稿，2026）.</w:t>
      </w:r>
      <w:r>
        <w:t xml:space="preserve"> </w:t>
      </w:r>
      <w:r>
        <w:t xml:space="preserve">[9] Buedi, E. D., Ghorbani, A. A., Dadkhah, S. &amp; Ferreira, R. L. Enhancing EV charging station security using a multi-dimensional dataset: CICEVSE2024.</w:t>
      </w:r>
      <w:r>
        <w:t xml:space="preserve"> </w:t>
      </w:r>
      <w:r>
        <w:rPr>
          <w:iCs/>
          <w:i/>
        </w:rPr>
        <w:t xml:space="preserve">DBSec</w:t>
      </w:r>
      <w:r>
        <w:t xml:space="preserve"> </w:t>
      </w:r>
      <w:r>
        <w:t xml:space="preserve">(2024).</w:t>
      </w:r>
      <w:r>
        <w:t xml:space="preserve"> </w:t>
      </w:r>
      <w:r>
        <w:t xml:space="preserve">[10] Dalamagkas, C., Radoglou-Grammatikis, P. et al. Federated detection of OCPP 1.6 cyberattacks (Federated OCPP 1.6 Intrusion Detection Dataset).</w:t>
      </w:r>
      <w:r>
        <w:t xml:space="preserve"> </w:t>
      </w:r>
      <w:r>
        <w:rPr>
          <w:iCs/>
          <w:i/>
        </w:rPr>
        <w:t xml:space="preserve">arXiv:2502.01569 / Complex Eng. Syst.</w:t>
      </w:r>
      <w:r>
        <w:t xml:space="preserve"> </w:t>
      </w:r>
      <w:r>
        <w:t xml:space="preserve">(2025).</w:t>
      </w:r>
      <w:r>
        <w:t xml:space="preserve"> </w:t>
      </w:r>
      <w:r>
        <w:t xml:space="preserve">[11] ［作者等］. 空间稀疏、时间完整：从单一运营商记录与开放城市数据推断充电需求（配套需求论文，v2.4，未刊稿）.</w:t>
      </w:r>
      <w:r>
        <w:t xml:space="preserve"> </w:t>
      </w:r>
      <w:r>
        <w:t xml:space="preserve">[12] Tridens Technology. OCPP protocols: 1.6, 2.0.1 and 2.1 (vendor overview).</w:t>
      </w:r>
      <w:r>
        <w:t xml:space="preserve"> </w:t>
      </w:r>
      <w:r>
        <w:t xml:space="preserve">[13] Codibly. OCPP 2.1 (IEC 63584): key features (vendor overview).</w:t>
      </w:r>
      <w:r>
        <w:t xml:space="preserve"> </w:t>
      </w:r>
      <w:r>
        <w:t xml:space="preserve">[14] Open Charge Alliance. OCPP 2.1 is now available; IEC 63584-210:2025 (2025).</w:t>
      </w:r>
      <w:r>
        <w:t xml:space="preserve"> </w:t>
      </w:r>
      <w:r>
        <w:t xml:space="preserve">[15] PowerBench Dataset – Part 3: Cyber attacks on EVCS. Zenodo 15401290 (UT Dallas, 2025).</w:t>
      </w:r>
      <w:r>
        <w:t xml:space="preserve"> </w:t>
      </w:r>
      <w:r>
        <w:t xml:space="preserve">[16] The Mobility House.</w:t>
      </w:r>
      <w:r>
        <w:t xml:space="preserve"> </w:t>
      </w:r>
      <w:r>
        <w:rPr>
          <w:rStyle w:val="VerbatimChar"/>
        </w:rPr>
        <w:t xml:space="preserve">ocpp</w:t>
      </w:r>
      <w:r>
        <w:t xml:space="preserve"> </w:t>
      </w:r>
      <w:r>
        <w:t xml:space="preserve">— Python implementation of OCPP (open-source library).</w:t>
      </w:r>
      <w:r>
        <w:t xml:space="preserve"> </w:t>
      </w:r>
      <w:r>
        <w:t xml:space="preserve">[17] RWTH Aachen (ACS). SteVe — OCPP 1.6 charging station management system (open source).</w:t>
      </w:r>
      <w:r>
        <w:t xml:space="preserve"> </w:t>
      </w:r>
      <w:r>
        <w:t xml:space="preserve">[18] CitrineOS — open-source OCPP 2.0.1 CSMS.</w:t>
      </w:r>
      <w:r>
        <w:t xml:space="preserve"> </w:t>
      </w:r>
      <w:r>
        <w:t xml:space="preserve">[19] Mininet / IPMininet — network emulation.</w:t>
      </w:r>
      <w:r>
        <w:t xml:space="preserve"> </w:t>
      </w:r>
      <w:r>
        <w:t xml:space="preserve">[20] mitmproxy; NFStream — traffic interception and flow-feature extraction.</w:t>
      </w:r>
      <w:r>
        <w:t xml:space="preserve"> </w:t>
      </w:r>
      <w:r>
        <w:t xml:space="preserve">[21] Babayomi, O. &amp; Kim, D.-S. Federated anomaly detection and mitigation for EV charging forecasting under cyberattacks.</w:t>
      </w:r>
      <w:r>
        <w:t xml:space="preserve"> </w:t>
      </w:r>
      <w:r>
        <w:rPr>
          <w:iCs/>
          <w:i/>
        </w:rPr>
        <w:t xml:space="preserve">arXiv:2511.17978</w:t>
      </w:r>
      <w:r>
        <w:t xml:space="preserve"> </w:t>
      </w:r>
      <w:r>
        <w:t xml:space="preserve">(2025).</w:t>
      </w:r>
      <w:r>
        <w:t xml:space="preserve"> </w:t>
      </w:r>
      <w:r>
        <w:t xml:space="preserve">[22] EmuOCPP: an OCPP-centric emulation testbed on IPMininet.</w:t>
      </w:r>
      <w:r>
        <w:t xml:space="preserve"> </w:t>
      </w:r>
      <w:r>
        <w:rPr>
          <w:iCs/>
          <w:i/>
        </w:rPr>
        <w:t xml:space="preserve">USENIX VehicleSec</w:t>
      </w:r>
      <w:r>
        <w:t xml:space="preserve"> </w:t>
      </w:r>
      <w:r>
        <w:t xml:space="preserve">(2025).</w:t>
      </w:r>
    </w:p>
    <w:p>
      <w:r>
        <w:pict>
          <v:rect style="width:0;height:1.5pt" o:hralign="center" o:hrstd="t" o:hr="t"/>
        </w:pict>
      </w:r>
    </w:p>
    <w:bookmarkEnd w:id="65"/>
    <w:bookmarkStart w:id="66" w:name="附录-a-正文数字核对表来源与口径"/>
    <w:p>
      <w:pPr>
        <w:pStyle w:val="Heading1"/>
      </w:pPr>
      <w:r>
        <w:t xml:space="preserve">附录 A　正文数字核对表（来源与口径）</w:t>
      </w:r>
    </w:p>
    <w:p>
      <w:pPr>
        <w:pStyle w:val="FirstParagraph"/>
      </w:pPr>
      <w:r>
        <w:t xml:space="preserve">下表列出正文每个关键数字的来源与可核实性。</w:t>
      </w:r>
      <w:r>
        <w:t xml:space="preserve">“</w:t>
      </w:r>
      <w:r>
        <w:t xml:space="preserve">复算</w:t>
      </w:r>
      <w:r>
        <w:t xml:space="preserve">”</w:t>
      </w:r>
      <w:r>
        <w:t xml:space="preserve">指本研究由原始文件重新计算；</w:t>
      </w:r>
      <w:r>
        <w:t xml:space="preserve">“</w:t>
      </w:r>
      <w:r>
        <w:t xml:space="preserve">[11]</w:t>
      </w:r>
      <w:r>
        <w:t xml:space="preserve">”</w:t>
      </w:r>
      <w:r>
        <w:t xml:space="preserve">指配套需求论文；</w:t>
      </w:r>
      <w:r>
        <w:t xml:space="preserve">“</w:t>
      </w:r>
      <w:r>
        <w:t xml:space="preserve">[8]</w:t>
      </w:r>
      <w:r>
        <w:t xml:space="preserve">”</w:t>
      </w:r>
      <w:r>
        <w:t xml:space="preserve">指 SISCOM 仿真稿。</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来源/口径</w:t>
            </w:r>
          </w:p>
        </w:tc>
      </w:tr>
      <w:tr>
        <w:tc>
          <w:tcPr/>
          <w:p>
            <w:pPr>
              <w:pStyle w:val="Compact"/>
              <w:jc w:val="left"/>
            </w:pPr>
            <w:r>
              <w:t xml:space="preserve">AMB 登记站点记录</w:t>
            </w:r>
          </w:p>
        </w:tc>
        <w:tc>
          <w:tcPr/>
          <w:p>
            <w:pPr>
              <w:pStyle w:val="Compact"/>
              <w:jc w:val="left"/>
            </w:pPr>
            <w:r>
              <w:t xml:space="preserve">855</w:t>
            </w:r>
          </w:p>
        </w:tc>
        <w:tc>
          <w:tcPr/>
          <w:p>
            <w:pPr>
              <w:pStyle w:val="Compact"/>
              <w:jc w:val="left"/>
            </w:pPr>
            <w:r>
              <w:t xml:space="preserve">DGT 登记表复算（electrolineras.xml, 2026-09-27 快照, sha256 见 parse_report.json）</w:t>
            </w:r>
          </w:p>
        </w:tc>
      </w:tr>
      <w:tr>
        <w:tc>
          <w:tcPr/>
          <w:p>
            <w:pPr>
              <w:pStyle w:val="Compact"/>
              <w:jc w:val="left"/>
            </w:pPr>
            <w:r>
              <w:t xml:space="preserve">AMB 充电点 / 接口</w:t>
            </w:r>
          </w:p>
        </w:tc>
        <w:tc>
          <w:tcPr/>
          <w:p>
            <w:pPr>
              <w:pStyle w:val="Compact"/>
              <w:jc w:val="left"/>
            </w:pPr>
            <w:r>
              <w:t xml:space="preserve">3,302 / 4,733</w:t>
            </w:r>
          </w:p>
        </w:tc>
        <w:tc>
          <w:tcPr/>
          <w:p>
            <w:pPr>
              <w:pStyle w:val="Compact"/>
              <w:jc w:val="left"/>
            </w:pPr>
            <w:r>
              <w:t xml:space="preserve">同上</w:t>
            </w:r>
          </w:p>
        </w:tc>
      </w:tr>
      <w:tr>
        <w:tc>
          <w:tcPr/>
          <w:p>
            <w:pPr>
              <w:pStyle w:val="Compact"/>
              <w:jc w:val="left"/>
            </w:pPr>
            <w:r>
              <w:t xml:space="preserve">运营商数</w:t>
            </w:r>
          </w:p>
        </w:tc>
        <w:tc>
          <w:tcPr/>
          <w:p>
            <w:pPr>
              <w:pStyle w:val="Compact"/>
              <w:jc w:val="left"/>
            </w:pPr>
            <w:r>
              <w:t xml:space="preserve">37（编号）/ 38（名称）</w:t>
            </w:r>
          </w:p>
        </w:tc>
        <w:tc>
          <w:tcPr/>
          <w:p>
            <w:pPr>
              <w:pStyle w:val="Compact"/>
              <w:jc w:val="left"/>
            </w:pPr>
            <w:r>
              <w:t xml:space="preserve">复算（运营商编号 37；DGT 解析说明按名称记 38；口径差异）</w:t>
            </w:r>
          </w:p>
        </w:tc>
      </w:tr>
      <w:tr>
        <w:tc>
          <w:tcPr/>
          <w:p>
            <w:pPr>
              <w:pStyle w:val="Compact"/>
              <w:jc w:val="left"/>
            </w:pPr>
            <w:r>
              <w:t xml:space="preserve">总额定功率</w:t>
            </w:r>
          </w:p>
        </w:tc>
        <w:tc>
          <w:tcPr/>
          <w:p>
            <w:pPr>
              <w:pStyle w:val="Compact"/>
              <w:jc w:val="left"/>
            </w:pPr>
            <w:r>
              <w:t xml:space="preserve">63.47 MW</w:t>
            </w:r>
          </w:p>
        </w:tc>
        <w:tc>
          <w:tcPr/>
          <w:p>
            <w:pPr>
              <w:pStyle w:val="Compact"/>
              <w:jc w:val="left"/>
            </w:pPr>
            <w:r>
              <w:t xml:space="preserve">复算（各充电点接口最大功率之和，额定非同时容量）</w:t>
            </w:r>
          </w:p>
        </w:tc>
      </w:tr>
      <w:tr>
        <w:tc>
          <w:tcPr/>
          <w:p>
            <w:pPr>
              <w:pStyle w:val="Compact"/>
              <w:jc w:val="left"/>
            </w:pPr>
            <w:r>
              <w:t xml:space="preserve">直流充电点 / 功率</w:t>
            </w:r>
          </w:p>
        </w:tc>
        <w:tc>
          <w:tcPr/>
          <w:p>
            <w:pPr>
              <w:pStyle w:val="Compact"/>
              <w:jc w:val="left"/>
            </w:pPr>
            <w:r>
              <w:t xml:space="preserve">386 / 35.96 MW</w:t>
            </w:r>
          </w:p>
        </w:tc>
        <w:tc>
          <w:tcPr/>
          <w:p>
            <w:pPr>
              <w:pStyle w:val="Compact"/>
              <w:jc w:val="left"/>
            </w:pPr>
            <w:r>
              <w:t xml:space="preserve">复算（直流占充电点 11.7%、占功率 56.7%；220 站点有直流）</w:t>
            </w:r>
          </w:p>
        </w:tc>
      </w:tr>
      <w:tr>
        <w:tc>
          <w:tcPr/>
          <w:p>
            <w:pPr>
              <w:pStyle w:val="Compact"/>
              <w:jc w:val="left"/>
            </w:pPr>
            <w:r>
              <w:t xml:space="preserve">直流功率分档</w:t>
            </w:r>
          </w:p>
        </w:tc>
        <w:tc>
          <w:tcPr/>
          <w:p>
            <w:pPr>
              <w:pStyle w:val="Compact"/>
              <w:jc w:val="left"/>
            </w:pPr>
            <w:r>
              <w:t xml:space="preserve">&lt;40 kW:0.33；40–100:13.49；&gt;100:22.14 MW</w:t>
            </w:r>
          </w:p>
        </w:tc>
        <w:tc>
          <w:tcPr/>
          <w:p>
            <w:pPr>
              <w:pStyle w:val="Compact"/>
              <w:jc w:val="left"/>
            </w:pPr>
            <w:r>
              <w:t xml:space="preserve">复算</w:t>
            </w:r>
          </w:p>
        </w:tc>
      </w:tr>
      <w:tr>
        <w:tc>
          <w:tcPr/>
          <w:p>
            <w:pPr>
              <w:pStyle w:val="Compact"/>
              <w:jc w:val="left"/>
            </w:pPr>
            <w:r>
              <w:t xml:space="preserve">接受 RFID 的充电点</w:t>
            </w:r>
          </w:p>
        </w:tc>
        <w:tc>
          <w:tcPr/>
          <w:p>
            <w:pPr>
              <w:pStyle w:val="Compact"/>
              <w:jc w:val="left"/>
            </w:pPr>
            <w:r>
              <w:t xml:space="preserve">3,053（92.5%）</w:t>
            </w:r>
          </w:p>
        </w:tc>
        <w:tc>
          <w:tcPr/>
          <w:p>
            <w:pPr>
              <w:pStyle w:val="Compact"/>
              <w:jc w:val="left"/>
            </w:pPr>
            <w:r>
              <w:t xml:space="preserve">复算（认证字段 rfid；rfid;apps 组合 2,897=87.7%；apps 3,274=99.2%）</w:t>
            </w:r>
          </w:p>
        </w:tc>
      </w:tr>
      <w:tr>
        <w:tc>
          <w:tcPr/>
          <w:p>
            <w:pPr>
              <w:pStyle w:val="Compact"/>
              <w:jc w:val="left"/>
            </w:pPr>
            <w:r>
              <w:t xml:space="preserve">单家后台可控功率（前3）</w:t>
            </w:r>
          </w:p>
        </w:tc>
        <w:tc>
          <w:tcPr/>
          <w:p>
            <w:pPr>
              <w:pStyle w:val="Compact"/>
              <w:jc w:val="left"/>
            </w:pPr>
            <w:r>
              <w:t xml:space="preserve">Endesa X 12.33 / Iberdrola 9.75 / BSM 8.67 MW</w:t>
            </w:r>
          </w:p>
        </w:tc>
        <w:tc>
          <w:tcPr/>
          <w:p>
            <w:pPr>
              <w:pStyle w:val="Compact"/>
              <w:jc w:val="left"/>
            </w:pPr>
            <w:r>
              <w:t xml:space="preserve">复算（含直流 4.60 / 5.19 / 2.65 MW）</w:t>
            </w:r>
          </w:p>
        </w:tc>
      </w:tr>
      <w:tr>
        <w:tc>
          <w:tcPr/>
          <w:p>
            <w:pPr>
              <w:pStyle w:val="Compact"/>
              <w:jc w:val="left"/>
            </w:pPr>
            <w:r>
              <w:t xml:space="preserve">AMB 网络所属后台</w:t>
            </w:r>
          </w:p>
        </w:tc>
        <w:tc>
          <w:tcPr/>
          <w:p>
            <w:pPr>
              <w:pStyle w:val="Compact"/>
              <w:jc w:val="left"/>
            </w:pPr>
            <w:r>
              <w:t xml:space="preserve">Iberdrola Clientes（ES*IBD）</w:t>
            </w:r>
          </w:p>
        </w:tc>
        <w:tc>
          <w:tcPr/>
          <w:p>
            <w:pPr>
              <w:pStyle w:val="Compact"/>
              <w:jc w:val="left"/>
            </w:pPr>
            <w:r>
              <w:t xml:space="preserve">DGT features_report（71 站中 33 站在 DGT，均为该运营商；98 充电点、3.74 MW）</w:t>
            </w:r>
          </w:p>
        </w:tc>
      </w:tr>
      <w:tr>
        <w:tc>
          <w:tcPr/>
          <w:p>
            <w:pPr>
              <w:pStyle w:val="Compact"/>
              <w:jc w:val="left"/>
            </w:pPr>
            <w:r>
              <w:t xml:space="preserve">会话数 / 总电量</w:t>
            </w:r>
          </w:p>
        </w:tc>
        <w:tc>
          <w:tcPr/>
          <w:p>
            <w:pPr>
              <w:pStyle w:val="Compact"/>
              <w:jc w:val="left"/>
            </w:pPr>
            <w:r>
              <w:t xml:space="preserve">131,285 条清洗记录 / 1.97 GWh</w:t>
            </w:r>
          </w:p>
        </w:tc>
        <w:tc>
          <w:tcPr/>
          <w:p>
            <w:pPr>
              <w:pStyle w:val="Compact"/>
              <w:jc w:val="left"/>
            </w:pPr>
            <w:r>
              <w:t xml:space="preserve">charging_records_clean.csv 复算（[11] 报告 131,267 次，清洗口径差异）</w:t>
            </w:r>
          </w:p>
        </w:tc>
      </w:tr>
      <w:tr>
        <w:tc>
          <w:tcPr/>
          <w:p>
            <w:pPr>
              <w:pStyle w:val="Compact"/>
              <w:jc w:val="left"/>
            </w:pPr>
            <w:r>
              <w:t xml:space="preserve">直流会话占比</w:t>
            </w:r>
          </w:p>
        </w:tc>
        <w:tc>
          <w:tcPr/>
          <w:p>
            <w:pPr>
              <w:pStyle w:val="Compact"/>
              <w:jc w:val="left"/>
            </w:pPr>
            <w:r>
              <w:t xml:space="preserve">58.7%</w:t>
            </w:r>
          </w:p>
        </w:tc>
        <w:tc>
          <w:tcPr/>
          <w:p>
            <w:pPr>
              <w:pStyle w:val="Compact"/>
              <w:jc w:val="left"/>
            </w:pPr>
            <w:r>
              <w:t xml:space="preserve">复算</w:t>
            </w:r>
          </w:p>
        </w:tc>
      </w:tr>
      <w:tr>
        <w:tc>
          <w:tcPr/>
          <w:p>
            <w:pPr>
              <w:pStyle w:val="Compact"/>
              <w:jc w:val="left"/>
            </w:pPr>
            <w:r>
              <w:t xml:space="preserve">工作日傍晚峰 / 占比</w:t>
            </w:r>
          </w:p>
        </w:tc>
        <w:tc>
          <w:tcPr/>
          <w:p>
            <w:pPr>
              <w:pStyle w:val="Compact"/>
              <w:jc w:val="left"/>
            </w:pPr>
            <w:r>
              <w:t xml:space="preserve">18 时为日均 2.02 倍；12–19 时占 45.4%</w:t>
            </w:r>
          </w:p>
        </w:tc>
        <w:tc>
          <w:tcPr/>
          <w:p>
            <w:pPr>
              <w:pStyle w:val="Compact"/>
              <w:jc w:val="left"/>
            </w:pPr>
            <w:r>
              <w:t xml:space="preserve">charging_records 复算</w:t>
            </w:r>
          </w:p>
        </w:tc>
      </w:tr>
      <w:tr>
        <w:tc>
          <w:tcPr/>
          <w:p>
            <w:pPr>
              <w:pStyle w:val="Compact"/>
              <w:jc w:val="left"/>
            </w:pPr>
            <w:r>
              <w:t xml:space="preserve">4-28 大停电</w:t>
            </w:r>
          </w:p>
        </w:tc>
        <w:tc>
          <w:tcPr/>
          <w:p>
            <w:pPr>
              <w:pStyle w:val="Compact"/>
              <w:jc w:val="left"/>
            </w:pPr>
            <w:r>
              <w:t xml:space="preserve">当日 146 次 vs 邻周 285.8（比值 0.51/0.53）</w:t>
            </w:r>
          </w:p>
        </w:tc>
        <w:tc>
          <w:tcPr/>
          <w:p>
            <w:pPr>
              <w:pStyle w:val="Compact"/>
              <w:jc w:val="left"/>
            </w:pPr>
            <w:r>
              <w:t xml:space="preserve">复算（图 6 一致性比 0.53）</w:t>
            </w:r>
          </w:p>
        </w:tc>
      </w:tr>
      <w:tr>
        <w:tc>
          <w:tcPr/>
          <w:p>
            <w:pPr>
              <w:pStyle w:val="Compact"/>
              <w:jc w:val="left"/>
            </w:pPr>
            <w:r>
              <w:t xml:space="preserve">全年增长</w:t>
            </w:r>
          </w:p>
        </w:tc>
        <w:tc>
          <w:tcPr/>
          <w:p>
            <w:pPr>
              <w:pStyle w:val="Compact"/>
              <w:jc w:val="left"/>
            </w:pPr>
            <w:r>
              <w:t xml:space="preserve">1 月 9,578 → 12 月 14,330 次（1.5 倍）</w:t>
            </w:r>
          </w:p>
        </w:tc>
        <w:tc>
          <w:tcPr/>
          <w:p>
            <w:pPr>
              <w:pStyle w:val="Compact"/>
              <w:jc w:val="left"/>
            </w:pPr>
            <w:r>
              <w:t xml:space="preserve">复算（月会话总量）</w:t>
            </w:r>
          </w:p>
        </w:tc>
      </w:tr>
      <w:tr>
        <w:tc>
          <w:tcPr/>
          <w:p>
            <w:pPr>
              <w:pStyle w:val="Compact"/>
              <w:jc w:val="left"/>
            </w:pPr>
            <w:r>
              <w:t xml:space="preserve">网络平均/峰值功率</w:t>
            </w:r>
          </w:p>
        </w:tc>
        <w:tc>
          <w:tcPr/>
          <w:p>
            <w:pPr>
              <w:pStyle w:val="Compact"/>
              <w:jc w:val="left"/>
            </w:pPr>
            <w:r>
              <w:t xml:space="preserve">0.225 / 0.399 MW（按小时平均）</w:t>
            </w:r>
          </w:p>
        </w:tc>
        <w:tc>
          <w:tcPr/>
          <w:p>
            <w:pPr>
              <w:pStyle w:val="Compact"/>
              <w:jc w:val="left"/>
            </w:pPr>
            <w:r>
              <w:t xml:space="preserve">复算（会话能量按时长均摊，瞬时并发更高；能量/8760h=0.225 MW 自洽）</w:t>
            </w:r>
          </w:p>
        </w:tc>
      </w:tr>
      <w:tr>
        <w:tc>
          <w:tcPr/>
          <w:p>
            <w:pPr>
              <w:pStyle w:val="Compact"/>
              <w:jc w:val="left"/>
            </w:pPr>
            <w:r>
              <w:t xml:space="preserve">满桩</w:t>
            </w:r>
          </w:p>
        </w:tc>
        <w:tc>
          <w:tcPr/>
          <w:p>
            <w:pPr>
              <w:pStyle w:val="Compact"/>
              <w:jc w:val="left"/>
            </w:pPr>
            <w:r>
              <w:t xml:space="preserve">第四季度 16 个站点单元满桩≥5%，分布于 14 个站点</w:t>
            </w:r>
          </w:p>
        </w:tc>
        <w:tc>
          <w:tcPr/>
          <w:p>
            <w:pPr>
              <w:pStyle w:val="Compact"/>
              <w:jc w:val="left"/>
            </w:pPr>
            <w:r>
              <w:t xml:space="preserve">site_unit_saturation 复算（与[11]一致）</w:t>
            </w:r>
          </w:p>
        </w:tc>
      </w:tr>
      <w:tr>
        <w:tc>
          <w:tcPr/>
          <w:p>
            <w:pPr>
              <w:pStyle w:val="Compact"/>
              <w:jc w:val="left"/>
            </w:pPr>
            <w:r>
              <w:t xml:space="preserve">规模×节律解释力</w:t>
            </w:r>
          </w:p>
        </w:tc>
        <w:tc>
          <w:tcPr/>
          <w:p>
            <w:pPr>
              <w:pStyle w:val="Compact"/>
              <w:jc w:val="left"/>
            </w:pPr>
            <w:r>
              <w:t xml:space="preserve">规模 64%、+节律设施 68%、上限 83%</w:t>
            </w:r>
          </w:p>
        </w:tc>
        <w:tc>
          <w:tcPr/>
          <w:p>
            <w:pPr>
              <w:pStyle w:val="Compact"/>
              <w:jc w:val="left"/>
            </w:pPr>
            <w:r>
              <w:t xml:space="preserve">[11]</w:t>
            </w:r>
          </w:p>
        </w:tc>
      </w:tr>
      <w:tr>
        <w:tc>
          <w:tcPr/>
          <w:p>
            <w:pPr>
              <w:pStyle w:val="Compact"/>
              <w:jc w:val="left"/>
            </w:pPr>
            <w:r>
              <w:t xml:space="preserve">同站直流倍数</w:t>
            </w:r>
          </w:p>
        </w:tc>
        <w:tc>
          <w:tcPr/>
          <w:p>
            <w:pPr>
              <w:pStyle w:val="Compact"/>
              <w:jc w:val="left"/>
            </w:pPr>
            <w:r>
              <w:t xml:space="preserve">3.45 倍</w:t>
            </w:r>
          </w:p>
        </w:tc>
        <w:tc>
          <w:tcPr/>
          <w:p>
            <w:pPr>
              <w:pStyle w:val="Compact"/>
              <w:jc w:val="left"/>
            </w:pPr>
            <w:r>
              <w:t xml:space="preserve">[11]</w:t>
            </w:r>
          </w:p>
        </w:tc>
      </w:tr>
      <w:tr>
        <w:tc>
          <w:tcPr/>
          <w:p>
            <w:pPr>
              <w:pStyle w:val="Compact"/>
              <w:jc w:val="left"/>
            </w:pPr>
            <w:r>
              <w:t xml:space="preserve">SISCOM 关键值</w:t>
            </w:r>
          </w:p>
        </w:tc>
        <w:tc>
          <w:tcPr/>
          <w:p>
            <w:pPr>
              <w:pStyle w:val="Compact"/>
              <w:jc w:val="left"/>
            </w:pPr>
            <w:r>
              <w:rPr>
                <w:iCs/>
                <w:i/>
              </w:rPr>
              <w:t xml:space="preserve">p</w:t>
            </w:r>
            <w:r>
              <w:t xml:space="preserve">≈0.8%(2024)、2035≈6.7%、UFLS 9–11%、2.5 MW→&lt;0.90 pu、限速把触发概率 40%→4%→~0%</w:t>
            </w:r>
          </w:p>
        </w:tc>
        <w:tc>
          <w:tcPr/>
          <w:p>
            <w:pPr>
              <w:pStyle w:val="Compact"/>
              <w:jc w:val="left"/>
            </w:pPr>
            <w:r>
              <w:t xml:space="preserve">[8] 原文复核</w:t>
            </w:r>
          </w:p>
        </w:tc>
      </w:tr>
      <w:tr>
        <w:tc>
          <w:tcPr/>
          <w:p>
            <w:pPr>
              <w:pStyle w:val="Compact"/>
              <w:jc w:val="left"/>
            </w:pPr>
            <w:r>
              <w:t xml:space="preserve">西班牙本土电网峰值</w:t>
            </w:r>
          </w:p>
        </w:tc>
        <w:tc>
          <w:tcPr/>
          <w:p>
            <w:pPr>
              <w:pStyle w:val="Compact"/>
              <w:jc w:val="left"/>
            </w:pPr>
            <w:r>
              <w:t xml:space="preserve">约 40 GW 量级</w:t>
            </w:r>
          </w:p>
        </w:tc>
        <w:tc>
          <w:tcPr/>
          <w:p>
            <w:pPr>
              <w:pStyle w:val="Compact"/>
              <w:jc w:val="left"/>
            </w:pPr>
            <w:r>
              <w:t xml:space="preserve">常识性参照</w:t>
            </w:r>
          </w:p>
        </w:tc>
      </w:tr>
      <w:tr>
        <w:tc>
          <w:tcPr/>
          <w:p>
            <w:pPr>
              <w:pStyle w:val="Compact"/>
              <w:jc w:val="left"/>
            </w:pPr>
            <w:r>
              <w:t xml:space="preserve">63.47 MW 占本土峰值</w:t>
            </w:r>
          </w:p>
        </w:tc>
        <w:tc>
          <w:tcPr/>
          <w:p>
            <w:pPr>
              <w:pStyle w:val="Compact"/>
              <w:jc w:val="left"/>
            </w:pPr>
            <w:r>
              <w:t xml:space="preserve">0.16%</w:t>
            </w:r>
          </w:p>
        </w:tc>
        <w:tc>
          <w:tcPr/>
          <w:p>
            <w:pPr>
              <w:pStyle w:val="Compact"/>
              <w:jc w:val="left"/>
            </w:pPr>
            <w:r>
              <w:t xml:space="preserve">63.47/40000 计算</w:t>
            </w:r>
          </w:p>
        </w:tc>
      </w:tr>
      <w:tr>
        <w:tc>
          <w:tcPr/>
          <w:p>
            <w:pPr>
              <w:pStyle w:val="Compact"/>
              <w:jc w:val="left"/>
            </w:pPr>
            <w:r>
              <w:t xml:space="preserve">巴塞罗那 OCPP 版本</w:t>
            </w:r>
          </w:p>
        </w:tc>
        <w:tc>
          <w:tcPr/>
          <w:p>
            <w:pPr>
              <w:pStyle w:val="Compact"/>
              <w:jc w:val="left"/>
            </w:pPr>
            <w:r>
              <w:t xml:space="preserve">1.6（Endolla 计划 2.0）</w:t>
            </w:r>
          </w:p>
        </w:tc>
        <w:tc>
          <w:tcPr/>
          <w:p>
            <w:pPr>
              <w:pStyle w:val="Compact"/>
              <w:jc w:val="left"/>
            </w:pPr>
            <w:r>
              <w:rPr>
                <w:bCs/>
                <w:b/>
              </w:rPr>
              <w:t xml:space="preserve">未查得出处，按情景假设处理，非前提</w:t>
            </w:r>
          </w:p>
        </w:tc>
      </w:tr>
    </w:tbl>
    <w:bookmarkEnd w:id="66"/>
    <w:bookmarkStart w:id="67" w:name="附录-b-完整场景矩阵"/>
    <w:p>
      <w:pPr>
        <w:pStyle w:val="Heading1"/>
      </w:pPr>
      <w:r>
        <w:t xml:space="preserve">附录 B　完整场景矩阵</w:t>
      </w:r>
    </w:p>
    <w:p>
      <w:pPr>
        <w:numPr>
          <w:ilvl w:val="0"/>
          <w:numId w:val="1001"/>
        </w:numPr>
        <w:pStyle w:val="Compact"/>
      </w:pPr>
      <w:r>
        <w:rPr>
          <w:bCs/>
          <w:b/>
        </w:rPr>
        <w:t xml:space="preserve">攻击者位置 A</w:t>
      </w:r>
      <w:r>
        <w:t xml:space="preserve">：A1 桩-后台中间人（明文/可降级链路）；A2 冒充桩与克隆 RFID、重放授权；A3 后台被攻破、批量下发限功率/停充；A4 连接/心跳洪泛 DoS。</w:t>
      </w:r>
    </w:p>
    <w:p>
      <w:pPr>
        <w:numPr>
          <w:ilvl w:val="0"/>
          <w:numId w:val="1001"/>
        </w:numPr>
        <w:pStyle w:val="Compact"/>
      </w:pPr>
      <w:r>
        <w:rPr>
          <w:bCs/>
          <w:b/>
        </w:rPr>
        <w:t xml:space="preserve">OCPP 版本与安全配置 V</w:t>
      </w:r>
      <w:r>
        <w:t xml:space="preserve">：V1 OCPP 1.6（TLS 可选、无消息级认证）；V2 OCPP 2.0.1 安全配置档 1/2/3；V3 OCPP 2.1（含 IEC 63584-210:2025）。</w:t>
      </w:r>
    </w:p>
    <w:p>
      <w:pPr>
        <w:numPr>
          <w:ilvl w:val="0"/>
          <w:numId w:val="1001"/>
        </w:numPr>
        <w:pStyle w:val="Compact"/>
      </w:pPr>
      <w:r>
        <w:rPr>
          <w:bCs/>
          <w:b/>
        </w:rPr>
        <w:t xml:space="preserve">防御配置 D</w:t>
      </w:r>
      <w:r>
        <w:t xml:space="preserve">：D0 无防御；D1 链路加密与双向认证；D2 远程功率/停充指令限速；D3 按运营商/区域隔离；D4 跨运营商联邦检测；D5 规模×节律物理一致性检测。单独与组合取值。</w:t>
      </w:r>
    </w:p>
    <w:p>
      <w:pPr>
        <w:numPr>
          <w:ilvl w:val="0"/>
          <w:numId w:val="1001"/>
        </w:numPr>
        <w:pStyle w:val="Compact"/>
      </w:pPr>
      <w:r>
        <w:rPr>
          <w:bCs/>
          <w:b/>
        </w:rPr>
        <w:t xml:space="preserve">攻击规模与协同度 C</w:t>
      </w:r>
      <w:r>
        <w:t xml:space="preserve">：受控集合（单站/单运营商/跨运营商）×目标选择（随机/择直流高功率）×协同度（独立随机启动/时间同步）。受控功率上限 = 登记表额定功率在受控集合上的求和（全网 63.47 MW、直流 35.96 MW 为天花板）。</w:t>
      </w:r>
    </w:p>
    <w:bookmarkEnd w:id="67"/>
    <w:bookmarkStart w:id="68" w:name="附录-c-指标形式化定义"/>
    <w:p>
      <w:pPr>
        <w:pStyle w:val="Heading1"/>
      </w:pPr>
      <w:r>
        <w:t xml:space="preserve">附录 C　指标形式化定义</w:t>
      </w:r>
    </w:p>
    <w:p>
      <w:pPr>
        <w:pStyle w:val="FirstParagraph"/>
      </w:pPr>
      <w:r>
        <w:t xml:space="preserve">设攻击在</w:t>
      </w:r>
      <w:r>
        <w:t xml:space="preserve"> </w:t>
      </w:r>
      <w:r>
        <w:rPr>
          <w:iCs/>
          <w:i/>
        </w:rPr>
        <w:t xml:space="preserve">t</w:t>
      </w:r>
      <w:r>
        <w:t xml:space="preserve">₀ 注入首条恶意 OCPP 消息，</w:t>
      </w:r>
      <w:r>
        <w:rPr>
          <w:iCs/>
          <w:i/>
        </w:rPr>
        <w:t xml:space="preserve">t_d</w:t>
      </w:r>
      <w:r>
        <w:t xml:space="preserve"> </w:t>
      </w:r>
      <w:r>
        <w:t xml:space="preserve">为首个可归因真阳性告警，</w:t>
      </w:r>
      <w:r>
        <w:rPr>
          <w:iCs/>
          <w:i/>
        </w:rPr>
        <w:t xml:space="preserve">t_c</w:t>
      </w:r>
      <w:r>
        <w:t xml:space="preserve"> </w:t>
      </w:r>
      <w:r>
        <w:t xml:space="preserve">为遏制使受控功率/会话降至阈值 ε 以下。</w:t>
      </w:r>
      <w:r>
        <w:t xml:space="preserve"> </w:t>
      </w:r>
      <w:r>
        <w:t xml:space="preserve">检测时延 τ_d=</w:t>
      </w:r>
      <w:r>
        <w:rPr>
          <w:iCs/>
          <w:i/>
        </w:rPr>
        <w:t xml:space="preserve">t_d</w:t>
      </w:r>
      <w:r>
        <w:t xml:space="preserve">−</w:t>
      </w:r>
      <w:r>
        <w:rPr>
          <w:iCs/>
          <w:i/>
        </w:rPr>
        <w:t xml:space="preserve">t</w:t>
      </w:r>
      <w:r>
        <w:t xml:space="preserve">₀；遏制时间 τ_c=</w:t>
      </w:r>
      <w:r>
        <w:rPr>
          <w:iCs/>
          <w:i/>
        </w:rPr>
        <w:t xml:space="preserve">t_c</w:t>
      </w:r>
      <w:r>
        <w:t xml:space="preserve">−</w:t>
      </w:r>
      <w:r>
        <w:rPr>
          <w:iCs/>
          <w:i/>
        </w:rPr>
        <w:t xml:space="preserve">t_d</w:t>
      </w:r>
      <w:r>
        <w:t xml:space="preserve">；端到端 TTC=</w:t>
      </w:r>
      <w:r>
        <w:rPr>
          <w:iCs/>
          <w:i/>
        </w:rPr>
        <w:t xml:space="preserve">t_c</w:t>
      </w:r>
      <w:r>
        <w:t xml:space="preserve">−</w:t>
      </w:r>
      <w:r>
        <w:rPr>
          <w:iCs/>
          <w:i/>
        </w:rPr>
        <w:t xml:space="preserve">t</w:t>
      </w:r>
      <w:r>
        <w:t xml:space="preserve">₀。</w:t>
      </w:r>
      <w:r>
        <w:t xml:space="preserve"> </w:t>
      </w:r>
      <w:r>
        <w:t xml:space="preserve">被操纵电量 ΔE=Σ_会话|</w:t>
      </w:r>
      <w:r>
        <w:rPr>
          <w:iCs/>
          <w:i/>
        </w:rPr>
        <w:t xml:space="preserve">P</w:t>
      </w:r>
      <w:r>
        <w:t xml:space="preserve">_操纵−</w:t>
      </w:r>
      <w:r>
        <w:rPr>
          <w:iCs/>
          <w:i/>
        </w:rPr>
        <w:t xml:space="preserve">P</w:t>
      </w:r>
      <w:r>
        <w:t xml:space="preserve">_标称|·Δt（MWh）；被拒会话 N_rej=基线计划中因攻击未开始或被强制中止的会话数；受影响市镇 |M_aff|=含≥1 个受控站点的市镇集基数。</w:t>
      </w:r>
      <w:r>
        <w:t xml:space="preserve"> </w:t>
      </w:r>
      <w:r>
        <w:t xml:space="preserve">计费偏差 Δ€=Σ_会话|</w:t>
      </w:r>
      <w:r>
        <w:rPr>
          <w:iCs/>
          <w:i/>
        </w:rPr>
        <w:t xml:space="preserve">E</w:t>
      </w:r>
      <w:r>
        <w:t xml:space="preserve">_上报−</w:t>
      </w:r>
      <w:r>
        <w:rPr>
          <w:iCs/>
          <w:i/>
        </w:rPr>
        <w:t xml:space="preserve">E</w:t>
      </w:r>
      <w:r>
        <w:t xml:space="preserve">_真实|·电价；偷电量=未授权交付 kWh。</w:t>
      </w:r>
      <w:r>
        <w:t xml:space="preserve"> </w:t>
      </w:r>
      <w:r>
        <w:t xml:space="preserve">误报率 FPR=FP/(FP+TN)，按时间窗与消息两种口径分别统计。各指标报告跨重复运行的中位数与 95% 自助置信区间。</w:t>
      </w:r>
    </w:p>
    <w:bookmarkEnd w:id="68"/>
    <w:bookmarkStart w:id="75" w:name="附录-d-遏制分析模型图-a1与负荷重建图-a2"/>
    <w:p>
      <w:pPr>
        <w:pStyle w:val="Heading1"/>
      </w:pPr>
      <w:r>
        <w:t xml:space="preserve">附录 D　遏制分析模型（图 A1）与负荷重建（图 A2）</w:t>
      </w:r>
    </w:p>
    <w:p>
      <w:pPr>
        <w:pStyle w:val="FirstParagraph"/>
      </w:pPr>
      <w:r>
        <w:rPr>
          <w:bCs/>
          <w:b/>
        </w:rPr>
        <w:t xml:space="preserve">遏制分析模型。</w:t>
      </w:r>
      <w:r>
        <w:t xml:space="preserve"> </w:t>
      </w:r>
      <w:r>
        <w:t xml:space="preserve">为在仿真执行前给出遏制手段的量级，定义攻破后台后时延</w:t>
      </w:r>
      <w:r>
        <w:t xml:space="preserve"> </w:t>
      </w:r>
      <w:r>
        <w:rPr>
          <w:iCs/>
          <w:i/>
        </w:rPr>
        <w:t xml:space="preserve">T</w:t>
      </w:r>
      <w:r>
        <w:t xml:space="preserve"> </w:t>
      </w:r>
      <w:r>
        <w:t xml:space="preserve">内的可达功率为 reach(</w:t>
      </w:r>
      <w:r>
        <w:rPr>
          <w:iCs/>
          <w:i/>
        </w:rPr>
        <w:t xml:space="preserve">T</w:t>
      </w:r>
      <w:r>
        <w:t xml:space="preserve">)=min(上限,</w:t>
      </w:r>
      <w:r>
        <w:t xml:space="preserve"> </w:t>
      </w:r>
      <w:r>
        <w:rPr>
          <w:iCs/>
          <w:i/>
        </w:rPr>
        <w:t xml:space="preserve">r</w:t>
      </w:r>
      <w:r>
        <w:t xml:space="preserve">·</w:t>
      </w:r>
      <w:r>
        <w:rPr>
          <w:iCs/>
          <w:i/>
        </w:rPr>
        <w:t xml:space="preserve">T</w:t>
      </w:r>
      <w:r>
        <w:t xml:space="preserve">·</w:t>
      </w:r>
      <w:r>
        <w:rPr>
          <w:iCs/>
          <w:i/>
        </w:rPr>
        <w:t xml:space="preserve">m</w:t>
      </w:r>
      <w:r>
        <w:t xml:space="preserve">)，其中</w:t>
      </w:r>
      <w:r>
        <w:t xml:space="preserve"> </w:t>
      </w:r>
      <w:r>
        <w:rPr>
          <w:iCs/>
          <w:i/>
        </w:rPr>
        <w:t xml:space="preserve">r</w:t>
      </w:r>
      <w:r>
        <w:t xml:space="preserve"> </w:t>
      </w:r>
      <w:r>
        <w:t xml:space="preserve">为指令扇出速率（示例取 20 指令/分）、</w:t>
      </w:r>
      <w:r>
        <w:rPr>
          <w:iCs/>
          <w:i/>
        </w:rPr>
        <w:t xml:space="preserve">m</w:t>
      </w:r>
      <w:r>
        <w:t xml:space="preserve"> </w:t>
      </w:r>
      <w:r>
        <w:t xml:space="preserve">为单充电点平均额定功率（Iberdrola 后台 9.75 MW/332 点≈0.029 MW/点）。三条配置：无遏制（上限 63.47 MW，可跨后台聚合）、运营商隔离（上限为单后台 9.75 MW）、隔离+限速（扇出降至 25%）。该模型为分析上界，</w:t>
      </w:r>
      <w:r>
        <w:rPr>
          <w:bCs/>
          <w:b/>
        </w:rPr>
        <w:t xml:space="preserve">非仿真实测</w:t>
      </w:r>
      <w:r>
        <w:t xml:space="preserve">；</w:t>
      </w:r>
      <w:r>
        <w:rPr>
          <w:iCs/>
          <w:i/>
        </w:rPr>
        <w:t xml:space="preserve">T</w:t>
      </w:r>
      <w:r>
        <w:t xml:space="preserve"> </w:t>
      </w:r>
      <w:r>
        <w:t xml:space="preserve">由第 6 节的 OCPP 仿真平台实测标定后代入。</w:t>
      </w:r>
    </w:p>
    <w:p>
      <w:pPr>
        <w:pStyle w:val="BodyText"/>
      </w:pPr>
      <w:r>
        <w:drawing>
          <wp:inline>
            <wp:extent cx="4160520" cy="2402043"/>
            <wp:effectExtent b="0" l="0" r="0" t="0"/>
            <wp:docPr descr="" title="" id="70" name="Picture"/>
            <a:graphic>
              <a:graphicData uri="http://schemas.openxmlformats.org/drawingml/2006/picture">
                <pic:pic>
                  <pic:nvPicPr>
                    <pic:cNvPr descr="figs/figA1_containment.png" id="71" name="Picture"/>
                    <pic:cNvPicPr>
                      <a:picLocks noChangeArrowheads="1" noChangeAspect="1"/>
                    </pic:cNvPicPr>
                  </pic:nvPicPr>
                  <pic:blipFill>
                    <a:blip r:embed="rId69"/>
                    <a:stretch>
                      <a:fillRect/>
                    </a:stretch>
                  </pic:blipFill>
                  <pic:spPr bwMode="auto">
                    <a:xfrm>
                      <a:off x="0" y="0"/>
                      <a:ext cx="4160520" cy="2402043"/>
                    </a:xfrm>
                    <a:prstGeom prst="rect">
                      <a:avLst/>
                    </a:prstGeom>
                    <a:noFill/>
                    <a:ln w="9525">
                      <a:noFill/>
                      <a:headEnd/>
                      <a:tailEnd/>
                    </a:ln>
                  </pic:spPr>
                </pic:pic>
              </a:graphicData>
            </a:graphic>
          </wp:inline>
        </w:drawing>
      </w:r>
    </w:p>
    <w:p>
      <w:pPr>
        <w:pStyle w:val="BodyText"/>
      </w:pPr>
      <w:r>
        <w:rPr>
          <w:bCs/>
          <w:b/>
        </w:rPr>
        <w:t xml:space="preserve">图 A1</w:t>
      </w:r>
      <w:r>
        <w:t xml:space="preserve"> </w:t>
      </w:r>
      <w:r>
        <w:t xml:space="preserve">遏制手段对爆炸半径的削减（分析模型）。隔离把可达功率限于单后台，限速进一步压低其增长速率。</w:t>
      </w:r>
    </w:p>
    <w:p>
      <w:pPr>
        <w:pStyle w:val="BodyText"/>
      </w:pPr>
      <w:r>
        <w:drawing>
          <wp:inline>
            <wp:extent cx="3520440" cy="1995190"/>
            <wp:effectExtent b="0" l="0" r="0" t="0"/>
            <wp:docPr descr="" title="" id="73" name="Picture"/>
            <a:graphic>
              <a:graphicData uri="http://schemas.openxmlformats.org/drawingml/2006/picture">
                <pic:pic>
                  <pic:nvPicPr>
                    <pic:cNvPr descr="figs/figA2_load.png" id="74" name="Picture"/>
                    <pic:cNvPicPr>
                      <a:picLocks noChangeArrowheads="1" noChangeAspect="1"/>
                    </pic:cNvPicPr>
                  </pic:nvPicPr>
                  <pic:blipFill>
                    <a:blip r:embed="rId72"/>
                    <a:stretch>
                      <a:fillRect/>
                    </a:stretch>
                  </pic:blipFill>
                  <pic:spPr bwMode="auto">
                    <a:xfrm>
                      <a:off x="0" y="0"/>
                      <a:ext cx="3520440" cy="1995190"/>
                    </a:xfrm>
                    <a:prstGeom prst="rect">
                      <a:avLst/>
                    </a:prstGeom>
                    <a:noFill/>
                    <a:ln w="9525">
                      <a:noFill/>
                      <a:headEnd/>
                      <a:tailEnd/>
                    </a:ln>
                  </pic:spPr>
                </pic:pic>
              </a:graphicData>
            </a:graphic>
          </wp:inline>
        </w:drawing>
      </w:r>
    </w:p>
    <w:p>
      <w:pPr>
        <w:pStyle w:val="BodyText"/>
      </w:pPr>
      <w:r>
        <w:rPr>
          <w:bCs/>
          <w:b/>
        </w:rPr>
        <w:t xml:space="preserve">图 A2</w:t>
      </w:r>
      <w:r>
        <w:t xml:space="preserve"> </w:t>
      </w:r>
      <w:r>
        <w:t xml:space="preserve">AMB 网络平均日负荷重建（按会话时长均摊电量）。平均功率约 0.22 MW、平均日曲线峰值约 0.40 MW（瞬时并发峰值更高），印证城市尺度充电负荷远小于电网量级。</w:t>
      </w:r>
    </w:p>
    <w:bookmarkEnd w:id="75"/>
    <w:bookmarkStart w:id="76" w:name="附录-e-相关安全数据集定位详表"/>
    <w:p>
      <w:pPr>
        <w:pStyle w:val="Heading1"/>
      </w:pPr>
      <w:r>
        <w:t xml:space="preserve">附录 E　相关安全数据集定位详表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相对本文的缺口</w:t>
            </w:r>
          </w:p>
        </w:tc>
      </w:tr>
      <w:tr>
        <w:tc>
          <w:tcPr/>
          <w:p>
            <w:pPr>
              <w:pStyle w:val="Compact"/>
              <w:jc w:val="left"/>
            </w:pPr>
            <w:r>
              <w:t xml:space="preserve">CICEVSE2024[9]</w:t>
            </w:r>
          </w:p>
        </w:tc>
        <w:tc>
          <w:tcPr/>
          <w:p>
            <w:pPr>
              <w:pStyle w:val="Compact"/>
              <w:jc w:val="left"/>
            </w:pPr>
            <w:r>
              <w:t xml:space="preserve">功耗+网络+主机 HPC/内核；侦察/DoS/后门/挖矿</w:t>
            </w:r>
          </w:p>
        </w:tc>
        <w:tc>
          <w:tcPr/>
          <w:p>
            <w:pPr>
              <w:pStyle w:val="Compact"/>
              <w:jc w:val="left"/>
            </w:pPr>
            <w:r>
              <w:t xml:space="preserve">桩设备（实验室）</w:t>
            </w:r>
          </w:p>
        </w:tc>
        <w:tc>
          <w:tcPr/>
          <w:p>
            <w:pPr>
              <w:pStyle w:val="Compact"/>
              <w:jc w:val="left"/>
            </w:pPr>
            <w:r>
              <w:t xml:space="preserve">通用网络/主机攻击，非 OCPP 消息级；实验室脚本流量</w:t>
            </w:r>
          </w:p>
        </w:tc>
      </w:tr>
      <w:tr>
        <w:tc>
          <w:tcPr/>
          <w:p>
            <w:pPr>
              <w:pStyle w:val="Compact"/>
              <w:jc w:val="left"/>
            </w:pPr>
            <w:r>
              <w:t xml:space="preserve">联邦 OCPP 1.6[10]</w:t>
            </w:r>
          </w:p>
        </w:tc>
        <w:tc>
          <w:tcPr/>
          <w:p>
            <w:pPr>
              <w:pStyle w:val="Compact"/>
              <w:jc w:val="left"/>
            </w:pPr>
            <w:r>
              <w:t xml:space="preserve">OCPP 应用层四类攻击 PCAP+CSV</w:t>
            </w:r>
          </w:p>
        </w:tc>
        <w:tc>
          <w:tcPr/>
          <w:p>
            <w:pPr>
              <w:pStyle w:val="Compact"/>
              <w:jc w:val="left"/>
            </w:pPr>
            <w:r>
              <w:t xml:space="preserve">OCPP 后端（实验室）</w:t>
            </w:r>
          </w:p>
        </w:tc>
        <w:tc>
          <w:tcPr/>
          <w:p>
            <w:pPr>
              <w:pStyle w:val="Compact"/>
              <w:jc w:val="left"/>
            </w:pPr>
            <w:r>
              <w:t xml:space="preserve">真实攻击类型对，但流量为脚本生成、无真实节律与拓扑</w:t>
            </w:r>
          </w:p>
        </w:tc>
      </w:tr>
      <w:tr>
        <w:tc>
          <w:tcPr/>
          <w:p>
            <w:pPr>
              <w:pStyle w:val="Compact"/>
              <w:jc w:val="left"/>
            </w:pPr>
            <w:r>
              <w:t xml:space="preserve">Current Affairs[5]</w:t>
            </w:r>
          </w:p>
        </w:tc>
        <w:tc>
          <w:tcPr/>
          <w:p>
            <w:pPr>
              <w:pStyle w:val="Compact"/>
              <w:jc w:val="left"/>
            </w:pPr>
            <w:r>
              <w:t xml:space="preserve">325 台真实直流桩，约 12% TLS</w:t>
            </w:r>
          </w:p>
        </w:tc>
        <w:tc>
          <w:tcPr/>
          <w:p>
            <w:pPr>
              <w:pStyle w:val="Compact"/>
              <w:jc w:val="left"/>
            </w:pPr>
            <w:r>
              <w:t xml:space="preserve">车↔桩链路</w:t>
            </w:r>
          </w:p>
        </w:tc>
        <w:tc>
          <w:tcPr/>
          <w:p>
            <w:pPr>
              <w:pStyle w:val="Compact"/>
              <w:jc w:val="left"/>
            </w:pPr>
            <w:r>
              <w:t xml:space="preserve">测车-桩接口而非 OCPP 后端控制通道</w:t>
            </w:r>
          </w:p>
        </w:tc>
      </w:tr>
      <w:tr>
        <w:tc>
          <w:tcPr/>
          <w:p>
            <w:pPr>
              <w:pStyle w:val="Compact"/>
              <w:jc w:val="left"/>
            </w:pPr>
            <w:r>
              <w:t xml:space="preserve">DCeption/Brokenwire[4,3]</w:t>
            </w:r>
          </w:p>
        </w:tc>
        <w:tc>
          <w:tcPr/>
          <w:p>
            <w:pPr>
              <w:pStyle w:val="Compact"/>
              <w:jc w:val="left"/>
            </w:pPr>
            <w:r>
              <w:t xml:space="preserve">CCS HPGP 无线中间人、功率遥测篡改</w:t>
            </w:r>
          </w:p>
        </w:tc>
        <w:tc>
          <w:tcPr/>
          <w:p>
            <w:pPr>
              <w:pStyle w:val="Compact"/>
              <w:jc w:val="left"/>
            </w:pPr>
            <w:r>
              <w:t xml:space="preserve">车↔桩物理层</w:t>
            </w:r>
          </w:p>
        </w:tc>
        <w:tc>
          <w:tcPr/>
          <w:p>
            <w:pPr>
              <w:pStyle w:val="Compact"/>
              <w:jc w:val="left"/>
            </w:pPr>
            <w:r>
              <w:t xml:space="preserve">不触及 CSMS 侧 OCPP 会话</w:t>
            </w:r>
          </w:p>
        </w:tc>
      </w:tr>
      <w:tr>
        <w:tc>
          <w:tcPr/>
          <w:p>
            <w:pPr>
              <w:pStyle w:val="Compact"/>
              <w:jc w:val="left"/>
            </w:pPr>
            <w:r>
              <w:t xml:space="preserve">PowerBench Part 3[15]</w:t>
            </w:r>
          </w:p>
        </w:tc>
        <w:tc>
          <w:tcPr/>
          <w:p>
            <w:pPr>
              <w:pStyle w:val="Compact"/>
              <w:jc w:val="left"/>
            </w:pPr>
            <w:r>
              <w:t xml:space="preserve">OpenDSS 电网仿真、EVCS 攻击</w:t>
            </w:r>
          </w:p>
        </w:tc>
        <w:tc>
          <w:tcPr/>
          <w:p>
            <w:pPr>
              <w:pStyle w:val="Compact"/>
              <w:jc w:val="left"/>
            </w:pPr>
            <w:r>
              <w:t xml:space="preserve">配电物理层</w:t>
            </w:r>
          </w:p>
        </w:tc>
        <w:tc>
          <w:tcPr/>
          <w:p>
            <w:pPr>
              <w:pStyle w:val="Compact"/>
              <w:jc w:val="left"/>
            </w:pPr>
            <w:r>
              <w:t xml:space="preserve">非网络/协议数据，无法支撑消息级检测</w:t>
            </w:r>
          </w:p>
        </w:tc>
      </w:tr>
      <w:tr>
        <w:tc>
          <w:tcPr/>
          <w:p>
            <w:pPr>
              <w:pStyle w:val="Compact"/>
              <w:jc w:val="left"/>
            </w:pPr>
            <w:r>
              <w:rPr>
                <w:bCs/>
                <w:b/>
              </w:rPr>
              <w:t xml:space="preserve">本文</w:t>
            </w:r>
          </w:p>
        </w:tc>
        <w:tc>
          <w:tcPr/>
          <w:p>
            <w:pPr>
              <w:pStyle w:val="Compact"/>
              <w:jc w:val="left"/>
            </w:pPr>
            <w:r>
              <w:t xml:space="preserve">真实运营商结构+真实会话+OCPP 攻防仿真</w:t>
            </w:r>
          </w:p>
        </w:tc>
        <w:tc>
          <w:tcPr/>
          <w:p>
            <w:pPr>
              <w:pStyle w:val="Compact"/>
              <w:jc w:val="left"/>
            </w:pPr>
            <w:r>
              <w:t xml:space="preserve">OCPP 后端控制通道（网络层）</w:t>
            </w:r>
          </w:p>
        </w:tc>
        <w:tc>
          <w:tcPr/>
          <w:p>
            <w:pPr>
              <w:pStyle w:val="Compact"/>
              <w:jc w:val="left"/>
            </w:pPr>
            <w:r>
              <w:t xml:space="preserve">—（填补上述交集）</w:t>
            </w:r>
          </w:p>
        </w:tc>
      </w:tr>
    </w:tbl>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空间稀疏网络下充电基础设施控制通道的网络层攻防仿真——以巴塞罗那大都会区 OCPP 网络为例</dc:title>
  <dc:creator>［作者待补］</dc:creator>
  <cp:keywords/>
  <dcterms:created xsi:type="dcterms:W3CDTF">2026-10-15T12:03:37Z</dcterms:created>
  <dcterms:modified xsi:type="dcterms:W3CDTF">2026-10-15T12:03:37Z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vt:lpwstr>
  </property>
</Properties>
</file>