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54.png" ContentType="image/png"/>
  <Override PartName="/word/media/rId117.png" ContentType="image/png"/>
  <Override PartName="/word/media/rId68.png" ContentType="image/png"/>
  <Override PartName="/word/media/rId93.png" ContentType="image/png"/>
  <Override PartName="/word/media/rId40.png" ContentType="image/png"/>
  <Override PartName="/word/media/rId47.png" ContentType="image/png"/>
  <Override PartName="/word/media/rId65.png" ContentType="image/png"/>
  <Override PartName="/word/media/rId78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57.png" ContentType="image/png"/>
  <Override PartName="/word/media/rId24.png" ContentType="image/png"/>
  <Override PartName="/word/media/rId99.png" ContentType="image/png"/>
  <Override PartName="/word/media/rId32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11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空间稀疏网络下充电基础设施控制通道的网络层攻防仿真——以巴塞罗那大都会区</w:t>
      </w:r>
      <w:r>
        <w:t xml:space="preserve"> </w:t>
      </w:r>
      <w:r>
        <w:t xml:space="preserve">OCPP</w:t>
      </w:r>
      <w:r>
        <w:t xml:space="preserve"> </w:t>
      </w:r>
      <w:r>
        <w:t xml:space="preserve">网络为例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0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公共充电的使用数据分散在各运营商手中，而充电桩与运营商后台（CSMS）之间的 OCPP 控制通道正成为可被集中操纵的攻击点。已有研究要么在电网尺度把攻击抽象成一个”受控比例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如何从网络层得到；要么用实验室脚本流量训练入侵检测，与真实城市充电的站点规模和日节律相去甚远。本文以巴塞罗那大都会区（AMB）真实的运营商结构与真实充电流量为底座，提出一个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的 OCPP 攻防仿真框架，并配以真实地理底图上的攻防可视化：电网只作结果指标，不建潮流模型。框架用 2025 全年约 13.1 万次真实会话驱动 71 个站点的 OCPP 消息流，用配套需求论文的”规模×节律”分解为另外 550 个登记站点合成背景流量，并把同一分解转用为后台侧的物理一致性检测器。基于真实数据的定量表明：AMB 范围 3,302 个充电点、37 家运营商合计额定功率 63.47 MW（直流 35.96 MW），仅为西班牙本土电网峰值（约 40 GW）的 0.16%，远低于触发低频减载（UFLS）所需的 9–11%，印证”电网只宜作结果指标”；可控功率在运营商间高度集中（Gini 0.70，前 10 家后台≈80% 功率），攻破单家后台可控 2.6–12.3 MW；3,053 个充电点（92.5%）接受 RFID，使凭据克隆成为现实攻击面，而链路加密只能压制中间人与克隆类（A1/A2）、对后台攻陷与 DoS（A3/A4）无效；傍晚 18 时会话到达为日均 2.0 倍，后台中断 3 小时在该时段最多拒绝约 89 次/日会话；物理一致性检测器可把 2025-04-28 大停电（全网同步降至期望的 0.53）与单站伪造电表读数区分。本文以”被发现前造成的损失”（MWh、被拒会话、受影响市镇）为主评价指标，并以 22 幅融合图（含 6 幅 GIS 攻防可视化）在 H3 功能分区底图上回放攻防全过程。在真实 OCPP 1.6 仿真平台上的实测（57 站真实会话）进一步表明：仅检测不减损失，叠加隔离可把被发现前的受控电量从约 2,100 kWh 降至约 6–10 kWh（&gt;99%），规模×节律一致性检测器能在约 1 分钟内捕获速率检测漏掉的隐蔽慢速攻击，良性回放误报为 0。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电动汽车充电；OCPP；CSMS；网络层攻防仿真；GIS 可视化；入侵检测；关键基础设施安全；巴塞罗那</w:t>
      </w:r>
    </w:p>
    <w:bookmarkEnd w:id="20"/>
    <w:bookmarkStart w:id="21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出于隐私与商业考虑，真实充电会话通常不在公开之列，面向真实流量的充电网络安全研究因此长期缺乏底座。与此同时，针对充电接口物理层与无线层的攻击已被反复证实——从对 CCS 链路的无线中间人注入到对充电会话的广域干扰[3,4,5]——但这些工作大多止步于单桩或单链路，难以回答”在一座城市的真实充电网络里，一次入侵能横向扩散到多大范围”。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控制通道[6,7]。理由有三：OCPP 是运营商向充电桩下发功率限制、远程启停与计费指令的事实标准通道，攻击者一旦进入，其行为可直接映射为可度量的结果；一座城市的 OCPP 会话由有限几家运营商后台汇聚，天然带有”桩—后台—运营商”的层级拓扑，使”攻击者处在通道的哪个位置、能波及多少站点”成为可刻画、可上地图的问题；相较物理层，网络层攻防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 UFLS，却不回答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如何从网络层获得。其二，用于训练入侵检测的数据集多依赖实验室脚本流量[9,10]，缺乏真实城市充电的站点规模差异与日节律，检测器在真实流量上的误报行为未经检验。</w:t>
      </w:r>
    </w:p>
    <w:p>
      <w:pPr>
        <w:pStyle w:val="BodyText"/>
      </w:pPr>
      <w:r>
        <w:t xml:space="preserve">本文不以”操纵电网”为主线。本研究据 DGT 国家接入点登记表复算，AMB 范围内 37 家运营商、3,302 个充电点合计额定功率仅 63.47 MW（直流 35.96 MW）；即便完全控制，相对西班牙本土约 40 GW 量级峰值也仅 0.16%，在系统频率层面不成立（图 19），与[8]一致。因此电网仅作结果指标，不建潮流模型。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在巴塞罗那真实的运营商结构与真实充电流量下，攻击者从 OCPP 通道的不同位置实际能控制多少站点、多少 MW、拒绝多少会话；防御方又能多快发现并遏制？协议版本与安全配置作为情景变量。</w:t>
      </w:r>
      <w:r>
        <w:rPr>
          <w:bCs/>
          <w:b/>
        </w:rPr>
        <w:t xml:space="preserve">贡献：</w:t>
      </w:r>
      <w:r>
        <w:t xml:space="preserve">（1）以真实拓扑与真实流量为底座的网络层 OCPP 攻防仿真；（2）把”规模×节律”分解一物两用——背景流量生成器 + 物理一致性检测器；（3）以”被发现前造成的损失”为主评价指标，并用 22 幅融合图（含 6 幅 GIS 攻防可视化）在真实地图上回放攻防全过程。第 2 节给出数据与协议背景，第 3 节威胁模型与仿真底座，第 4 节攻击面与可控性，第 5 节检测与遏制，第 6 节实验设计，第 7 节 GIS 可视化与工具链，第 8 节讨论与结论。</w:t>
      </w:r>
    </w:p>
    <w:bookmarkEnd w:id="21"/>
    <w:bookmarkStart w:id="28" w:name="相关工作与数据基础"/>
    <w:p>
      <w:pPr>
        <w:pStyle w:val="Heading1"/>
      </w:pPr>
      <w:r>
        <w:t xml:space="preserve">2 相关工作与数据基础</w:t>
      </w:r>
    </w:p>
    <w:bookmarkStart w:id="22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SOAP（1.6S）与 JSON（1.6J）绑定，传输层加密为可选、设备认证较弱；虽有官方安全扩展定义三级安全配置，但是否启用取决于部署而非协议强制[6,12,13]。OCPP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一说本文未查得权威出处，仅作情景假设。</w:t>
      </w:r>
    </w:p>
    <w:bookmarkEnd w:id="22"/>
    <w:bookmarkStart w:id="23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 HPC/内核指标，但攻击为实验室脚本且非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台真实直流桩、仅约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电网仿真数据，属配电物理层[15]。本文的定位正是补上该交集（数据集详表见附录 E）。</w:t>
      </w:r>
    </w:p>
    <w:bookmarkEnd w:id="23"/>
    <w:bookmarkStart w:id="27" w:name="amb-数据基础"/>
    <w:p>
      <w:pPr>
        <w:pStyle w:val="Heading2"/>
      </w:pPr>
      <w:r>
        <w:t xml:space="preserve">2.3 AMB 数据基础</w:t>
      </w:r>
    </w:p>
    <w:p>
      <w:pPr>
        <w:pStyle w:val="FirstParagraph"/>
      </w:pPr>
      <w:r>
        <w:t xml:space="preserve">配套需求论文[11]及其派生图层为本文提供真实底座（图 1）。</w:t>
      </w:r>
      <w:r>
        <w:rPr>
          <w:bCs/>
          <w:b/>
        </w:rPr>
        <w:t xml:space="preserve">节点底座</w:t>
      </w:r>
      <w:r>
        <w:t xml:space="preserve">：71 个 AMB 网络站点有 2025 全年清洗会话（131,285 条清洗记录，[11]报告 131,267 次，差异为清洗口径；总电量 1.97 GWh）；由 DGT DATEX II 登记表裁剪、按同一运营商 50 m 内合并得 550 个其他运营商站点，连同 71 个共 621 个站点。</w:t>
      </w:r>
      <w:r>
        <w:rPr>
          <w:bCs/>
          <w:b/>
        </w:rPr>
        <w:t xml:space="preserve">登记表复算</w:t>
      </w:r>
      <w:r>
        <w:t xml:space="preserve">（2026-09-27 快照）：855 条站点记录、3,302 个充电点、4,733 个接口、37 家运营商（按运营商编号；DGT 解析说明按名称记 38 家，差异源于归并口径）。71 个 AMB 会话站点有 33 个登记在 DGT 中、运营商均为</w:t>
      </w:r>
      <w:r>
        <w:t xml:space="preserve"> </w:t>
      </w:r>
      <w:r>
        <w:rPr>
          <w:bCs/>
          <w:b/>
        </w:rPr>
        <w:t xml:space="preserve">Iberdrola Clientes</w:t>
      </w:r>
      <w:r>
        <w:t xml:space="preserve">（98 充电点、3.74 MW），其余 38 站不在 DGT。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分解在本文一体两用（第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p>
      <w:pPr>
        <w:pStyle w:val="BodyText"/>
      </w:pPr>
      <w:r>
        <w:drawing>
          <wp:inline>
            <wp:extent cx="4160520" cy="40034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s/fig1_map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40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 </w:t>
      </w:r>
      <w:r>
        <w:t xml:space="preserve">AMB 公共充电网络与多运营商登记设施。71 个 AMB 站点（按设施配置着色、点大小∝日会话数）分布在巴塞罗那市以外；灰点为 621 个登记地点中的其他运营商设施，密集团块为市中心。</w:t>
      </w:r>
    </w:p>
    <w:bookmarkEnd w:id="27"/>
    <w:bookmarkEnd w:id="28"/>
    <w:bookmarkStart w:id="36" w:name="威胁模型与仿真底座"/>
    <w:p>
      <w:pPr>
        <w:pStyle w:val="Heading1"/>
      </w:pPr>
      <w:r>
        <w:t xml:space="preserve">3 威胁模型与仿真底座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29" w:name="系统与节点模型"/>
    <w:p>
      <w:pPr>
        <w:pStyle w:val="Heading2"/>
      </w:pPr>
      <w:r>
        <w:t xml:space="preserve">3.1 系统与节点模型</w:t>
      </w:r>
    </w:p>
    <w:p>
      <w:pPr>
        <w:pStyle w:val="FirstParagraph"/>
      </w:pPr>
      <w:r>
        <w:t xml:space="preserve">仿真拓扑含 621 个站点：71 个 AMB 站点具真实会话，550 个其他运营商站点仅含位置、额定功率与认证方式[11,2]。每家运营商各自接入其 CSMS，EVSE 与 CSMS 之间以 OCPP over WebSocket 承载控制通道[6,7]。电网仅作结果指标，不建潮流或频率模型；受控功率上限因而可由登记表额定功率静态推算，作为”完全控制”情形的上界（第 4 节）。作为量级对照，AMB 网络按会话时长均摊电量重建的平均功率约 0.22 MW、平均日负荷峰值约 0.40 MW（瞬时并发更高，见附录图 A2）；即便受控规模达上界 63.47 MW，相对本土约 40 GW 仍属千分之一量级（图 19）。</w:t>
      </w:r>
    </w:p>
    <w:bookmarkEnd w:id="29"/>
    <w:bookmarkStart w:id="30" w:name="正常流量生成"/>
    <w:p>
      <w:pPr>
        <w:pStyle w:val="Heading2"/>
      </w:pPr>
      <w:r>
        <w:t xml:space="preserve">3.2 正常流量生成</w:t>
      </w:r>
    </w:p>
    <w:p>
      <w:pPr>
        <w:pStyle w:val="FirstParagraph"/>
      </w:pPr>
      <w:r>
        <w:t xml:space="preserve">对 71 个 AMB 站点，将每条会话映射为 OCPP 消息序列作为基线流量：桩上线发 BootNotification 并周期发 Heartbeat；会话以 RFID/App 凭据发起 Authorize，获授权后 StartTransaction 上报 meterStart，期间周期发 MeterValues，结束以 StopTransaction 上报 meterStop；桩态变化触发 StatusNotification[6,16]。原始记录仅含起止时刻与总电量，会话内功率曲线须在假设下重建，该假设在敏感性分析中单列。对 550 个无会话站点，用”规模×节律”合成背景流量；因以其他运营商拟合的部署模型给 AMB 站点打分 AUC 仅 0.26（排序几近相反）[11]，合成流量仅作可信负荷占位，其不确定性随攻防指标一并报告。</w:t>
      </w:r>
    </w:p>
    <w:bookmarkEnd w:id="30"/>
    <w:bookmarkStart w:id="31" w:name="真实异常作为假阳性考验"/>
    <w:p>
      <w:pPr>
        <w:pStyle w:val="Heading2"/>
      </w:pPr>
      <w:r>
        <w:t xml:space="preserve">3.3 真实异常作为假阳性考验</w:t>
      </w:r>
    </w:p>
    <w:p>
      <w:pPr>
        <w:pStyle w:val="FirstParagraph"/>
      </w:pPr>
      <w:r>
        <w:t xml:space="preserve">本文保留若干”貌似攻击的真实异常”用作假阳性考验（图 14）：2025-04-28 伊比利亚大停电当日会话约为平常一半（146 次 vs 邻周 285.8 次，比值 0.51），形态近似协同停充；1–2 月后台迁移导致充电点编号批量更换，形态近似身份克隆；11-30 与 12-11 全网零记录缺口，形态近似连接中断。检测器必须将其判为良性。这也是把”规模×节律”兼用作检测器的动因：唯有把判据建立在站点规模与当日节律的</w:t>
      </w:r>
      <w:r>
        <w:rPr>
          <w:bCs/>
          <w:b/>
        </w:rPr>
        <w:t xml:space="preserve">联合</w:t>
      </w:r>
      <w:r>
        <w:t xml:space="preserve">期望上，才能把停电下的”全网同步低于期望”与攻击下的”单站偏离期望”区分开（图 14）。</w:t>
      </w:r>
    </w:p>
    <w:bookmarkEnd w:id="31"/>
    <w:bookmarkStart w:id="35" w:name="威胁模型与假设"/>
    <w:p>
      <w:pPr>
        <w:pStyle w:val="Heading2"/>
      </w:pPr>
      <w:r>
        <w:t xml:space="preserve">3.4 威胁模型与假设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为合法策略权威但本身可被攻破并用作攻击位置。攻击者目标归为功率操纵、偷电、拒绝/可用性破坏三类。范围严格限于仿真——以 SteVe/CitrineOS 为后台、ocpp 库回放客户端、Mininet 搭拓扑、mitmproxy 注入的隔离环境[16,17,18,19,20]。</w:t>
      </w:r>
    </w:p>
    <w:p>
      <w:pPr>
        <w:pStyle w:val="BodyText"/>
      </w:pPr>
      <w:r>
        <w:drawing>
          <wp:inline>
            <wp:extent cx="4373880" cy="242152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s/fig2_threa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21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35"/>
    <w:bookmarkEnd w:id="36"/>
    <w:bookmarkStart w:id="61" w:name="攻击面与可控性度量"/>
    <w:p>
      <w:pPr>
        <w:pStyle w:val="Heading1"/>
      </w:pPr>
      <w:r>
        <w:t xml:space="preserve">4 攻击面与可控性度量</w:t>
      </w:r>
    </w:p>
    <w:bookmarkStart w:id="43" w:name="攻击面位置与地理分布"/>
    <w:p>
      <w:pPr>
        <w:pStyle w:val="Heading2"/>
      </w:pPr>
      <w:r>
        <w:t xml:space="preserve">4.1 攻击面：位置与地理分布</w:t>
      </w:r>
    </w:p>
    <w:p>
      <w:pPr>
        <w:pStyle w:val="FirstParagraph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攻击面首先是一个地理问题。图 3 把 621 个登记地点按直流能力着色：高功率直流桩（&gt;100 kW）功率高、分布集中，是协同功率操纵的高价值目标；图 4 进一步叠加 H3 功能分区，显示这些直流桩集中在工业物流与交通走廊区，而高密度居住区以交流为主。因此攻击者在地图上并非均匀面对 621 个站点，而是面对若干高价值的直流集群。</w:t>
      </w:r>
    </w:p>
    <w:p>
      <w:pPr>
        <w:pStyle w:val="BodyText"/>
      </w:pPr>
      <w:r>
        <w:drawing>
          <wp:inline>
            <wp:extent cx="3840480" cy="368499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07_gis_surfac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84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733800" cy="356818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s/fig12_gis_zone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68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（GIS）功能分区 × 直流部署 × 攻击价值。H3 功能分区为底色，直流桩按功率档着色，高价值直流集中于工业物流与走廊区。</w:t>
      </w:r>
    </w:p>
    <w:bookmarkEnd w:id="43"/>
    <w:bookmarkStart w:id="50" w:name="可控性度量与可达性"/>
    <w:p>
      <w:pPr>
        <w:pStyle w:val="Heading2"/>
      </w:pPr>
      <w:r>
        <w:t xml:space="preserve">4.2 可控性度量与可达性</w:t>
      </w:r>
    </w:p>
    <w:p>
      <w:pPr>
        <w:pStyle w:val="FirstParagraph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。定义</w:t>
      </w:r>
      <w:r>
        <w:rPr>
          <w:bCs/>
          <w:b/>
        </w:rPr>
        <w:t xml:space="preserve">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</w:t>
      </w:r>
      <w:r>
        <w:t xml:space="preserve"> </w:t>
      </w:r>
      <w:r>
        <w:rPr>
          <w:iCs/>
          <w:i/>
        </w:rPr>
        <w:t xml:space="preserve">N</w:t>
      </w:r>
      <w:r>
        <w:t xml:space="preserve">、</w:t>
      </w:r>
      <w:r>
        <w:rPr>
          <w:bCs/>
          <w:b/>
        </w:rPr>
        <w:t xml:space="preserve">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</w:t>
      </w:r>
      <w:r>
        <w:t xml:space="preserve"> </w:t>
      </w:r>
      <w:r>
        <w:rPr>
          <w:iCs/>
          <w:i/>
        </w:rPr>
        <w:t xml:space="preserve">D</w:t>
      </w:r>
      <w:r>
        <w:t xml:space="preserve">、受影响市镇数</w:t>
      </w:r>
      <w:r>
        <w:t xml:space="preserve"> </w:t>
      </w:r>
      <w:r>
        <w:rPr>
          <w:iCs/>
          <w:i/>
        </w:rPr>
        <w:t xml:space="preserve">M</w:t>
      </w:r>
      <w:r>
        <w:t xml:space="preserve"> </w:t>
      </w:r>
      <w:r>
        <w:t xml:space="preserve">与计费偏差。可控 MW 的上限由登记表给定（图 5）：全体 ≤ 63.47 MW、直流 ≤ 35.96 MW（直流占总功率 56.7%）；按功率降序攻破约 5 家后台即达全网约八成直流功率。认证侧，3,053 个充电点（92.5%）接受 RFID、2,897 个（87.7%）为”rfid;apps”组合，使 B 类克隆现实可行。</w:t>
      </w:r>
    </w:p>
    <w:p>
      <w:pPr>
        <w:pStyle w:val="BodyText"/>
      </w:pPr>
      <w:r>
        <w:t xml:space="preserve">可达性是”位置×配置”的函数（图 6）：链路加密（wss/TLS、双向证书）可把中间人（A1）的可达功率从上限 63.47 MW 压到 0、把 RFID 克隆（A2）在 2.1 Plug&amp;Charge 下由 3,053 点压到约 305 点；但后台被攻破（A3）与连接层 DoS（A4）不依赖链路机密性，无论协议版本如何都可达目标运营商整支机队。这把[8]抽象的”受控比例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19）。</w:t>
      </w:r>
    </w:p>
    <w:p>
      <w:pPr>
        <w:pStyle w:val="BodyText"/>
      </w:pPr>
      <w:r>
        <w:drawing>
          <wp:inline>
            <wp:extent cx="4907280" cy="26935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s/fig3_surfa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69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907280" cy="216900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s/fig13_reac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69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bookmarkEnd w:id="50"/>
    <w:bookmarkStart w:id="60" w:name="爆炸半径与集中度"/>
    <w:p>
      <w:pPr>
        <w:pStyle w:val="Heading2"/>
      </w:pPr>
      <w:r>
        <w:t xml:space="preserve">4.3 爆炸半径与集中度</w:t>
      </w:r>
    </w:p>
    <w:p>
      <w:pPr>
        <w:pStyle w:val="FirstParagraph"/>
      </w:pPr>
      <w:r>
        <w:t xml:space="preserve">后台被攻破的后果取决于该后台机队的规模与地理覆盖。攻破单家后台可控 2.6–12.3 MW（图 7）：Endesa X Way 12.33 MW、Iberdrola Clientes 9.75 MW（AMB 网络所属后台）、BSM 8.67 MW。但地理爆炸半径差异巨大（图 8）：Endesa 覆盖 18 个市镇、Iberdrola 覆盖 31 个市镇（最广）、而 BSM 虽功率相当却集中在市中心 2 个市镇。可控功率在运营商间高度集中（图 9，Gini 0.70）：前 10 家后台即聚合约 80% 的额定功率，意味着少数后台的安全态势决定了全网的可操纵规模。</w:t>
      </w:r>
    </w:p>
    <w:p>
      <w:pPr>
        <w:pStyle w:val="BodyText"/>
      </w:pPr>
      <w:r>
        <w:drawing>
          <wp:inline>
            <wp:extent cx="4480560" cy="217537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s/fig4_bla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175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后台被攻破的爆炸半径（前 8 家运营商）：单个 CSMS 被攻破时的可控额定功率（总/直流）及其充电点数与覆盖市镇数。</w:t>
      </w:r>
    </w:p>
    <w:p>
      <w:pPr>
        <w:pStyle w:val="BodyText"/>
      </w:pPr>
      <w:r>
        <w:drawing>
          <wp:inline>
            <wp:extent cx="5227320" cy="2090128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s/fig08_gis_blast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90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（GIS）后台沦陷的地理爆炸半径。红色为受影响市镇与该运营商站点；三家功率相近的后台，地理覆盖面从 2 个到 31 个市镇不等。</w:t>
      </w:r>
    </w:p>
    <w:p>
      <w:pPr>
        <w:pStyle w:val="BodyText"/>
      </w:pPr>
      <w:r>
        <w:drawing>
          <wp:inline>
            <wp:extent cx="4907280" cy="231475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s/fig19_lorenz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1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60"/>
    <w:bookmarkEnd w:id="61"/>
    <w:bookmarkStart w:id="77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CSMS，电网量仅作结果指标。本节给出检测器构造与指标形式化；这些检测与遏制已在真实 OCPP 1.6 仿真平台上实现并运行，实测结果在第 6 节报告（平台见 6.3 节与附录 D）。</w:t>
      </w:r>
    </w:p>
    <w:bookmarkStart w:id="71" w:name="时间暴露与-dos-的时空分布"/>
    <w:p>
      <w:pPr>
        <w:pStyle w:val="Heading2"/>
      </w:pPr>
      <w:r>
        <w:t xml:space="preserve">5.1 时间暴露与 DoS 的时空分布</w:t>
      </w:r>
    </w:p>
    <w:p>
      <w:pPr>
        <w:pStyle w:val="FirstParagraph"/>
      </w:pPr>
      <w:r>
        <w:t xml:space="preserve">防御的紧迫性取决于真实流量的时间暴露（图 10、图 11）。工作日会话到达在 18 时达日均 2.0 倍，45.4% 的会话在 12–19 时开始（图 10a、图 11）；因此对 AMB 网络（Iberdrola 后台）的一次拒绝服务，被拒会话强烈依赖攻击时刻——中断 3 小时在傍晚最多拒绝约 89 次/日会话，深夜不足其 1/4（图 10b）。把该时间维投影到地理上（图 12），傍晚后台中断的被拒会话集中在机场物流区与若干高需求市镇。这说明”被发现前的损失”不仅取决于遏制速度，也取决于攻击落在节律与地理的哪一段。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s/fig5_tempora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 </w:t>
      </w:r>
      <w:r>
        <w:t xml:space="preserve">时间暴露（AMB 网络 2025 全年会话）。(a) 工作日/周末到达节律；(b) 后台中断 1/3 小时在不同起始时刻的被拒会话数。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s/fig14_arriva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真实充电到达的时间结构。(a)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igs/fig10_gis_do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（GIS）DoS 时空暴露：傍晚（18–21 时）后台中断的被拒会话（按市镇）。时间维取自真实逐时会话。</w:t>
      </w:r>
    </w:p>
    <w:bookmarkEnd w:id="71"/>
    <w:bookmarkStart w:id="75" w:name="检测后台侧"/>
    <w:p>
      <w:pPr>
        <w:pStyle w:val="Heading2"/>
      </w:pPr>
      <w:r>
        <w:t xml:space="preserve">5.2 检测（后台侧）</w:t>
      </w:r>
    </w:p>
    <w:p>
      <w:pPr>
        <w:pStyle w:val="FirstParagraph"/>
      </w:pPr>
      <w:r>
        <w:t xml:space="preserve">检测融合两路特征：传输层流量特征由 NFStream 从 OCPP/WebSocket 连接提取（包/字节速率、到达间隔、连接频繁建断、心跳节律），识别 DoS 洪泛与中间人痕迹；OCPP 消息层特征包括消息类型序列、远程控制指令下发节律、授权/重放模式与 MeterValues 内部一致性[20]。</w:t>
      </w:r>
    </w:p>
    <w:p>
      <w:pPr>
        <w:pStyle w:val="BodyText"/>
      </w:pPr>
      <w:r>
        <w:t xml:space="preserve">核心检测器把”规模×节律”分解转为</w:t>
      </w:r>
      <w:r>
        <w:rPr>
          <w:bCs/>
          <w:b/>
        </w:rPr>
        <w:t xml:space="preserve">物理一致性检验</w:t>
      </w:r>
      <w:r>
        <w:t xml:space="preserve">。站点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的期望电量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s</w:t>
      </w:r>
      <w:r>
        <w:t xml:space="preserve">,</w:t>
      </w:r>
      <w:r>
        <w:rPr>
          <w:iCs/>
          <w:i/>
        </w:rPr>
        <w:t xml:space="preserve">t</w:t>
      </w:r>
      <w:r>
        <w:t xml:space="preserve">)=scale</w:t>
      </w:r>
      <w:r>
        <w:rPr>
          <w:vertAlign w:val="subscript"/>
          <w:iCs/>
          <w:i/>
        </w:rPr>
        <w:t xml:space="preserve">s</w:t>
      </w:r>
      <w:r>
        <w:t xml:space="preserve">·ρ(</w:t>
      </w:r>
      <w:r>
        <w:rPr>
          <w:iCs/>
          <w:i/>
        </w:rPr>
        <w:t xml:space="preserve">t</w:t>
      </w:r>
      <w:r>
        <w:t xml:space="preserve">)·</w:t>
      </w:r>
      <w:r>
        <w:rPr>
          <w:iCs/>
          <w:i/>
        </w:rPr>
        <w:t xml:space="preserve">g</w:t>
      </w:r>
      <w:r>
        <w:t xml:space="preserve">(</w:t>
      </w:r>
      <w:r>
        <w:rPr>
          <w:iCs/>
          <w:i/>
        </w:rPr>
        <w:t xml:space="preserve">s</w:t>
      </w:r>
      <w:r>
        <w:t xml:space="preserve">,</w:t>
      </w:r>
      <w:r>
        <w:rPr>
          <w:iCs/>
          <w:i/>
        </w:rPr>
        <w:t xml:space="preserve">d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E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为判据：伪造电表读数或把功率推出”规模×当日节律”包络之外都会使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越过正常带。图 13 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 0.53（全站一致→判为良性、须白名单），而注入的伪造电表读数在</w:t>
      </w:r>
      <w:r>
        <w:rPr>
          <w:bCs/>
          <w:b/>
        </w:rPr>
        <w:t xml:space="preserve">单站</w:t>
      </w:r>
      <w:r>
        <w:t xml:space="preserve">使比值冲高越过上带（告警）；二者的区分正来自”规模×节律”的联合期望。跨运营商联邦检测使各运营商日志本地化、仅共享模型参数与异常统计[10,21]，契合多运营商结构。所有检测器须通过第 3.3 节三类真实异常的假阳性考验并单独报告误报率。</w:t>
      </w:r>
    </w:p>
    <w:p>
      <w:pPr>
        <w:pStyle w:val="BodyText"/>
      </w:pPr>
      <w:r>
        <w:drawing>
          <wp:inline>
            <wp:extent cx="4800600" cy="299181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igs/fig6_detect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991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 </w:t>
      </w:r>
      <w:r>
        <w:t xml:space="preserve">物理一致性检测器在真实日序列上的行为。上：全网日会话数与”规模×节律”28 日稳健基线（会话 1 月 9,578→12 月 14,330 次）；下：观测/期望一致性比，4-28 大停电全网同步跌至 0.53（良性）、注入的伪造电表读数单站冲高越过上带（告警）。</w:t>
      </w:r>
    </w:p>
    <w:bookmarkEnd w:id="75"/>
    <w:bookmarkStart w:id="76" w:name="遏制与评价主指标"/>
    <w:p>
      <w:pPr>
        <w:pStyle w:val="Heading2"/>
      </w:pPr>
      <w:r>
        <w:t xml:space="preserve">5.3 遏制与评价主指标</w:t>
      </w:r>
    </w:p>
    <w:p>
      <w:pPr>
        <w:pStyle w:val="FirstParagraph"/>
      </w:pPr>
      <w:r>
        <w:t xml:space="preserve">遏制手段建模为情景变量：加密与认证等级、远程功率/停充指令限速（据[8]有效）、按运营商或区域隔离、跨运营商联邦检测。主指标为”被发现前造成的损失”而非仅 AUC：累计受控电量（MWh）、被拒会话数、受影响市镇数。定义检测时延为攻击注入到首次正确告警的时间，损失即检测时延沿攻击功率曲线的积分。三量全部可在 H3 功能分区底图上随时间轴回放（第 7 节图 18）。</w:t>
      </w:r>
    </w:p>
    <w:bookmarkEnd w:id="76"/>
    <w:bookmarkEnd w:id="77"/>
    <w:bookmarkStart w:id="92" w:name="实验设计与评估"/>
    <w:p>
      <w:pPr>
        <w:pStyle w:val="Heading1"/>
      </w:pPr>
      <w:r>
        <w:t xml:space="preserve">6 实验设计与评估</w:t>
      </w:r>
    </w:p>
    <w:p>
      <w:pPr>
        <w:pStyle w:val="FirstParagraph"/>
      </w:pPr>
      <w:r>
        <w:t xml:space="preserve">本节在真实 OCPP 1.6 仿真平台上实测防御效果：真实会话经真实 OCPP 消息回放，攻击与检测/遏制在隔离环境中实际运行，所报数值为跨重复运行的实测中位数（平台见 6.3 节、附录 D）。</w:t>
      </w:r>
    </w:p>
    <w:bookmarkStart w:id="84" w:name="攻击目标的异质性"/>
    <w:p>
      <w:pPr>
        <w:pStyle w:val="Heading2"/>
      </w:pPr>
      <w:r>
        <w:t xml:space="preserve">6.1 攻击目标的异质性</w:t>
      </w:r>
    </w:p>
    <w:p>
      <w:pPr>
        <w:pStyle w:val="FirstParagraph"/>
      </w:pPr>
      <w:r>
        <w:t xml:space="preserve">不同接口的攻击价值不同（图 14）：直流桩中位时长仅 27–28 min 但中位功率达 48–86 kW、电量 18–27 kWh，是功率操纵与偷电的主要目标；交流 Schuko 中位 114 min、仅 2.2 kW，攻击价值低。各接口的增长也不同步（图 15）：直流会话全年增至 1.67 倍、交流 Type2 1.25 倍，而 Schuko 降至 0.77 倍，意味着负荷构成随时间变化、防御规则须定期更新。</w:t>
      </w:r>
    </w:p>
    <w:p>
      <w:pPr>
        <w:pStyle w:val="BodyText"/>
      </w:pPr>
      <w:r>
        <w:drawing>
          <wp:inline>
            <wp:extent cx="5013960" cy="2052843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figs/fig15_chargetyp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052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 </w:t>
      </w:r>
      <w:r>
        <w:t xml:space="preserve">按接口类型的攻击价值：直流桩短时、高功率、高电量，是功率操纵的主要目标。</w:t>
      </w:r>
    </w:p>
    <w:p>
      <w:pPr>
        <w:pStyle w:val="BodyText"/>
      </w:pPr>
      <w:r>
        <w:drawing>
          <wp:inline>
            <wp:extent cx="4907280" cy="217939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s/fig16_monthl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79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 </w:t>
      </w:r>
      <w:r>
        <w:t xml:space="preserve">各接口月度增长不同步：直流增长最快、Schuko 下降，负荷构成随时间变化。</w:t>
      </w:r>
    </w:p>
    <w:bookmarkEnd w:id="84"/>
    <w:bookmarkStart w:id="91" w:name="场景矩阵指标与权衡"/>
    <w:p>
      <w:pPr>
        <w:pStyle w:val="Heading2"/>
      </w:pPr>
      <w:r>
        <w:t xml:space="preserve">6.2 场景矩阵、指标与权衡</w:t>
      </w:r>
    </w:p>
    <w:p>
      <w:pPr>
        <w:pStyle w:val="FirstParagraph"/>
      </w:pPr>
      <w:r>
        <w:t xml:space="preserve">实验在四维笛卡尔积上展开（完整取值见附录 B）：攻击者位置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∈{A1–A4}；OCPP 版本与安全配置</w:t>
      </w:r>
      <w:r>
        <w:t xml:space="preserve"> </w:t>
      </w:r>
      <w:r>
        <w:rPr>
          <w:iCs/>
          <w:i/>
        </w:rPr>
        <w:t xml:space="preserve">V</w:t>
      </w:r>
      <w:r>
        <w:t xml:space="preserve">；防御配置</w:t>
      </w:r>
      <w:r>
        <w:t xml:space="preserve"> </w:t>
      </w:r>
      <w:r>
        <w:rPr>
          <w:iCs/>
          <w:i/>
        </w:rPr>
        <w:t xml:space="preserve">D</w:t>
      </w:r>
      <w:r>
        <w:t xml:space="preserve">∈{无防御、加密认证、指令限速、隔离、联邦检测、规模×节律一致性检测}；攻击规模与协同度</w:t>
      </w:r>
      <w:r>
        <w:t xml:space="preserve"> </w:t>
      </w:r>
      <w:r>
        <w:rPr>
          <w:iCs/>
          <w:i/>
        </w:rPr>
        <w:t xml:space="preserve">C</w:t>
      </w:r>
      <w:r>
        <w:t xml:space="preserve">。设攻击在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注入、</w:t>
      </w:r>
      <w:r>
        <w:rPr>
          <w:iCs/>
          <w:i/>
        </w:rPr>
        <w:t xml:space="preserve">t_d</w:t>
      </w:r>
      <w:r>
        <w:t xml:space="preserve"> </w:t>
      </w:r>
      <w:r>
        <w:t xml:space="preserve">首个真阳性告警、</w:t>
      </w:r>
      <w:r>
        <w:rPr>
          <w:iCs/>
          <w:i/>
        </w:rPr>
        <w:t xml:space="preserve">t_c</w:t>
      </w:r>
      <w:r>
        <w:t xml:space="preserve"> </w:t>
      </w:r>
      <w:r>
        <w:t xml:space="preserve">遏制到阈值；度量检测时延 τ_d、遏制时间 τ_c、残余损失（ΔE、N_rej、|M|）、计费偏差与误报率（形式化见附录 C）。在该平台上实测（代表日 2025-12-05 傍晚 16–22 时、57 个有会话的 AMB 站点、每格 3 次重复），结果给出三点（图 16、图 17、图 A1）。其一，</w:t>
      </w:r>
      <w:r>
        <w:rPr>
          <w:bCs/>
          <w:b/>
        </w:rPr>
        <w:t xml:space="preserve">检测必须配合遏制</w:t>
      </w:r>
      <w:r>
        <w:t xml:space="preserve">：仅检测（D5）与无防御（D0）的被发现前残余受控电量同为约 2,100 kWh，而叠加隔离（D3+D5）后降至约 6–10 kWh（降幅 &gt;99%）。其二，</w:t>
      </w:r>
      <w:r>
        <w:rPr>
          <w:bCs/>
          <w:b/>
        </w:rPr>
        <w:t xml:space="preserve">规模×节律一致性检测器</w:t>
      </w:r>
      <w:r>
        <w:t xml:space="preserve">捕获了指令速率检测漏掉的隐蔽慢速攻击（3 指令/分），约 1 分钟内告警；快速攻击由速率检测在 0–1 分钟内捕获。其三，单用限速（D2）而不隔离几乎不减损失（攻击仍最终波及全部 57 站），但限速叠加隔离把爆炸半径压到约 6 站、峰值受控功率从约 0.89 MW 降到约 0.23 MW。四次良性回放的误报为 0。</w:t>
      </w:r>
    </w:p>
    <w:p>
      <w:pPr>
        <w:pStyle w:val="BodyText"/>
      </w:pPr>
      <w:r>
        <w:rPr>
          <w:bCs/>
          <w:b/>
        </w:rPr>
        <w:t xml:space="preserve">6.3 仿真平台。</w:t>
      </w:r>
      <w:r>
        <w:t xml:space="preserve"> </w:t>
      </w: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 消息（BootNotification/Authorize/StartTransaction/MeterValues/StopTransaction/Heartbeat，以及 CSMS→桩的 SetChargingProfile/RemoteStopTransaction）；57 个充电桩异步客户端经真实 websocket 连至一个 CSMS，按 2025-12-05 的真实会话回放，采用离散虚拟时钟（1 分钟步进）与墙钟解耦。A3 后台沦陷攻击向各桩扇出限功率/停充（快速 30、隐蔽 3 指令/分）；后台侧检测器并用指令速率（2 分钟内≥5 条控制指令告警）与规模×节律功率一致性（观测/预期&lt;0.5 持续 2 分钟告警）；遏制为指令限速与告警后 1 分钟隔离恢复。每格三次重复（攻击起始 17:30/18:00/18:30），指标取中位数。</w:t>
      </w:r>
    </w:p>
    <w:p>
      <w:pPr>
        <w:pStyle w:val="BodyText"/>
      </w:pPr>
      <w:r>
        <w:drawing>
          <wp:inline>
            <wp:extent cx="4480560" cy="2286149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figs/fig17_matri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2861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OCPP 仿真实测：场景矩阵——各攻击变体 × 防御配置下被发现前的残余受控电量 ΔE（kWh，57 站真实会话；无遏制≈2,100、隔离后≈6–10）。</w:t>
      </w:r>
    </w:p>
    <w:p>
      <w:pPr>
        <w:pStyle w:val="BodyText"/>
      </w:pPr>
      <w:r>
        <w:drawing>
          <wp:inline>
            <wp:extent cx="4907280" cy="209768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figs/fig18_latenc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97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</w:t>
      </w:r>
      <w:r>
        <w:t xml:space="preserve"> </w:t>
      </w:r>
      <w:r>
        <w:t xml:space="preserve">OCPP 仿真实测：防御配置对残余损失与检测时延的影响。(a) 残余受控电量 ΔE（对数）；(b) 检测时延 τ_d。仅检测/限速不减损失，隔离降幅 &gt;99%。</w:t>
      </w:r>
    </w:p>
    <w:p>
      <w:pPr>
        <w:pStyle w:val="BodyText"/>
      </w:pPr>
      <w:r>
        <w:t xml:space="preserve">真实异常套件充当”闸门”：任一配置须在三类真实异常上将误报率控制在上限 α 内，否则不计入主比较。每个场景格重复运行，报告中位数与 95% 自助置信区间，全部种子与配置入库以保证可复现。</w:t>
      </w:r>
    </w:p>
    <w:bookmarkEnd w:id="91"/>
    <w:bookmarkEnd w:id="92"/>
    <w:bookmarkStart w:id="98" w:name="gis-攻防可视化与工具链"/>
    <w:p>
      <w:pPr>
        <w:pStyle w:val="Heading1"/>
      </w:pPr>
      <w:r>
        <w:t xml:space="preserve">7 GIS 攻防可视化与工具链</w:t>
      </w:r>
    </w:p>
    <w:bookmarkStart w:id="96" w:name="攻防时间线的地图回放"/>
    <w:p>
      <w:pPr>
        <w:pStyle w:val="Heading2"/>
      </w:pPr>
      <w:r>
        <w:t xml:space="preserve">7.1 攻防时间线的地图回放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才从修辞变为可核查的结果形式。图 18 由第 6 节的真实 OCPP 仿真逐站事件直接驱动（攻击者按站点繁忙度以 30 指令/分扇出，第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个被控站在</w:t>
      </w:r>
      <w:r>
        <w:t xml:space="preserve"> </w:t>
      </w:r>
      <w:r>
        <w:rPr>
          <w:iCs/>
          <w:i/>
        </w:rPr>
        <w:t xml:space="preserve">k</w:t>
      </w:r>
      <w:r>
        <w:t xml:space="preserve">/速率 分钟被控），把一次后台沦陷的攻防全过程在真实站点地理上回放：</w:t>
      </w:r>
      <w:r>
        <w:rPr>
          <w:iCs/>
          <w:i/>
        </w:rPr>
        <w:t xml:space="preserve">t</w:t>
      </w:r>
      <w:r>
        <w:t xml:space="preserve">₀ 入口单站被攻破，</w:t>
      </w:r>
      <w:r>
        <w:rPr>
          <w:iCs/>
          <w:i/>
        </w:rPr>
        <w:t xml:space="preserve">t</w:t>
      </w:r>
      <w:r>
        <w:t xml:space="preserve">≈0.6 min 指令沿地理扩散至约 19 站，无遏制时约 2 min 内全网 57 站被控（峰值受控≈0.89 MW）；而检测+隔离在约 1 min 内告警并按运营商隔离、恢复本地充电，被发现前残余受控电量从 2,115 kWh 降至 9.5 kWh。这些帧与第 6 节的 τ_d、τ_c 一一对应，使攻击扩散速度、检测时刻与遏制范围同时可见。配套的</w:t>
      </w:r>
      <w:r>
        <w:rPr>
          <w:bCs/>
          <w:b/>
        </w:rPr>
        <w:t xml:space="preserve">交互式三维攻防指挥台</w:t>
      </w:r>
      <w:r>
        <w:t xml:space="preserve">（deck.gl 三维地图，站点为随攻击实时变化的三维柱——限功率时塌缩、篡改电表时暴涨、DoS 时离线——CSMS 射出三维攻击弧，市镇底面随受控功率变色；可切换 4 种攻击向量（后台限功率/批量停充、链路中间人篡改电表、后台 DoS 洪泛）、3 种防御与 3 个 OCPP 版本，含实时 OCPP 报文流终端、检测器双信号遥测与威胁等级）在线回放真实仿真：https://claude.ai/artifact/HGTEGXjcdi4uarwkPWdoS9 。其中协议版本切换直观印证第 4 节的可达性分析——升级到 OCPP 2.0.1/2.1 后，链路中间人篡改向量被 TLS 阻断，而后台沦陷与 DoS 不受影响。本文前述 GIS 图共同构成一套攻防图集：攻击面（图 3、4）、爆炸半径（图 8）、暴露（图 12）与时间线（图 18）。</w:t>
      </w:r>
    </w:p>
    <w:p>
      <w:pPr>
        <w:pStyle w:val="BodyText"/>
      </w:pPr>
      <w:r>
        <w:drawing>
          <wp:inline>
            <wp:extent cx="5227320" cy="2362318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s/fig11_gis_timelin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36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</w:t>
      </w:r>
      <w:r>
        <w:t xml:space="preserve">（GIS）攻防时间线回放：由真实 OCPP 1.6 仿真逐站事件驱动（AMB/Iberdrola 后台，地理为真实站点）。红方块=被攻破的 CSMS，红线=攻击指令扇出，青=正常、红=被控、绿=已隔离/恢复。前三帧为无遏制扩散，末帧为检测+隔离的遏制结果（ΔE 9.5 vs 2,115 kWh）。</w:t>
      </w:r>
    </w:p>
    <w:bookmarkEnd w:id="96"/>
    <w:bookmarkStart w:id="97" w:name="工具链"/>
    <w:p>
      <w:pPr>
        <w:pStyle w:val="Heading2"/>
      </w:pPr>
      <w:r>
        <w:t xml:space="preserve">7.2 工具链</w:t>
      </w:r>
    </w:p>
    <w:p>
      <w:pPr>
        <w:pStyle w:val="FirstParagraph"/>
      </w:pPr>
      <w:r>
        <w:t xml:space="preserve">底图复用[11]已建成的 H3 分辨率 8（894 格、414 建成区）功能分区与 621 站点点图层；站点按运营商着色并连向各自 CSMS。仿真底座由开源组件拼装：每个充电桩由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库[16]启一个异步客户端，回放真实会话或以”规模×节律”生成背景流量；CSMS 侧用 SteVe[17]（OCPP 1.6）或 CitrineOS[18]（OCPP 2.0.1），使协议版本成为可切换情景变量；拓扑由 Mininet/IPMininet[19]搭建，隔离边界与联邦节点显式建模；攻击由 mitmproxy 注入、流量特征由 NFStream 提取[20]。现成框架中 EmuOCPP[22]（基于 IPMininet）与本文需求最接近，可作全保真底座起点；本文第 6 节的实测即在此类平台的一个轻量实现上完成——用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 CSMS 与 57 个充电桩客户端、真实 OCPP 1.6 消息经 websocket 交换（见附录 D）。异步 IO 使单机即可承载数十至数百个并发 OCPP 会话；情景变量均经配置文件参数化，支持场景矩阵批量重跑与地图回放的可复现归档。</w:t>
      </w:r>
    </w:p>
    <w:bookmarkEnd w:id="97"/>
    <w:bookmarkEnd w:id="98"/>
    <w:bookmarkStart w:id="106" w:name="讨论伦理边界与结论"/>
    <w:p>
      <w:pPr>
        <w:pStyle w:val="Heading1"/>
      </w:pPr>
      <w:r>
        <w:t xml:space="preserve">8 讨论、伦理边界与结论</w:t>
      </w:r>
    </w:p>
    <w:bookmarkStart w:id="102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本文能回答：在既定拓扑与流量下，攻击者占据 OCPP 通道不同位置时实际可控的站点数、可控 MW、可被拒会话量，以及防御方从异常出现到定位遏制的时间。它不能回答电网物理层的稳定性——这超出现有数据。电网仅作结果指标且不建潮流模型的取舍由量级论证支持：63.47 MW 仅为本土峰值 0.16%，远低于触发 UFLS 的 9–11%（图 19）；[8]把攻击抽象为受控比例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如何从网络层得到，本文补的正是这一空白。</w:t>
      </w:r>
    </w:p>
    <w:p>
      <w:pPr>
        <w:pStyle w:val="BodyText"/>
      </w:pPr>
      <w:r>
        <w:drawing>
          <wp:inline>
            <wp:extent cx="3947160" cy="234146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figs/fig20_gri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34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102"/>
    <w:bookmarkStart w:id="103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6）：1.6 下中间人篡改、伪造电表与重放授权在未加密链路上现实可行；迁移到 2.0.1/2.1 后强制 TLS、设备证书与安全事件日志会显著压缩中间人与冒充类攻击面[12,13]，但后台被攻破后的批量限功率/停充、以及连接层 DoS 并不随协议升级消失（图 6 的 A3/A4 行）。本框架不绑定巴塞罗那：任何 AFIR 城市都有等价的国家接入点登记表底座，方法学可直接移植；但具体数值不可迁移——设施倍数（同站直流 3.45 倍）、认证构成（2,897/3,302 为 rfid;apps）、运营商口径（编号 37 / 名称 38）等须在当地重估。</w:t>
      </w:r>
    </w:p>
    <w:bookmarkEnd w:id="103"/>
    <w:bookmarkStart w:id="104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带会话流量的真实数据仅来自单一运营商（AMB 网络，Iberdrola Clientes）、单一年度，其余 550 站点只有静态属性、背景流量需借模型生成；DGT 登记表缺投运日期与配电拓扑；协议版本存在不确定性，只能以情景变量覆盖。</w:t>
      </w:r>
    </w:p>
    <w:bookmarkEnd w:id="104"/>
    <w:bookmarkStart w:id="105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（1）在巴塞罗那真实结构下，网络层 OCPP 攻防的关键量不是电网频率，而是可控站点、可控 MW 与被拒会话，电网只宜作结果指标；攻破单家后台可控 2.6–12.3 MW、约 5 家后台聚得全网八成直流功率、功率在运营商间高度集中（Gini 0.70），但均远低于触发 UFLS 的规模。（2）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分解可一物两用——既生成背景流量，又作站点上报电量的物理一致性检测器，并能把真实停电等良性异常与攻击区分。（3）链路加密只压制中间人与克隆类（A1/A2）、对后台攻陷与 DoS（A3/A4）无效，后二者须靠限速、隔离与检测遏制。（4）评价应以”被发现前造成的损失”为主指标，并全部可在 H3 底图上按时间轴回放。（5）真实 OCPP 1.6 仿真实测证实：隔离是遏制的决定性手段（残余受控电量降幅 &gt;99%），而仅检测或仅限速几乎不减损失；规模×节律一致性检测器可捕获速率检测漏掉的隐蔽慢速攻击，且四次良性回放零误报。后续工作：接入站点动态可用性数据替代静态登记表假设，以其他 AFIR 城市数据及 2026 年新会话检验外部有效性，并将协议版本纳入情景扫描以量化迁移收益。</w:t>
      </w:r>
    </w:p>
    <w:bookmarkEnd w:id="105"/>
    <w:bookmarkEnd w:id="106"/>
    <w:bookmarkStart w:id="107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107"/>
    <w:bookmarkStart w:id="108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DGT 登记表复算（electrolineras.xml,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点，占功率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直流功率分档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&lt;40:0.33；40–100:13.49；&gt;100:22.14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 / Iberdrola 9.75 / 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 网络所属后台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Iberdrola Clientes；71 站中 33 站在 DGT（98 点、3.74 MW）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features_report 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接口中位(时长/电量/功率)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Schuko 114min/3.3/2.2；Type2 55/5.8/7.2；DC40-100 28/18.2/48.3；DC&gt;100 27/26.9/85.8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14）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各接口年增长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1.67×、Type2 1.25×、Schuko 0.77×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site_month 复算（图 15）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 次 vs 邻周 285.8（比 0.51；一致性比 0.53）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13）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全年增长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月 9,578→12 月 14,330 次（1.5 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复算（能量/8760h=0.225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满桩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16 个站点单元≥5%，14 个站点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复算（与[11]一致）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9–11%、2.5 MW→&lt;0.90 pu、限速 40%→4%→~0%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 计算（图 19）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</w:tbl>
    <w:bookmarkEnd w:id="108"/>
    <w:bookmarkStart w:id="109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：受控集合（单站/单运营商/跨运营商）×目标选择（随机/择直流高功率）×协同度（独立随机启动/时间同步）。受控功率上限 = 登记表额定功率在受控集合上的求和（全网 63.47 MW、直流 35.96 MW 为天花板）。</w:t>
      </w:r>
    </w:p>
    <w:bookmarkEnd w:id="109"/>
    <w:bookmarkStart w:id="110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</w:t>
      </w:r>
      <w:r>
        <w:t xml:space="preserve"> </w:t>
      </w:r>
      <w:r>
        <w:t xml:space="preserve">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</w:t>
      </w:r>
      <w:r>
        <w:t xml:space="preserve"> </w:t>
      </w:r>
      <w:r>
        <w:t xml:space="preserve">被操纵电量 ΔE=Σ_会话|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_标称|·Δt（MWh）；被拒会话 N_rej=基线计划中因攻击未开始或被强制中止的会话数；受影响市镇 |M_aff|=含≥1 个受控站点的市镇集基数。</w:t>
      </w:r>
      <w:r>
        <w:t xml:space="preserve"> </w:t>
      </w:r>
      <w:r>
        <w:t xml:space="preserve">计费偏差 Δ€=Σ_会话|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FPR=FP/(FP+TN)，按时间窗与消息两种口径分别统计。各指标报告跨重复运行的中位数与 95% 自助置信区间。</w:t>
      </w:r>
    </w:p>
    <w:bookmarkEnd w:id="110"/>
    <w:bookmarkStart w:id="120" w:name="附录-d-ocpp-仿真平台实测口径与负荷重建"/>
    <w:p>
      <w:pPr>
        <w:pStyle w:val="Heading1"/>
      </w:pPr>
      <w:r>
        <w:t xml:space="preserve">附录 D　OCPP 仿真平台、实测口径与负荷重建</w:t>
      </w:r>
    </w:p>
    <w:p>
      <w:pPr>
        <w:pStyle w:val="FirstParagraph"/>
      </w:pPr>
      <w:r>
        <w:rPr>
          <w:bCs/>
          <w:b/>
        </w:rPr>
        <w:t xml:space="preserve">可达性模型（图 6）：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OCPP 仿真平台（图 16、17、A1 的来源）：</w:t>
      </w:r>
      <w:r>
        <w:t xml:space="preserve"> </w:t>
      </w:r>
      <w:r>
        <w:t xml:space="preserve">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个充电桩异步客户端经真实 websocket 连至一个 CSMS，按 2025-12-05（最繁忙工作日，窗口 16–22 时，254 笔真实会话）回放。离散虚拟时钟 1 分钟步进、与墙钟解耦，故每条消息的处理延迟不污染仿真时间。攻击 = A3 后台沦陷：t₀ 起向站点（按日负荷降序）扇出 SetChargingProfile(limit=0) 或 RemoteStopTransaction，速率为快速 30/慢速 3 指令/分；限速防御把 CSMS 外发控制指令上限设为 2/分。检测器并用指令速率与规模×节律功率一致性（预期 = 无攻击调度功率，观测由桩上报 MeterValues 聚合）。指标：τ_d=首个真阳性告警−t₀；残余受控电量 ΔE=受控区间∩会话活动区间内被curtail功率的积分；被拒会话、受控站点、峰值受控功率；误报率由无攻击回放统计。每格三次重复取中位数。实测 D0 峰值受控功率 0.886 MW，与独立负荷重建（图 A2，峰值≈0.40 MW 小时均、瞬时并发更高）量级一致。</w:t>
      </w:r>
    </w:p>
    <w:p>
      <w:pPr>
        <w:pStyle w:val="BodyText"/>
      </w:pPr>
      <w:r>
        <w:rPr>
          <w:bCs/>
          <w:b/>
        </w:rPr>
        <w:t xml:space="preserve">电网对照（图 19）：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时达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840480" cy="216051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figs/figA1_containment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60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OCPP 仿真实测：受控功率随时间（快速篡改攻击）。D0/仅检测爬升至≈0.89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307080" cy="187427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s/figA2_loa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8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figs/fig09_gis_rfi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（GIS）RFID 克隆/重放攻击面的空间与分区分布：92.5% 充电点接受 RFID；(a) 空间分布，(b) 按功能分区的暴露密度。</w:t>
      </w:r>
    </w:p>
    <w:bookmarkEnd w:id="120"/>
    <w:bookmarkStart w:id="121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真实运营商结构+真实会话+OCPP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54" Target="media/rId54.png" /><Relationship Type="http://schemas.openxmlformats.org/officeDocument/2006/relationships/image" Id="rId117" Target="media/rId117.png" /><Relationship Type="http://schemas.openxmlformats.org/officeDocument/2006/relationships/image" Id="rId68" Target="media/rId68.png" /><Relationship Type="http://schemas.openxmlformats.org/officeDocument/2006/relationships/image" Id="rId93" Target="media/rId93.png" /><Relationship Type="http://schemas.openxmlformats.org/officeDocument/2006/relationships/image" Id="rId40" Target="media/rId40.png" /><Relationship Type="http://schemas.openxmlformats.org/officeDocument/2006/relationships/image" Id="rId47" Target="media/rId47.png" /><Relationship Type="http://schemas.openxmlformats.org/officeDocument/2006/relationships/image" Id="rId65" Target="media/rId6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57" Target="media/rId57.png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111" Target="media/rId111.png" /><Relationship Type="http://schemas.openxmlformats.org/officeDocument/2006/relationships/image" Id="rId114" Target="media/rId1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空间稀疏网络下充电基础设施控制通道的网络层攻防仿真——以巴塞罗那大都会区 OCPP 网络为例</dc:title>
  <dc:creator>［作者待补］</dc:creator>
  <cp:keywords/>
  <dcterms:created xsi:type="dcterms:W3CDTF">2026-10-15T21:59:18Z</dcterms:created>
  <dcterms:modified xsi:type="dcterms:W3CDTF">2026-10-15T21:59:18Z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