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PROYECTO DE PROVIDENCIA</w:t>
      </w:r>
    </w:p>
    <w:p/>
    <w:p>
      <w:pPr>
        <w:pStyle w:val="Heading1"/>
      </w:pPr>
      <w:r>
        <w:t>JUZGADO ADMINISTRATIVO ORAL DEL CIRCUITO DE [CIUDAD]</w:t>
      </w:r>
    </w:p>
    <w:p>
      <w:pPr>
        <w:pStyle w:val="Heading1"/>
      </w:pPr>
      <w:r>
        <w:t>PROCESO: REPARACIÓN DIRECTA</w:t>
      </w:r>
    </w:p>
    <w:p>
      <w:pPr>
        <w:pStyle w:val="Heading1"/>
      </w:pPr>
      <w:r>
        <w:t>DEMANDANTE: [NOMBRE]</w:t>
      </w:r>
    </w:p>
    <w:p>
      <w:pPr>
        <w:pStyle w:val="Heading1"/>
      </w:pPr>
      <w:r>
        <w:t>DEMANDADO: [ENTIDAD]</w:t>
      </w:r>
    </w:p>
    <w:p>
      <w:pPr>
        <w:pStyle w:val="Heading1"/>
      </w:pPr>
      <w:r>
        <w:t>RADICADO: [RADICADO]</w:t>
      </w:r>
    </w:p>
    <w:p>
      <w:pPr>
        <w:pStyle w:val="Heading1"/>
      </w:pPr>
      <w:r>
        <w:t>I. ANTECEDENTES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La parte demandante solicita que se declare patrimonialmente responsable a la entidad demandada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por los daños antijurídicos presuntamente causados por acción u omisión de sus agentes.</w:t>
      </w:r>
    </w:p>
    <w:p>
      <w:pPr>
        <w:pStyle w:val="Heading1"/>
      </w:pPr>
      <w:r>
        <w:t>II. CONSIDERACIONES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El despacho analizará la procedencia de la demanda, la existencia del daño antijurídico, la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imputación jurídica y fáctica, el nexo causal y la prueba de los perjuicios reclamados.</w:t>
      </w:r>
    </w:p>
    <w:p>
      <w:pPr>
        <w:pStyle w:val="Heading1"/>
      </w:pPr>
      <w:r>
        <w:t>III. RESUELVE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PRIMERO. [Decisión principal].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SEGUNDO. [Decisión sobre costas].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4"/>
        </w:rPr>
        <w:t>TERCERO. Ejecutoriada esta providencia, archívese el expediente.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