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SENTENCIA DE PRIMERA INSTANCIA (PROYECTO)</w:t>
      </w:r>
    </w:p>
    <w:p/>
    <w:p>
      <w:pPr>
        <w:pStyle w:val="Heading1"/>
      </w:pPr>
      <w:r>
        <w:t>JUZGADO ADMINISTRATIVO DEL CIRCUITO DE VILLANUEVA</w:t>
      </w:r>
    </w:p>
    <w:p>
      <w:pPr>
        <w:pStyle w:val="Heading1"/>
      </w:pPr>
      <w:r>
        <w:t>PROCESO: REPARACIÓN DIRECTA</w:t>
      </w:r>
    </w:p>
    <w:p>
      <w:pPr>
        <w:pStyle w:val="Heading1"/>
      </w:pPr>
      <w:r>
        <w:t>DEMANDANTE: MARÍA PÉREZ GÓMEZ Y MENOR J.P.P.</w:t>
      </w:r>
    </w:p>
    <w:p>
      <w:pPr>
        <w:pStyle w:val="Heading1"/>
      </w:pPr>
      <w:r>
        <w:t>DEMANDADO: MUNICIPIO DE VILLANUEVA</w:t>
      </w:r>
    </w:p>
    <w:p>
      <w:pPr>
        <w:pStyle w:val="Heading1"/>
      </w:pPr>
      <w:r>
        <w:t>RADICADO: (POR ASIGNAR)</w:t>
      </w:r>
    </w:p>
    <w:p>
      <w:pPr>
        <w:pStyle w:val="Heading1"/>
      </w:pPr>
      <w:r>
        <w:t>FECHA: 25 DE JUNIO DE 2026</w:t>
      </w:r>
    </w:p>
    <w:p>
      <w:pPr>
        <w:pStyle w:val="Heading1"/>
      </w:pPr>
      <w:r>
        <w:t>ADVERTENCIA</w:t>
      </w:r>
    </w:p>
    <w:p>
      <w:pPr>
        <w:spacing w:line="276" w:lineRule="auto" w:after="120"/>
        <w:jc w:val="both"/>
      </w:pPr>
      <w:r>
        <w:rPr>
          <w:rFonts w:ascii="Times New Roman" w:hAnsi="Times New Roman"/>
          <w:sz w:val="24"/>
        </w:rPr>
        <w:t>Documento de apoyo generado por IA; borrador para revisión de un profesional del derecho. No es providencia judicial ni asesoría legal. Contiene puntos pendientes de verificación expresamente señalados.</w:t>
      </w:r>
    </w:p>
    <w:p>
      <w:pPr>
        <w:pStyle w:val="Heading1"/>
      </w:pPr>
      <w:r>
        <w:t>I. ANTECEDENTES</w:t>
      </w:r>
    </w:p>
    <w:p>
      <w:pPr>
        <w:spacing w:line="276" w:lineRule="auto" w:after="120"/>
        <w:jc w:val="both"/>
      </w:pPr>
      <w:r>
        <w:rPr>
          <w:rFonts w:ascii="Times New Roman" w:hAnsi="Times New Roman"/>
          <w:sz w:val="24"/>
        </w:rPr>
        <w:t>María Pérez Gómez, en nombre propio y de su hijo menor J.P.P., promueve reparación directa contra el Municipio de Villanueva por las lesiones sufridas por el menor el 15 de mayo de 2024, al caer en una alcantarilla sin tapa ubicada en el espacio público, pese a reportes ciudadanos previos sobre el riesgo.</w:t>
      </w:r>
    </w:p>
    <w:p>
      <w:pPr>
        <w:pStyle w:val="Heading1"/>
      </w:pPr>
      <w:r>
        <w:t>II. PROBLEMA JURÍDICO</w:t>
      </w:r>
    </w:p>
    <w:p>
      <w:pPr>
        <w:spacing w:line="276" w:lineRule="auto" w:after="120"/>
        <w:jc w:val="both"/>
      </w:pPr>
      <w:r>
        <w:rPr>
          <w:rFonts w:ascii="Times New Roman" w:hAnsi="Times New Roman"/>
          <w:sz w:val="24"/>
        </w:rPr>
        <w:t>¿Es el Municipio de Villanueva patrimonialmente responsable, por falla del servicio por omisión en el mantenimiento del espacio público, de las lesiones causadas al menor J.P.P.?</w:t>
      </w:r>
    </w:p>
    <w:p>
      <w:pPr>
        <w:pStyle w:val="Heading1"/>
      </w:pPr>
      <w:r>
        <w:t>III. CONSIDERACIONES</w:t>
      </w:r>
    </w:p>
    <w:p>
      <w:pPr>
        <w:spacing w:line="276" w:lineRule="auto" w:after="120"/>
        <w:jc w:val="both"/>
      </w:pPr>
      <w:r>
        <w:rPr>
          <w:rFonts w:ascii="Times New Roman" w:hAnsi="Times New Roman"/>
          <w:sz w:val="24"/>
        </w:rPr>
        <w:t>Competencia y procedibilidad acreditadas. La demanda se presentó en tiempo conforme al artículo 164.2.i del CPACA (caducidad de dos años). El régimen aplicable es el de falla del servicio, con fundamento en el artículo 90 de la Constitución Política y el artículo 140 del CPACA.</w:t>
      </w:r>
    </w:p>
    <w:p>
      <w:pPr>
        <w:spacing w:line="276" w:lineRule="auto" w:after="120"/>
        <w:jc w:val="both"/>
      </w:pPr>
      <w:r>
        <w:rPr>
          <w:rFonts w:ascii="Times New Roman" w:hAnsi="Times New Roman"/>
          <w:sz w:val="24"/>
        </w:rPr>
        <w:t>Conforme al Consejo de Estado, Sección Tercera, Subsección C, sentencia del 23 de agosto de 2024, C.P. William Barrera Muñoz, radicado 05001-23-33-000-2013-01136-01 (Exp. 63696), la responsabilidad por omisión exige deber legal de conservación, conocimiento o deber de conocer la irregularidad, y nexo causal; el Estado no es asegurador universal. En el caso, los reportes previos al Municipio configuran el deber de conocer.</w:t>
      </w:r>
    </w:p>
    <w:p>
      <w:pPr>
        <w:pStyle w:val="Heading1"/>
      </w:pPr>
      <w:r>
        <w:t>IV. HECHOS PROBADOS</w:t>
      </w:r>
    </w:p>
    <w:p>
      <w:pPr>
        <w:spacing w:line="276" w:lineRule="auto" w:after="120"/>
        <w:jc w:val="both"/>
      </w:pPr>
      <w:r>
        <w:rPr>
          <w:rFonts w:ascii="Times New Roman" w:hAnsi="Times New Roman"/>
          <w:sz w:val="24"/>
        </w:rPr>
        <w:t>Se encuentra probado el daño (historia clínica) y los gastos médicos (facturas). La falla se acredita indiciariamente (registro fotográfico y reportes previos), sujeta a ratificación de los testimonios extrajuicio.</w:t>
      </w:r>
    </w:p>
    <w:p>
      <w:pPr>
        <w:pStyle w:val="Heading1"/>
      </w:pPr>
      <w:r>
        <w:t>V. ANÁLISIS DEL DAÑO, IMPUTACIÓN Y NEXO CAUSAL</w:t>
      </w:r>
    </w:p>
    <w:p>
      <w:pPr>
        <w:spacing w:line="276" w:lineRule="auto" w:after="120"/>
        <w:jc w:val="both"/>
      </w:pPr>
      <w:r>
        <w:rPr>
          <w:rFonts w:ascii="Times New Roman" w:hAnsi="Times New Roman"/>
          <w:sz w:val="24"/>
        </w:rPr>
        <w:t>Daño cierto y antijurídico; imputación por omisión del deber de conservación; nexo causal sustentado en la omisión de la conducta debida, conforme al estándar de la providencia citada.</w:t>
      </w:r>
    </w:p>
    <w:p>
      <w:pPr>
        <w:pStyle w:val="Heading1"/>
      </w:pPr>
      <w:r>
        <w:t>VI. LIQUIDACIÓN</w:t>
      </w:r>
    </w:p>
    <w:p>
      <w:pPr>
        <w:spacing w:line="276" w:lineRule="auto" w:after="120"/>
        <w:jc w:val="both"/>
      </w:pPr>
      <w:r>
        <w:rPr>
          <w:rFonts w:ascii="Times New Roman" w:hAnsi="Times New Roman"/>
          <w:sz w:val="24"/>
        </w:rPr>
        <w:t>Perjuicios materiales: se reconoce el monto efectivamente acreditado en facturas, indexado con base en el IPC (artículo 187 del CPACA).</w:t>
      </w:r>
    </w:p>
    <w:p>
      <w:pPr>
        <w:spacing w:line="276" w:lineRule="auto" w:after="120"/>
        <w:jc w:val="both"/>
      </w:pPr>
      <w:r>
        <w:rPr>
          <w:rFonts w:ascii="Times New Roman" w:hAnsi="Times New Roman"/>
          <w:sz w:val="24"/>
        </w:rPr>
        <w:t>Perjuicios morales: PENDIENTE DE TASACIÓN. El monto en SMLMV depende de la jurisprudencia de unificación, no verificada en esta sesión; no se fija cifra sobre fuente no verificada.</w:t>
      </w:r>
    </w:p>
    <w:p>
      <w:pPr>
        <w:spacing w:line="276" w:lineRule="auto" w:after="120"/>
        <w:jc w:val="both"/>
      </w:pPr>
      <w:r>
        <w:rPr>
          <w:rFonts w:ascii="Times New Roman" w:hAnsi="Times New Roman"/>
          <w:sz w:val="24"/>
        </w:rPr>
        <w:t>Costas: a definir conforme al artículo 188 del CPACA (texto pendiente de cotejo).</w:t>
      </w:r>
    </w:p>
    <w:p>
      <w:pPr>
        <w:pStyle w:val="Heading1"/>
      </w:pPr>
      <w:r>
        <w:t>VII. RESUELVE</w:t>
      </w:r>
    </w:p>
    <w:p>
      <w:pPr>
        <w:spacing w:line="276" w:lineRule="auto" w:after="120"/>
        <w:jc w:val="both"/>
      </w:pPr>
      <w:r>
        <w:rPr>
          <w:rFonts w:ascii="Times New Roman" w:hAnsi="Times New Roman"/>
          <w:sz w:val="24"/>
        </w:rPr>
        <w:t>PRIMERO. Declarar al Municipio de Villanueva patrimonialmente responsable por falla del servicio por omisión, sujeto a la ratificación de los testimonios extrajuicio.</w:t>
      </w:r>
    </w:p>
    <w:p>
      <w:pPr>
        <w:spacing w:line="276" w:lineRule="auto" w:after="120"/>
        <w:jc w:val="both"/>
      </w:pPr>
      <w:r>
        <w:rPr>
          <w:rFonts w:ascii="Times New Roman" w:hAnsi="Times New Roman"/>
          <w:sz w:val="24"/>
        </w:rPr>
        <w:t>SEGUNDO. Condenar al pago de los perjuicios materiales acreditados, indexados con base en el IPC.</w:t>
      </w:r>
    </w:p>
    <w:p>
      <w:pPr>
        <w:spacing w:line="276" w:lineRule="auto" w:after="120"/>
        <w:jc w:val="both"/>
      </w:pPr>
      <w:r>
        <w:rPr>
          <w:rFonts w:ascii="Times New Roman" w:hAnsi="Times New Roman"/>
          <w:sz w:val="24"/>
        </w:rPr>
        <w:t>TERCERO. Los perjuicios morales se tasarán conforme a la jurisprudencia de unificación verificada (PENDIENTE).</w:t>
      </w:r>
    </w:p>
    <w:p>
      <w:pPr>
        <w:spacing w:line="276" w:lineRule="auto" w:after="120"/>
        <w:jc w:val="both"/>
      </w:pPr>
      <w:r>
        <w:rPr>
          <w:rFonts w:ascii="Times New Roman" w:hAnsi="Times New Roman"/>
          <w:sz w:val="24"/>
        </w:rPr>
        <w:t>CUARTO. Costas conforme al artículo 188 del CPACA.</w:t>
      </w:r>
    </w:p>
    <w:p>
      <w:pPr>
        <w:spacing w:line="276" w:lineRule="auto" w:after="120"/>
        <w:jc w:val="both"/>
      </w:pPr>
      <w:r>
        <w:rPr>
          <w:rFonts w:ascii="Times New Roman" w:hAnsi="Times New Roman"/>
          <w:sz w:val="24"/>
        </w:rPr>
        <w:t>QUINTO. Ejecutoriada esta providencia, archívese el expediente.</w:t>
      </w:r>
    </w:p>
    <w:p>
      <w:pPr>
        <w:pStyle w:val="Heading1"/>
      </w:pPr>
      <w:r>
        <w:t>VIII. FUENTES</w:t>
      </w:r>
    </w:p>
    <w:p>
      <w:pPr>
        <w:spacing w:line="276" w:lineRule="auto" w:after="120"/>
        <w:jc w:val="both"/>
      </w:pPr>
      <w:r>
        <w:rPr>
          <w:rFonts w:ascii="Times New Roman" w:hAnsi="Times New Roman"/>
          <w:sz w:val="24"/>
        </w:rPr>
        <w:t>- Constitución Política, art. 90 (VERIFICADA).</w:t>
      </w:r>
    </w:p>
    <w:p>
      <w:pPr>
        <w:spacing w:line="276" w:lineRule="auto" w:after="120"/>
        <w:jc w:val="both"/>
      </w:pPr>
      <w:r>
        <w:rPr>
          <w:rFonts w:ascii="Times New Roman" w:hAnsi="Times New Roman"/>
          <w:sz w:val="24"/>
        </w:rPr>
        <w:t>- CPACA, arts. 140, 164.2.i y 187 (VERIFICADAS).</w:t>
      </w:r>
    </w:p>
    <w:p>
      <w:pPr>
        <w:spacing w:line="276" w:lineRule="auto" w:after="120"/>
        <w:jc w:val="both"/>
      </w:pPr>
      <w:r>
        <w:rPr>
          <w:rFonts w:ascii="Times New Roman" w:hAnsi="Times New Roman"/>
          <w:sz w:val="24"/>
        </w:rPr>
        <w:t>- Consejo de Estado, Secc. Tercera, Subsec. C, 23/08/2024, rad. 05001-23-33-000-2013-01136-01 (Exp. 63696) (VERIFICADA).</w:t>
      </w:r>
    </w:p>
    <w:sectPr w:rsidR="00FC693F" w:rsidRPr="0006063C" w:rsidSect="00034616">
      <w:footerReference w:type="default" r:id="rId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