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EAF2FF"/>
          </w:tcPr>
          <w:p>
            <w:r>
              <w:rPr>
                <w:rFonts w:ascii="Aptos Display" w:hAnsi="Aptos Display"/>
                <w:b/>
                <w:color w:val="223C67"/>
                <w:sz w:val="22"/>
              </w:rPr>
              <w:t>SMART DATA · GUIA VISUAL BASE PARA DESENVOLVIMENTOS COM CURSOR</w:t>
            </w:r>
          </w:p>
        </w:tc>
      </w:tr>
    </w:tbl>
    <w:p>
      <w:pPr>
        <w:pStyle w:val="SDSmall"/>
      </w:pPr>
    </w:p>
    <w:p>
      <w:pPr>
        <w:pStyle w:val="SDTitle"/>
      </w:pPr>
      <w:r>
        <w:t>Base visual do sistema</w:t>
      </w:r>
    </w:p>
    <w:p>
      <w:pPr>
        <w:pStyle w:val="SDSubtitle"/>
      </w:pPr>
      <w:r>
        <w:t>Documento de referência para orientar o Cursor na criação e refatoração de telas Laravel/PHP, mantendo um padrão clean, moderno e consistente inspirado no Velzon (Material) e nas referências visuais anexadas.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D9E7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rPr>
                <w:b/>
                <w:color w:val="223C67"/>
              </w:rPr>
              <w:t>Objetivo</w:t>
            </w:r>
          </w:p>
        </w:tc>
        <w:tc>
          <w:tcPr>
            <w:tcW w:type="dxa" w:w="8050"/>
            <w:shd w:fill="F7FA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Servir como padrão visual oficial para novas telas, ajustes e refactors no projeto.</w:t>
            </w:r>
          </w:p>
        </w:tc>
      </w:tr>
      <w:tr>
        <w:tc>
          <w:tcPr>
            <w:tcW w:type="dxa" w:w="1814"/>
            <w:shd w:fill="D9E7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rPr>
                <w:b/>
                <w:color w:val="223C67"/>
              </w:rPr>
              <w:t>Como usar</w:t>
            </w:r>
          </w:p>
        </w:tc>
        <w:tc>
          <w:tcPr>
            <w:tcW w:type="dxa" w:w="8050"/>
            <w:shd w:fill="F7FA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Anexar este documento à pasta do projeto e instruir o Cursor a seguir estas diretrizes antes de propor layout, componentes ou CSS.</w:t>
            </w:r>
          </w:p>
        </w:tc>
      </w:tr>
    </w:tbl>
    <w:p>
      <w:pPr>
        <w:pStyle w:val="SDH1"/>
      </w:pPr>
      <w:r>
        <w:t>1. Direção visual do produto</w:t>
      </w:r>
    </w:p>
    <w:p>
      <w:pPr>
        <w:pStyle w:val="SDBody"/>
      </w:pPr>
      <w:r>
        <w:t>A referência principal é o template Velzon na variação Material, usando uma linguagem visual corporativa, clara e leve. O objetivo não é copiar telas literalmente, mas manter a mesma sensação de produto profissional: cards com boa respiração, contraste suave, cabeçalhos limpos, formulários organizados e dashboards com leitura rápida.</w:t>
      </w:r>
    </w:p>
    <w:p>
      <w:pPr>
        <w:pStyle w:val="SDBody"/>
      </w:pPr>
      <w:r>
        <w:t>As telas devem transmitir organização, maturidade e confiabilidade. Em termos práticos, isso significa reduzir excesso de cor, evitar bordas pesadas, manter espaçamentos previsíveis e usar poucos elementos de destaque ao mesmo tempo.</w:t>
      </w:r>
    </w:p>
    <w:p>
      <w:pPr>
        <w:pStyle w:val="SDH2"/>
      </w:pPr>
      <w:r>
        <w:t>Princípios obrigatórios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Princípio</w:t>
            </w:r>
          </w:p>
        </w:tc>
        <w:tc>
          <w:tcPr>
            <w:tcW w:type="dxa" w:w="3402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O que significa</w:t>
            </w:r>
          </w:p>
        </w:tc>
        <w:tc>
          <w:tcPr>
            <w:tcW w:type="dxa" w:w="3969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Aplicação prática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Clareza primeiro</w:t>
            </w:r>
          </w:p>
        </w:tc>
        <w:tc>
          <w:tcPr>
            <w:tcW w:type="dxa" w:w="340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A informação principal precisa aparecer em poucos segundos.</w:t>
            </w:r>
          </w:p>
        </w:tc>
        <w:tc>
          <w:tcPr>
            <w:tcW w:type="dxa" w:w="3969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Priorizar títulos claros, KPIs resumidos, ações primárias evidentes e filtros organizados.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Consistência entre telas</w:t>
            </w:r>
          </w:p>
        </w:tc>
        <w:tc>
          <w:tcPr>
            <w:tcW w:type="dxa" w:w="340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A mesma ação deve parecer a mesma ação em todo o sistema.</w:t>
            </w:r>
          </w:p>
        </w:tc>
        <w:tc>
          <w:tcPr>
            <w:tcW w:type="dxa" w:w="3969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Mesmo padrão para botões, campos, filtros, status, tabelas, modais e cards.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Hierarquia visual limpa</w:t>
            </w:r>
          </w:p>
        </w:tc>
        <w:tc>
          <w:tcPr>
            <w:tcW w:type="dxa" w:w="340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Nem tudo pode competir por atenção ao mesmo tempo.</w:t>
            </w:r>
          </w:p>
        </w:tc>
        <w:tc>
          <w:tcPr>
            <w:tcW w:type="dxa" w:w="3969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1 cor principal por tela, 1 CTA primário, títulos discretos e conteúdo organizado em blocos.</w:t>
            </w:r>
          </w:p>
        </w:tc>
      </w:tr>
    </w:tbl>
    <w:p>
      <w:pPr>
        <w:pStyle w:val="SDH1"/>
      </w:pPr>
      <w:r>
        <w:t>2. Design tokens</w:t>
      </w:r>
    </w:p>
    <w:p>
      <w:pPr>
        <w:pStyle w:val="SDBody"/>
      </w:pPr>
      <w:r>
        <w:t>Usar os tokens abaixo como base do projeto. O Cursor deve priorizar essas definições ao criar ou refatorar CSS/Blade.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Categoria</w:t>
            </w:r>
          </w:p>
        </w:tc>
        <w:tc>
          <w:tcPr>
            <w:tcW w:type="dxa" w:w="2948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Padrão recomendado</w:t>
            </w:r>
          </w:p>
        </w:tc>
        <w:tc>
          <w:tcPr>
            <w:tcW w:type="dxa" w:w="4422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Observações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Fonte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Inter ou similar sem serifa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Se o projeto já usa outra fonte base, manter se a leitura for boa; evitar fontes decorativas.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Tamanho base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14px web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Labels e texto secundário levemente menores; títulos com progressão clara.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Raio de borda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8px a 12px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Cards, modais, inputs e botões devem seguir o mesmo raio.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Sombra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Muito suave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Ex.: 0 1px 3px rgba(15,23,42,.08) ou equivalente; nada pesado.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Cor primária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Azul institucional discreto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Usar em CTAs, links e estados ativos; não saturar a interface.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Cinzas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Escala neutra clara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Fundos off-white, bordas suaves e texto com contraste confortável.</w:t>
            </w:r>
          </w:p>
        </w:tc>
      </w:tr>
      <w:tr>
        <w:tc>
          <w:tcPr>
            <w:tcW w:type="dxa" w:w="226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  <w:shd w:fill="F7FAFF"/>
          </w:tcPr>
          <w:p>
            <w:pPr>
              <w:pStyle w:val="SDBody"/>
            </w:pPr>
            <w:r>
              <w:t>Espaçamento</w:t>
            </w:r>
          </w:p>
        </w:tc>
        <w:tc>
          <w:tcPr>
            <w:tcW w:type="dxa" w:w="2948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4 / 8 / 12 / 16 / 24 / 32</w:t>
            </w:r>
          </w:p>
        </w:tc>
        <w:tc>
          <w:tcPr>
            <w:tcW w:type="dxa" w:w="442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Evitar valores aleatórios; usar múltiplos consistentes.</w:t>
            </w:r>
          </w:p>
        </w:tc>
      </w:tr>
    </w:tbl>
    <w:p>
      <w:pPr>
        <w:pStyle w:val="SDH2"/>
      </w:pPr>
      <w:r>
        <w:t>Paleta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fill="2563EB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/>
        </w:tc>
        <w:tc>
          <w:tcPr>
            <w:tcW w:type="dxa" w:w="1814"/>
            <w:shd w:fill="22C55E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/>
        </w:tc>
        <w:tc>
          <w:tcPr>
            <w:tcW w:type="dxa" w:w="1814"/>
            <w:shd w:fill="F59E0B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/>
        </w:tc>
        <w:tc>
          <w:tcPr>
            <w:tcW w:type="dxa" w:w="1814"/>
            <w:shd w:fill="EF444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/>
        </w:tc>
        <w:tc>
          <w:tcPr>
            <w:tcW w:type="dxa" w:w="1814"/>
            <w:shd w:fill="E5E7EB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/>
        </w:tc>
      </w:tr>
      <w:tr>
        <w:tc>
          <w:tcPr>
            <w:tcW w:type="dxa" w:w="181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Small"/>
              <w:jc w:val="center"/>
            </w:pPr>
            <w:r>
              <w:t>Primária</w:t>
              <w:br/>
              <w:t>#2563EB</w:t>
            </w:r>
          </w:p>
        </w:tc>
        <w:tc>
          <w:tcPr>
            <w:tcW w:type="dxa" w:w="181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Small"/>
              <w:jc w:val="center"/>
            </w:pPr>
            <w:r>
              <w:t>Sucesso</w:t>
              <w:br/>
              <w:t>#22C55E</w:t>
            </w:r>
          </w:p>
        </w:tc>
        <w:tc>
          <w:tcPr>
            <w:tcW w:type="dxa" w:w="181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Small"/>
              <w:jc w:val="center"/>
            </w:pPr>
            <w:r>
              <w:t>Atenção</w:t>
              <w:br/>
              <w:t>#F59E0B</w:t>
            </w:r>
          </w:p>
        </w:tc>
        <w:tc>
          <w:tcPr>
            <w:tcW w:type="dxa" w:w="181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Small"/>
              <w:jc w:val="center"/>
            </w:pPr>
            <w:r>
              <w:t>Erro</w:t>
              <w:br/>
              <w:t>#EF4444</w:t>
            </w:r>
          </w:p>
        </w:tc>
        <w:tc>
          <w:tcPr>
            <w:tcW w:type="dxa" w:w="1814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Small"/>
              <w:jc w:val="center"/>
            </w:pPr>
            <w:r>
              <w:t>Neutro</w:t>
              <w:br/>
              <w:t>#E5E7EB</w:t>
            </w:r>
          </w:p>
        </w:tc>
      </w:tr>
    </w:tbl>
    <w:p>
      <w:pPr>
        <w:pStyle w:val="SDH1"/>
      </w:pPr>
      <w:r>
        <w:t>3. Componentes e padrões de tela</w:t>
      </w:r>
    </w:p>
    <w:p>
      <w:pPr>
        <w:pStyle w:val="SDBody"/>
      </w:pPr>
      <w:r>
        <w:t>O Cursor deve sempre partir de componentes reutilizáveis e evitar criar HTML visual totalmente novo para cada tela.</w:t>
      </w:r>
    </w:p>
    <w:p>
      <w:pPr>
        <w:pStyle w:val="SDH2"/>
      </w:pPr>
      <w:r>
        <w:t>3.1 Listagens e tabelas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Usar card/container externo com cabeçalho leve, área de busca à esquerda e ordenação/filtros à direita.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Cabeçalho da tabela com fundo neutro claro, linhas divisórias suaves e densidade confortável.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Colunas de ação devem usar ícones discretos, bem espaçados, sem poluir a linha.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Paginação compacta no rodapé, alinhada à direita.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Checkboxes, estados e badges devem ser consistentes entre todos os módulos.</w:t>
      </w:r>
    </w:p>
    <w:p>
      <w:pPr>
        <w:pStyle w:val="SDH2"/>
      </w:pPr>
      <w:r>
        <w:t>3.2 Modais e formulários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Modal amplo, com cabeçalho simples, botão de fechar discreto e conteúdo bem segmentado.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Campos devem ter altura consistente, labels acima do input e espaçamento regular entre grupos.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Ação principal no canto inferior direito; ação secundária ao lado, com menor destaque.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Se houver upload/avatar/logo, centralizar a área visual e manter a mesma estética de cards.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Evitar 3 ou mais estilos de input diferentes na mesma tela.</w:t>
      </w:r>
    </w:p>
    <w:p>
      <w:pPr>
        <w:pStyle w:val="SDH2"/>
      </w:pPr>
      <w:r>
        <w:t>3.3 Dashboard e KPIs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KPIs em cards horizontais com ícone leve, número principal em destaque e legenda pequena.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Gráficos sempre dentro de cards; título no topo e filtro contextual discreto.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Não exagerar em cores fortes. Gráficos devem usar paleta controlada e foco em legibilidade.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Misturar poucos tipos de gráficos por tela; priorizar leitura de negócio acima de decoração.</w:t>
      </w:r>
    </w:p>
    <w:p>
      <w:pPr>
        <w:pStyle w:val="SDH2"/>
      </w:pPr>
      <w:r>
        <w:t>3.4 Kanban e cards operacionais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Colunas do kanban com títulos claros, quantidades/resumo no topo e fundo suave por estágio.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Cards compactos, com título, subtítulo e metadados essenciais. A informação precisa caber sem parecer espremida.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Badges, prioridade e prazo devem ser visíveis, mas não devem roubar a atenção do nome da oportunidade/tarefa.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Sempre que possível, incluir ações rápidas sem quebrar a legibilidade.</w:t>
      </w:r>
    </w:p>
    <w:p>
      <w:pPr>
        <w:pStyle w:val="SDH1"/>
      </w:pPr>
      <w:r>
        <w:t>4. Do / Don't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762"/>
            <w:shd w:fill="EAF2FF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Fazer</w:t>
            </w:r>
          </w:p>
        </w:tc>
        <w:tc>
          <w:tcPr>
            <w:tcW w:type="dxa" w:w="4762"/>
            <w:shd w:fill="FDECEC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</w:tcPr>
          <w:p>
            <w:pPr>
              <w:pStyle w:val="SDBody"/>
            </w:pPr>
            <w:r>
              <w:rPr>
                <w:b/>
              </w:rPr>
              <w:t>Evitar</w:t>
            </w:r>
          </w:p>
        </w:tc>
      </w:tr>
      <w:tr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Usar uma hierarquia visual clara com poucos destaques por tela.</w:t>
            </w:r>
          </w:p>
        </w:tc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Competir com muitas cores, muitos badges e vários botões primários juntos.</w:t>
            </w:r>
          </w:p>
        </w:tc>
      </w:tr>
      <w:tr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Agrupar filtros, busca e ações em uma área organizada no topo.</w:t>
            </w:r>
          </w:p>
        </w:tc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Espalhar filtros pela página ou misturar campo, botão e link sem padrão.</w:t>
            </w:r>
          </w:p>
        </w:tc>
      </w:tr>
      <w:tr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Manter cards, modais e inputs com o mesmo raio, borda e sombra.</w:t>
            </w:r>
          </w:p>
        </w:tc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Ter componentes parecidos com estilos diferentes conforme a tela.</w:t>
            </w:r>
          </w:p>
        </w:tc>
      </w:tr>
      <w:tr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Preferir ícones discretos e alinhamento consistente nas ações.</w:t>
            </w:r>
          </w:p>
        </w:tc>
        <w:tc>
          <w:tcPr>
            <w:tcW w:type="dxa" w:w="4762"/>
            <w:tcBorders>
              <w:left w:val="single" w:sz="6" w:color="D8E0EE"/>
              <w:top w:val="single" w:sz="6" w:color="D8E0EE"/>
              <w:right w:val="single" w:sz="6" w:color="D8E0EE"/>
              <w:bottom w:val="single" w:sz="6" w:color="D8E0EE"/>
            </w:tcBorders>
            <w:vAlign w:val="center"/>
          </w:tcPr>
          <w:p>
            <w:pPr>
              <w:pStyle w:val="SDBody"/>
            </w:pPr>
            <w:r>
              <w:t>Usar ícones grandes, coloridos demais ou sem espaçamento adequado.</w:t>
            </w:r>
          </w:p>
        </w:tc>
      </w:tr>
    </w:tbl>
    <w:p>
      <w:pPr>
        <w:pStyle w:val="SDH1"/>
      </w:pPr>
      <w:r>
        <w:t>5. Regras obrigatórias para o Cursor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Antes de propor layout novo, inspecionar uma tela semelhante já existente no projeto e manter o mesmo esqueleto de componentes.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Se a demanda for ajuste visual, priorizar reaproveitamento de componentes Blade/CSS existentes; não criar estrutura paralela sem necessidade.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Todo novo componente visual relevante deve seguir o padrão deste guia: bordas suaves, espaçamento consistente, contraste equilibrado e CTA primário claro.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Jamais usar CSS inline como solução padrão, exceto em casos pontuais extremamente justificados.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Evitar bibliotecas visuais novas sem necessidade. Primeiro tentar resolver com o stack já usado no projeto.</w:t>
      </w:r>
    </w:p>
    <w:p>
      <w:pPr>
        <w:pStyle w:val="SDBody"/>
        <w:ind w:left="227"/>
      </w:pPr>
      <w:r>
        <w:rPr>
          <w:b/>
          <w:color w:val="3A5B9C"/>
        </w:rPr>
        <w:t xml:space="preserve">• </w:t>
      </w:r>
      <w:r>
        <w:t>Novas telas devem parecer parte do mesmo produto e não uma página isolada criada com outro template.</w:t>
      </w:r>
    </w:p>
    <w:p>
      <w:pPr>
        <w:pStyle w:val="SDH2"/>
      </w:pPr>
      <w:r>
        <w:t>Template de instrução para prompts</w:t>
      </w:r>
    </w:p>
    <w:p>
      <w:pPr>
        <w:pStyle w:val="SDCode"/>
        <w:ind w:left="340" w:right="340"/>
      </w:pPr>
      <w:r>
        <w:t>Use este documento como base visual oficial do projeto.</w:t>
      </w:r>
    </w:p>
    <w:p>
      <w:pPr>
        <w:pStyle w:val="SDCode"/>
        <w:ind w:left="340" w:right="340"/>
      </w:pPr>
      <w:r>
        <w:t>Implemente a tela mantendo a linguagem do Velzon Material: layout clean, cards com respiro, tabela com cabeçalho leve, filtros organizados, modal com estrutura limpa e componente visual consistente com o restante do sistema.</w:t>
      </w:r>
    </w:p>
    <w:p>
      <w:pPr>
        <w:pStyle w:val="SDCode"/>
        <w:ind w:left="340" w:right="340"/>
      </w:pPr>
      <w:r>
        <w:t>Não invente um novo padrão visual. Reaproveite componentes existentes e mantenha os mesmos tokens de espaçamento, borda, sombra e hierarquia.</w:t>
      </w:r>
    </w:p>
    <w:p>
      <w:r>
        <w:br w:type="page"/>
      </w:r>
    </w:p>
    <w:p>
      <w:pPr>
        <w:pStyle w:val="SDH1"/>
      </w:pPr>
      <w:r>
        <w:t>6. Referências visuais anexadas</w:t>
      </w:r>
    </w:p>
    <w:p>
      <w:pPr>
        <w:pStyle w:val="SDBody"/>
      </w:pPr>
      <w:r>
        <w:t>As imagens abaixo representam o tipo de linguagem visual desejada para tabelas, modais, dashboards e kanban. O Cursor deve usá-las como referência de atmosfera visual e organização de informação.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a6d5e3-c318-46a0-bde0-08ff2d73585c_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mall"/>
        <w:jc w:val="center"/>
      </w:pPr>
      <w:r>
        <w:t>Modal amplo, limpo, com formulário bem distribuído.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2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a363f-7769-4f38-bda3-123d3dbf7e2c_thum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mall"/>
        <w:jc w:val="center"/>
      </w:pPr>
      <w:r>
        <w:t>Tabela/listagem com busca, sort, paginação e ações compactas.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00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83d6ae-cf85-4dc0-a4f0-3af7098805ad_thum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mall"/>
        <w:jc w:val="center"/>
      </w:pPr>
      <w:r>
        <w:t>Kanban com colunas claras, cards compactos e destaque sutil.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09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bf13ad-27c6-4c08-af75-65a1189eebf5_thum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mall"/>
        <w:jc w:val="center"/>
      </w:pPr>
      <w:r>
        <w:t>Dashboard com KPIs, gráficos em cards e hierarquia corporativa.</w:t>
      </w:r>
    </w:p>
    <w:p>
      <w:pPr>
        <w:pStyle w:val="SDH1"/>
      </w:pPr>
      <w:r>
        <w:t>Checklist rápido antes de aprovar uma tela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A tela parece parte do mesmo sistema.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Há apenas um CTA principal evidente.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Busca, filtros e ações estão organizados.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Tabela/modal/card usa o mesmo padrão de raio, borda e sombra.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Os elementos têm respiro e não parecem espremidos.</w:t>
      </w:r>
    </w:p>
    <w:p>
      <w:pPr>
        <w:pStyle w:val="SDBody"/>
        <w:ind w:left="283"/>
      </w:pPr>
      <w:r>
        <w:rPr>
          <w:b/>
        </w:rPr>
        <w:t xml:space="preserve">☐ </w:t>
      </w:r>
      <w:r>
        <w:t>O resultado lembra a linguagem clean do Velzon e das referências anexadas.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DTitle">
    <w:name w:val="SDTitle"/>
    <w:basedOn w:val="Normal"/>
    <w:rPr>
      <w:rFonts w:ascii="Aptos Display" w:hAnsi="Aptos Display"/>
      <w:b/>
      <w:color w:val="223C67"/>
      <w:sz w:val="48"/>
    </w:rPr>
  </w:style>
  <w:style w:type="paragraph" w:customStyle="1" w:styleId="SDSubtitle">
    <w:name w:val="SDSubtitle"/>
    <w:basedOn w:val="Normal"/>
    <w:rPr>
      <w:color w:val="56657E"/>
      <w:sz w:val="22"/>
    </w:rPr>
  </w:style>
  <w:style w:type="paragraph" w:customStyle="1" w:styleId="SDH1">
    <w:name w:val="SDH1"/>
    <w:basedOn w:val="Normal"/>
    <w:pPr>
      <w:spacing w:before="200" w:after="120"/>
    </w:pPr>
    <w:rPr>
      <w:rFonts w:ascii="Aptos Display" w:hAnsi="Aptos Display"/>
      <w:b/>
      <w:color w:val="223C67"/>
      <w:sz w:val="30"/>
    </w:rPr>
  </w:style>
  <w:style w:type="paragraph" w:customStyle="1" w:styleId="SDH2">
    <w:name w:val="SDH2"/>
    <w:basedOn w:val="Normal"/>
    <w:pPr>
      <w:spacing w:before="160" w:after="80"/>
    </w:pPr>
    <w:rPr>
      <w:b/>
      <w:color w:val="3A5B9C"/>
      <w:sz w:val="23"/>
    </w:rPr>
  </w:style>
  <w:style w:type="paragraph" w:customStyle="1" w:styleId="SDBody">
    <w:name w:val="SDBody"/>
    <w:basedOn w:val="Normal"/>
    <w:pPr>
      <w:spacing w:after="100" w:line="276" w:lineRule="auto"/>
    </w:pPr>
    <w:rPr>
      <w:sz w:val="21"/>
    </w:rPr>
  </w:style>
  <w:style w:type="paragraph" w:customStyle="1" w:styleId="SDSmall">
    <w:name w:val="SDSmall"/>
    <w:basedOn w:val="Normal"/>
    <w:rPr>
      <w:color w:val="646E78"/>
      <w:sz w:val="18"/>
    </w:rPr>
  </w:style>
  <w:style w:type="paragraph" w:customStyle="1" w:styleId="SDCode">
    <w:name w:val="SDCode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