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D2Doc電子金融取引利用規約</w:t>
      </w:r>
    </w:p>
    <w:p>
      <w:pPr>
        <w:pStyle w:val="Heading2"/>
      </w:pPr>
      <w:r>
        <w:t>第1条（目的）</w:t>
      </w:r>
    </w:p>
    <w:p>
      <w:r>
        <w:t>本規約は、株式会社ルートエル（以下「当社」といいます）が提供するD2Docサービス（以下「サービス」といいます）に関連して、利用者が電子的装置を通じて決済及びこれに付随する電子金融取引を利用するにあたり、当社と利用者間の権利、義務及び責任事項を定めることを目的とします。</w:t>
      </w:r>
    </w:p>
    <w:p>
      <w:pPr>
        <w:pStyle w:val="Heading2"/>
      </w:pPr>
      <w:r>
        <w:t>第2条（用語の定義）</w:t>
      </w:r>
    </w:p>
    <w:p>
      <w:pPr>
        <w:pStyle w:val="ListNumber"/>
      </w:pPr>
      <w:r>
        <w:t>本規約で使用する用語の意味は次のとおりです。</w:t>
      </w:r>
    </w:p>
    <w:p>
      <w:pPr>
        <w:pStyle w:val="ListNumber2"/>
      </w:pPr>
      <w:r>
        <w:t>「電子金融取引」とは、当社と利用者間で電子的装置を通じて行われる決済、料金納付、返金及びこれに付随する取引をいいます。</w:t>
      </w:r>
    </w:p>
    <w:p>
      <w:pPr>
        <w:pStyle w:val="ListNumber2"/>
      </w:pPr>
      <w:r>
        <w:t>「利用者」とは、当社のサービスに加入し、当社が提供する電子金融取引を利用する会員をいいます。</w:t>
      </w:r>
    </w:p>
    <w:p>
      <w:pPr>
        <w:pStyle w:val="ListNumber2"/>
      </w:pPr>
      <w:r>
        <w:t>「アクセス媒体」とは、電子金融取引法が定める取引指示及び利用者・取引内容の真正性と正確性を確保するために使用される手段又は情報をいいます。</w:t>
      </w:r>
    </w:p>
    <w:p>
      <w:pPr>
        <w:pStyle w:val="ListNumber2"/>
      </w:pPr>
      <w:r>
        <w:t>「定期決済」とは、利用者が事前に同意した決済条件及び周期に従いサービス利用料金が自動的に決済される方式をいいます。</w:t>
      </w:r>
    </w:p>
    <w:p>
      <w:pPr>
        <w:pStyle w:val="ListNumber2"/>
      </w:pPr>
      <w:r>
        <w:t>「決済手段」とは、クレジットカード、デビットカード、口座振替、簡便決済等、当社が提供する電子的決済手段をいいます。</w:t>
      </w:r>
    </w:p>
    <w:p>
      <w:pPr>
        <w:pStyle w:val="ListNumber2"/>
      </w:pPr>
      <w:r>
        <w:t>「電子決済代行業者（PG社）」とは、当社と契約を締結するか当社の決済業務のために利用される電子決済代行業者であって、利用者の決済情報を利用して決済承認、決済処理、精算及びこれに付随する業務を遂行する事業者をいいます。</w:t>
      </w:r>
    </w:p>
    <w:p>
      <w:pPr>
        <w:pStyle w:val="ListNumber2"/>
      </w:pPr>
      <w:r>
        <w:t>「決済ゲートウェイ」とは、当社の決済要請を一つ以上のPG社に伝達するか、決済手段及び取引条件に応じて適切なPG社との決済処理を中継する決済中継サービスをいいます。</w:t>
      </w:r>
    </w:p>
    <w:p>
      <w:pPr>
        <w:pStyle w:val="ListNumber"/>
      </w:pPr>
      <w:r>
        <w:t>本規約で定めていない用語は、「電子金融取引法」及び関係法令が定めるところによります。</w:t>
      </w:r>
    </w:p>
    <w:p>
      <w:pPr>
        <w:pStyle w:val="Heading2"/>
      </w:pPr>
      <w:r>
        <w:t>第3条（電子金融取引の成立）</w:t>
      </w:r>
    </w:p>
    <w:p>
      <w:pPr>
        <w:pStyle w:val="ListNumber"/>
      </w:pPr>
      <w:r>
        <w:t>利用者が当社の定める手続に従い決済条件及び決済手段を選択し、決済に必要な事項を入力した後、決済が正常に承認された場合、当該決済取引が成立します。</w:t>
      </w:r>
    </w:p>
    <w:p>
      <w:pPr>
        <w:pStyle w:val="ListNumber"/>
      </w:pPr>
      <w:r>
        <w:t>定期決済の場合、利用者が定期決済に同意し、最初の決済が正常に承認された時点で定期決済利用契約が成立します。</w:t>
      </w:r>
    </w:p>
    <w:p>
      <w:pPr>
        <w:pStyle w:val="ListNumber"/>
      </w:pPr>
      <w:r>
        <w:t>当社は決済承認結果をサービス画面、電子メール又はその他の電子的方法により利用者に案内することができます。</w:t>
      </w:r>
    </w:p>
    <w:p>
      <w:pPr>
        <w:pStyle w:val="ListNumber"/>
      </w:pPr>
      <w:r>
        <w:t>決済承認後であっても、決済手段の有効性、不正使用の有無、取引制限等の事由により決済が取消又は変更されることがあります。</w:t>
      </w:r>
    </w:p>
    <w:p>
      <w:pPr>
        <w:pStyle w:val="Heading2"/>
      </w:pPr>
      <w:r>
        <w:t>第4条（電子金融取引の利用時間）</w:t>
      </w:r>
    </w:p>
    <w:p>
      <w:pPr>
        <w:pStyle w:val="ListNumber"/>
      </w:pPr>
      <w:r>
        <w:t>当社はサービス利用時間を原則として年中無休24時間提供するよう努めます。</w:t>
      </w:r>
    </w:p>
    <w:p>
      <w:pPr>
        <w:pStyle w:val="ListNumber"/>
      </w:pPr>
      <w:r>
        <w:t>ただし、次の各号の事由により電子金融取引が制限又は中断されることがあります。</w:t>
      </w:r>
    </w:p>
    <w:p>
      <w:pPr>
        <w:pStyle w:val="ListNumber2"/>
      </w:pPr>
      <w:r>
        <w:t>金融会社、カード会社、PG社又は決済ゲートウェイのシステム障害</w:t>
      </w:r>
    </w:p>
    <w:p>
      <w:pPr>
        <w:pStyle w:val="ListNumber2"/>
      </w:pPr>
      <w:r>
        <w:t>定期点検又はシステム保守</w:t>
      </w:r>
    </w:p>
    <w:p>
      <w:pPr>
        <w:pStyle w:val="ListNumber2"/>
      </w:pPr>
      <w:r>
        <w:t>通信網障害</w:t>
      </w:r>
    </w:p>
    <w:p>
      <w:pPr>
        <w:pStyle w:val="ListNumber2"/>
      </w:pPr>
      <w:r>
        <w:t>天災地変又はその他やむを得ない事由</w:t>
      </w:r>
    </w:p>
    <w:p>
      <w:pPr>
        <w:pStyle w:val="ListNumber2"/>
      </w:pPr>
      <w:r>
        <w:t>その他当社が合理的に統制することが困難な事由</w:t>
      </w:r>
    </w:p>
    <w:p>
      <w:pPr>
        <w:pStyle w:val="ListNumber"/>
      </w:pPr>
      <w:r>
        <w:t>当社はサービスの中断が予想される場合、可能な範囲で事前に利用者に案内します。</w:t>
      </w:r>
    </w:p>
    <w:p>
      <w:pPr>
        <w:pStyle w:val="Heading2"/>
      </w:pPr>
      <w:r>
        <w:t>第5条（決済手段）</w:t>
      </w:r>
    </w:p>
    <w:p>
      <w:pPr>
        <w:pStyle w:val="ListNumber"/>
      </w:pPr>
      <w:r>
        <w:t>当社はサービス利用料金の決済のためクレジットカード決済を提供します。</w:t>
      </w:r>
    </w:p>
    <w:p>
      <w:pPr>
        <w:pStyle w:val="ListNumber"/>
      </w:pPr>
      <w:r>
        <w:t>クレジットカード決済は当社が契約した決済ゲートウェイ及び電子決済代行業者（PG社）を通じて処理されることがあります。</w:t>
      </w:r>
    </w:p>
    <w:p>
      <w:pPr>
        <w:pStyle w:val="ListNumber"/>
      </w:pPr>
      <w:r>
        <w:t>決済手段及び決済サービスの具体的な利用条件は、当該決済事業者の方針及び関連法令によります。</w:t>
      </w:r>
    </w:p>
    <w:p>
      <w:pPr>
        <w:pStyle w:val="Heading2"/>
      </w:pPr>
      <w:r>
        <w:t>第6条（決済代行及び決済ゲートウェイ）</w:t>
      </w:r>
    </w:p>
    <w:p>
      <w:pPr>
        <w:pStyle w:val="ListNumber"/>
      </w:pPr>
      <w:r>
        <w:t>当社は利用者の決済を直接処理せず、PG社又は決済ゲートウェイを利用して決済業務を処理することがあります。</w:t>
      </w:r>
    </w:p>
    <w:p>
      <w:pPr>
        <w:pStyle w:val="ListNumber"/>
      </w:pPr>
      <w:r>
        <w:t>当社は一つの決済ゲートウェイを通じて複数のPG社と連携し決済サービスを提供することがあります。</w:t>
      </w:r>
    </w:p>
    <w:p>
      <w:pPr>
        <w:pStyle w:val="ListNumber"/>
      </w:pPr>
      <w:r>
        <w:t>決済ゲートウェイ及びPG社の構成は、決済手段、サービス運営方針、障害対応及び決済処理環境等に応じて変更されることがあります。</w:t>
      </w:r>
    </w:p>
    <w:p>
      <w:pPr>
        <w:pStyle w:val="ListNumber"/>
      </w:pPr>
      <w:r>
        <w:t>決済過程で利用者の決済情報がPG社、決済ゲートウェイ又は金融会社等に伝達されることがあり、当社は関連法令及び個人情報処理方針に従い当該情報を処理します。</w:t>
      </w:r>
    </w:p>
    <w:p>
      <w:pPr>
        <w:pStyle w:val="ListNumber"/>
      </w:pPr>
      <w:r>
        <w:t>決済過程でカード番号、カード暗証番号等の機微な決済情報を当社が直接保存しない場合、当該決済情報はPG社又は金融会社の決済システムを通じて処理されます。</w:t>
      </w:r>
    </w:p>
    <w:p>
      <w:pPr>
        <w:pStyle w:val="Heading2"/>
      </w:pPr>
      <w:r>
        <w:t>第7条（定期決済）</w:t>
      </w:r>
    </w:p>
    <w:p>
      <w:pPr>
        <w:pStyle w:val="ListNumber"/>
      </w:pPr>
      <w:r>
        <w:t>利用者が定期決済に同意した場合、当社は利用者が同意した決済周期に従いサービス利用料金を自動的に決済することがあります。</w:t>
      </w:r>
    </w:p>
    <w:p>
      <w:pPr>
        <w:pStyle w:val="ListNumber"/>
      </w:pPr>
      <w:r>
        <w:t>定期決済の利用料金、決済周期、決済日及び決済手段は、利用者が定期決済申込過程で確認できるよう案内します。</w:t>
      </w:r>
    </w:p>
    <w:p>
      <w:pPr>
        <w:pStyle w:val="ListNumber"/>
      </w:pPr>
      <w:r>
        <w:t>利用者は当社が提供する方法により定期決済を解約することができます。</w:t>
      </w:r>
    </w:p>
    <w:p>
      <w:pPr>
        <w:pStyle w:val="ListNumber"/>
      </w:pPr>
      <w:r>
        <w:t>定期決済の解約申請後も、既に決済が完了した利用期間については別途の返金方針が適用されることがあります。</w:t>
      </w:r>
    </w:p>
    <w:p>
      <w:pPr>
        <w:pStyle w:val="ListNumber"/>
      </w:pPr>
      <w:r>
        <w:t>定期決済が次の各号の事由により正常に処理されない場合、当社は利用者に決済失敗の事実を案内し、決済の再試行を求めることができます。</w:t>
      </w:r>
    </w:p>
    <w:p>
      <w:pPr>
        <w:pStyle w:val="ListNumber2"/>
      </w:pPr>
      <w:r>
        <w:t>決済手段の有効期限満了</w:t>
      </w:r>
    </w:p>
    <w:p>
      <w:pPr>
        <w:pStyle w:val="ListNumber2"/>
      </w:pPr>
      <w:r>
        <w:t>利用限度超過</w:t>
      </w:r>
    </w:p>
    <w:p>
      <w:pPr>
        <w:pStyle w:val="ListNumber2"/>
      </w:pPr>
      <w:r>
        <w:t>決済手段の利用停止</w:t>
      </w:r>
    </w:p>
    <w:p>
      <w:pPr>
        <w:pStyle w:val="ListNumber2"/>
      </w:pPr>
      <w:r>
        <w:t>残高不足</w:t>
      </w:r>
    </w:p>
    <w:p>
      <w:pPr>
        <w:pStyle w:val="ListNumber2"/>
      </w:pPr>
      <w:r>
        <w:t>PG社又は金融会社の承認拒絶</w:t>
      </w:r>
    </w:p>
    <w:p>
      <w:pPr>
        <w:pStyle w:val="ListNumber2"/>
      </w:pPr>
      <w:r>
        <w:t>その他決済処理に必要な条件を満たさない場合</w:t>
      </w:r>
    </w:p>
    <w:p>
      <w:pPr>
        <w:pStyle w:val="ListNumber"/>
      </w:pPr>
      <w:r>
        <w:t>当社は決済失敗が継続する場合、サービス利用を制限するか利用契約を終了することができ、具体的な基準はサービス利用規約及び決済方針によります。</w:t>
      </w:r>
    </w:p>
    <w:p>
      <w:pPr>
        <w:pStyle w:val="Heading2"/>
      </w:pPr>
      <w:r>
        <w:t>第8条（決済情報の管理）</w:t>
      </w:r>
    </w:p>
    <w:p>
      <w:pPr>
        <w:pStyle w:val="ListNumber"/>
      </w:pPr>
      <w:r>
        <w:t>利用者は自身の決済手段及びアクセス媒体を安全に管理しなければなりません。</w:t>
      </w:r>
    </w:p>
    <w:p>
      <w:pPr>
        <w:pStyle w:val="ListNumber"/>
      </w:pPr>
      <w:r>
        <w:t>利用者は自身の決済手段を第三者に譲渡、貸与又は使用させてはなりません。</w:t>
      </w:r>
    </w:p>
    <w:p>
      <w:pPr>
        <w:pStyle w:val="ListNumber"/>
      </w:pPr>
      <w:r>
        <w:t>利用者は決済手段の盗難、紛失、流出又は不正使用の事実を知った場合、遅滞なく当該金融会社又は当社に知らせなければなりません。</w:t>
      </w:r>
    </w:p>
    <w:p>
      <w:pPr>
        <w:pStyle w:val="ListNumber"/>
      </w:pPr>
      <w:r>
        <w:t>当社は利用者の決済情報を関連法令及び個人情報処理方針に従い安全に処理します。</w:t>
      </w:r>
    </w:p>
    <w:p>
      <w:pPr>
        <w:pStyle w:val="Heading2"/>
      </w:pPr>
      <w:r>
        <w:t>第9条（アクセス媒体の管理）</w:t>
      </w:r>
    </w:p>
    <w:p>
      <w:pPr>
        <w:pStyle w:val="ListNumber"/>
      </w:pPr>
      <w:r>
        <w:t>利用者は自身のアクセス媒体を安全に管理しなければなりません。</w:t>
      </w:r>
    </w:p>
    <w:p>
      <w:pPr>
        <w:pStyle w:val="ListNumber"/>
      </w:pPr>
      <w:r>
        <w:t>利用者はアクセス媒体を第三者に貸与、譲渡又は使用を委任してはなりません。</w:t>
      </w:r>
    </w:p>
    <w:p>
      <w:pPr>
        <w:pStyle w:val="ListNumber"/>
      </w:pPr>
      <w:r>
        <w:t>利用者はアクセス媒体の紛失、盗難又は不正使用の事実を知った場合、遅滞なく当社に通知しなければなりません。</w:t>
      </w:r>
    </w:p>
    <w:p>
      <w:pPr>
        <w:pStyle w:val="ListNumber"/>
      </w:pPr>
      <w:r>
        <w:t>アクセス媒体の盗難、紛失又は不正使用等による電子金融取引事故が発生した場合、当社は関連法令に従い責任を負います。</w:t>
      </w:r>
    </w:p>
    <w:p>
      <w:pPr>
        <w:pStyle w:val="ListNumber"/>
      </w:pPr>
      <w:r>
        <w:t>ただし、利用者の故意又は重大な過失により事故が発生した場合には、関連法令が定める範囲で利用者が責任を負うことがあります。</w:t>
      </w:r>
    </w:p>
    <w:p>
      <w:pPr>
        <w:pStyle w:val="Heading2"/>
      </w:pPr>
      <w:r>
        <w:t>第10条（取引内容の確認）</w:t>
      </w:r>
    </w:p>
    <w:p>
      <w:pPr>
        <w:pStyle w:val="ListNumber"/>
      </w:pPr>
      <w:r>
        <w:t>利用者はサービス画面又は当社が提供する方法を通じて自身の決済及び電子金融取引内訳を確認することができます。</w:t>
      </w:r>
    </w:p>
    <w:p>
      <w:pPr>
        <w:pStyle w:val="ListNumber"/>
      </w:pPr>
      <w:r>
        <w:t>取引内訳には次のような情報が含まれることがあります。</w:t>
      </w:r>
    </w:p>
    <w:p>
      <w:pPr>
        <w:pStyle w:val="ListNumber2"/>
      </w:pPr>
      <w:r>
        <w:t>取引日時</w:t>
      </w:r>
    </w:p>
    <w:p>
      <w:pPr>
        <w:pStyle w:val="ListNumber2"/>
      </w:pPr>
      <w:r>
        <w:t>決済金額</w:t>
      </w:r>
    </w:p>
    <w:p>
      <w:pPr>
        <w:pStyle w:val="ListNumber2"/>
      </w:pPr>
      <w:r>
        <w:t>決済手段</w:t>
      </w:r>
    </w:p>
    <w:p>
      <w:pPr>
        <w:pStyle w:val="ListNumber2"/>
      </w:pPr>
      <w:r>
        <w:t>取引番号又は承認番号</w:t>
      </w:r>
    </w:p>
    <w:p>
      <w:pPr>
        <w:pStyle w:val="ListNumber2"/>
      </w:pPr>
      <w:r>
        <w:t>決済状態</w:t>
      </w:r>
    </w:p>
    <w:p>
      <w:pPr>
        <w:pStyle w:val="ListNumber2"/>
      </w:pPr>
      <w:r>
        <w:t>返金又は取消の有無</w:t>
      </w:r>
    </w:p>
    <w:p>
      <w:pPr>
        <w:pStyle w:val="ListNumber"/>
      </w:pPr>
      <w:r>
        <w:t>当社は関連法令が定める期間、電子金融取引関連記録を保存することができます。</w:t>
      </w:r>
    </w:p>
    <w:p>
      <w:pPr>
        <w:pStyle w:val="Heading2"/>
      </w:pPr>
      <w:r>
        <w:t>第11条（取引内容の誤謬及び訂正）</w:t>
      </w:r>
    </w:p>
    <w:p>
      <w:pPr>
        <w:pStyle w:val="ListNumber"/>
      </w:pPr>
      <w:r>
        <w:t>利用者は電子金融取引に誤りがあることを発見した場合、当社に誤りの訂正を要請することができます。</w:t>
      </w:r>
    </w:p>
    <w:p>
      <w:pPr>
        <w:pStyle w:val="ListNumber"/>
      </w:pPr>
      <w:r>
        <w:t>当社は利用者の誤り訂正要請を受けた場合、関連法令が定める手続に従い必要な措置を取ります。</w:t>
      </w:r>
    </w:p>
    <w:p>
      <w:pPr>
        <w:pStyle w:val="ListNumber"/>
      </w:pPr>
      <w:r>
        <w:t>当社が電子金融取引に誤りがあることを自ら認知した場合には、関連法令に従いこれを調査し必要な措置を取ります。</w:t>
      </w:r>
    </w:p>
    <w:p>
      <w:pPr>
        <w:pStyle w:val="ListNumber"/>
      </w:pPr>
      <w:r>
        <w:t>当社は誤りの原因と処理結果を関連法令が定める方法及び期間に従い利用者に知らせることができます。</w:t>
      </w:r>
    </w:p>
    <w:p>
      <w:pPr>
        <w:pStyle w:val="Heading2"/>
      </w:pPr>
      <w:r>
        <w:t>第12条（決済の取消及び返金）</w:t>
      </w:r>
    </w:p>
    <w:p>
      <w:pPr>
        <w:pStyle w:val="ListNumber"/>
      </w:pPr>
      <w:r>
        <w:t>決済の取消及び返金は、サービス利用規約、返金方針及び関連法令によります。</w:t>
      </w:r>
    </w:p>
    <w:p>
      <w:pPr>
        <w:pStyle w:val="ListNumber"/>
      </w:pPr>
      <w:r>
        <w:t>利用者が決済の取消又は返金を要請する場合、当社は決済手段及び取引状態等を確認して処理します。</w:t>
      </w:r>
    </w:p>
    <w:p>
      <w:pPr>
        <w:pStyle w:val="ListNumber"/>
      </w:pPr>
      <w:r>
        <w:t>既に提供されたサービスの利用期間、利用量、使用されたクレジット又はその他サービス提供状況に応じて返金金額が異なることがあります。</w:t>
      </w:r>
    </w:p>
    <w:p>
      <w:pPr>
        <w:pStyle w:val="ListNumber"/>
      </w:pPr>
      <w:r>
        <w:t>定期決済の解約は今後の決済を中断することを意味し、既に決済された利用期間の取消又は返金の可否は別途の返金方針によります。</w:t>
      </w:r>
    </w:p>
    <w:p>
      <w:pPr>
        <w:pStyle w:val="ListNumber"/>
      </w:pPr>
      <w:r>
        <w:t>返金は原則として決済に使用された同一の決済手段を通じて処理し、決済手段の特性上同一の方法による返金が困難な場合には、当社が定める適切な方法により処理することができます。</w:t>
      </w:r>
    </w:p>
    <w:p>
      <w:pPr>
        <w:pStyle w:val="ListNumber"/>
      </w:pPr>
      <w:r>
        <w:t>PG社又は金融会社の処理手続により実際の返金完了時点は異なることがあります。</w:t>
      </w:r>
    </w:p>
    <w:p>
      <w:pPr>
        <w:pStyle w:val="Heading2"/>
      </w:pPr>
      <w:r>
        <w:t>第13条（会員退会及びサービス利用終了と決済）</w:t>
      </w:r>
    </w:p>
    <w:p>
      <w:pPr>
        <w:pStyle w:val="ListNumber"/>
      </w:pPr>
      <w:r>
        <w:t>利用者が会員退会を申請するか企業会員のサービス利用契約が終了する場合であっても、既に決済済みのサービス利用期間が残っている場合には、当該利用期間の終了日までサービスを利用することができます。</w:t>
      </w:r>
    </w:p>
    <w:p>
      <w:pPr>
        <w:pStyle w:val="ListNumber"/>
      </w:pPr>
      <w:r>
        <w:t>サービス利用期間が終了すると、新規決済及びサービス利用が制限されます。</w:t>
      </w:r>
    </w:p>
    <w:p>
      <w:pPr>
        <w:pStyle w:val="ListNumber"/>
      </w:pPr>
      <w:r>
        <w:t>当社はサービス利用期間終了後、利用者のデータについて当社が定める期間、読み取り専用の暫定保管期間を運営することができます。</w:t>
      </w:r>
    </w:p>
    <w:p>
      <w:pPr>
        <w:pStyle w:val="ListNumber"/>
      </w:pPr>
      <w:r>
        <w:t>当社の現在のデータ保管方針により、サービス利用終了後最大90日間、利用者のデータを読み取り専用で保管することができます。</w:t>
      </w:r>
    </w:p>
    <w:p>
      <w:pPr>
        <w:pStyle w:val="ListNumber"/>
      </w:pPr>
      <w:r>
        <w:t>暫定保管期間中、利用者は当社が提供する範囲で既存データの照会又はダウンロードを行うことができ、新規データの生成、データ修正、AI分析等一部機能の利用は制限されることがあります。</w:t>
      </w:r>
    </w:p>
    <w:p>
      <w:pPr>
        <w:pStyle w:val="ListNumber"/>
      </w:pPr>
      <w:r>
        <w:t>暫定保管期間が終了した後は、関連法令に従い保存すべき情報を除き、利用者のサービスデータが削除されることがあり、削除されたデータは復旧できません。</w:t>
      </w:r>
    </w:p>
    <w:p>
      <w:pPr>
        <w:pStyle w:val="ListNumber"/>
      </w:pPr>
      <w:r>
        <w:t>個人情報の具体的な保有及び破棄基準は当社の個人情報処理方針によります。</w:t>
      </w:r>
    </w:p>
    <w:p>
      <w:pPr>
        <w:pStyle w:val="Heading2"/>
      </w:pPr>
      <w:r>
        <w:t>第14条（取引記録の保存）</w:t>
      </w:r>
    </w:p>
    <w:p>
      <w:pPr>
        <w:pStyle w:val="ListNumber"/>
      </w:pPr>
      <w:r>
        <w:t>当社は電子金融取引の安全性と信頼性を確保し、関連法令上の義務を履行するために電子金融取引関連記録を保存することができます。</w:t>
      </w:r>
    </w:p>
    <w:p>
      <w:pPr>
        <w:pStyle w:val="ListNumber"/>
      </w:pPr>
      <w:r>
        <w:t>取引記録の保存期間は「電子金融取引法」等関連法令が定める期間によります。</w:t>
      </w:r>
    </w:p>
    <w:p>
      <w:pPr>
        <w:pStyle w:val="ListNumber"/>
      </w:pPr>
      <w:r>
        <w:t>当社は保存期間が経過した取引記録を関連法令及び当社の個人情報破棄方針に従い破棄します。</w:t>
      </w:r>
    </w:p>
    <w:p>
      <w:pPr>
        <w:pStyle w:val="Heading2"/>
      </w:pPr>
      <w:r>
        <w:t>第15条（当社の責任）</w:t>
      </w:r>
    </w:p>
    <w:p>
      <w:pPr>
        <w:pStyle w:val="ListNumber"/>
      </w:pPr>
      <w:r>
        <w:t>当社は電子金融取引に関連して関連法令が定める義務を誠実に履行します。</w:t>
      </w:r>
    </w:p>
    <w:p>
      <w:pPr>
        <w:pStyle w:val="ListNumber"/>
      </w:pPr>
      <w:r>
        <w:t>当社の故意又は過失により利用者に損害が発生した場合、当社は関連法令に従い責任を負います。</w:t>
      </w:r>
    </w:p>
    <w:p>
      <w:pPr>
        <w:pStyle w:val="ListNumber"/>
      </w:pPr>
      <w:r>
        <w:t>当社が利用者の電子金融取引をPG社、決済ゲートウェイ又は金融会社等を通じて処理する場合、当該事業者のシステム障害又は帰責事由による取引障害については、当該事業者の責任範囲が適用されることがあります。</w:t>
      </w:r>
    </w:p>
    <w:p>
      <w:pPr>
        <w:pStyle w:val="ListNumber"/>
      </w:pPr>
      <w:r>
        <w:t>ただし、当社は決済代行業者等に障害が発生した場合であっても、利用者の被害を最小化できるよう必要な措置を取るよう努めます。</w:t>
      </w:r>
    </w:p>
    <w:p>
      <w:pPr>
        <w:pStyle w:val="ListNumber"/>
      </w:pPr>
      <w:r>
        <w:t>天災地変、戦争、政府の規制又は命令、金融会社・PG社・通信事業者等のやむを得ない障害等、当社が合理的に統制することが困難な事由により発生した取引の遅延又は中断については、関連法令が許容する範囲で責任が制限されることがあります。</w:t>
      </w:r>
    </w:p>
    <w:p>
      <w:pPr>
        <w:pStyle w:val="Heading2"/>
      </w:pPr>
      <w:r>
        <w:t>第16条（利用者の責任）</w:t>
      </w:r>
    </w:p>
    <w:p>
      <w:pPr>
        <w:pStyle w:val="ListNumber"/>
      </w:pPr>
      <w:r>
        <w:t>利用者は自身のアカウント、アクセス媒体及び決済手段を安全に管理しなければなりません。</w:t>
      </w:r>
    </w:p>
    <w:p>
      <w:pPr>
        <w:pStyle w:val="ListNumber"/>
      </w:pPr>
      <w:r>
        <w:t>利用者は他人の決済手段又はアクセス媒体を不正に使用してはなりません。</w:t>
      </w:r>
    </w:p>
    <w:p>
      <w:pPr>
        <w:pStyle w:val="ListNumber"/>
      </w:pPr>
      <w:r>
        <w:t>利用者が虚偽又は不正確な情報を提供するか、他人の決済手段を不正に利用して発生する問題については、関連法令に従い利用者が責任を負うことがあります。</w:t>
      </w:r>
    </w:p>
    <w:p>
      <w:pPr>
        <w:pStyle w:val="ListNumber"/>
      </w:pPr>
      <w:r>
        <w:t>利用者の故意又は重大な過失により電子金融取引事故が発生した場合、関連法令が定める範囲で利用者が責任を負うことがあります。</w:t>
      </w:r>
    </w:p>
    <w:p>
      <w:pPr>
        <w:pStyle w:val="Heading2"/>
      </w:pPr>
      <w:r>
        <w:t>第17条（電子金融取引情報の保護）</w:t>
      </w:r>
    </w:p>
    <w:p>
      <w:pPr>
        <w:pStyle w:val="ListNumber"/>
      </w:pPr>
      <w:r>
        <w:t>当社は電子金融取引過程で取得した個人情報及び取引情報を関連法令及び当社の個人情報処理方針に従い処理します。</w:t>
      </w:r>
    </w:p>
    <w:p>
      <w:pPr>
        <w:pStyle w:val="ListNumber"/>
      </w:pPr>
      <w:r>
        <w:t>当社は電子金融取引のために必要な最小限の情報を処理し、決済業務のためPG社、決済ゲートウェイ及び金融会社等に必要な情報を提供又は伝達することがあります。</w:t>
      </w:r>
    </w:p>
    <w:p>
      <w:pPr>
        <w:pStyle w:val="ListNumber"/>
      </w:pPr>
      <w:r>
        <w:t>決済情報の処理に関連してPG社又はその他決済事業者が別途の個人情報処理方針を適用する場合、当該事業者の個人情報処理方針が適用されることがあります。</w:t>
      </w:r>
    </w:p>
    <w:p>
      <w:pPr>
        <w:pStyle w:val="Heading2"/>
      </w:pPr>
      <w:r>
        <w:t>第18条（規約の明示及び変更）</w:t>
      </w:r>
    </w:p>
    <w:p>
      <w:pPr>
        <w:pStyle w:val="ListNumber"/>
      </w:pPr>
      <w:r>
        <w:t>当社は本規約をサービスホームページ又は利用者が容易に確認できる方法で掲示します。</w:t>
      </w:r>
    </w:p>
    <w:p>
      <w:pPr>
        <w:pStyle w:val="ListNumber"/>
      </w:pPr>
      <w:r>
        <w:t>当社が本規約を変更する場合、関連法令が定める手続に従い施行日、変更内容及び変更理由等を利用者が確認できるよう案内します。</w:t>
      </w:r>
    </w:p>
    <w:p>
      <w:pPr>
        <w:pStyle w:val="ListNumber"/>
      </w:pPr>
      <w:r>
        <w:t>利用者に不利又は重要な内容が変更される場合には、関連法令が定める方法により事前に案内します。</w:t>
      </w:r>
    </w:p>
    <w:p>
      <w:pPr>
        <w:pStyle w:val="ListNumber"/>
      </w:pPr>
      <w:r>
        <w:t>利用者は変更された規約の内容に同意しない場合、サービス利用契約を解約することができます。</w:t>
      </w:r>
    </w:p>
    <w:p>
      <w:pPr>
        <w:pStyle w:val="Heading2"/>
      </w:pPr>
      <w:r>
        <w:t>第19条（本規約で定めていない事項）</w:t>
      </w:r>
    </w:p>
    <w:p>
      <w:r>
        <w:t>本規約で定めていない事項は、「電子金融取引法」、「電子商取引等における消費者保護に関する法律」、「個人情報保護法」及びその他関連法令並びに当社のサービス利用規約が定めるところによります。</w:t>
      </w:r>
    </w:p>
    <w:p>
      <w:pPr>
        <w:pStyle w:val="Heading2"/>
      </w:pPr>
      <w:r>
        <w:t>第20条（紛争の処理）</w:t>
      </w:r>
    </w:p>
    <w:p>
      <w:pPr>
        <w:pStyle w:val="ListNumber"/>
      </w:pPr>
      <w:r>
        <w:t>電子金融取引に関連して当社と利用者間に紛争が発生した場合、当社は利用者の正当な意見及び苦情を迅速に処理するよう努めます。</w:t>
      </w:r>
    </w:p>
    <w:p>
      <w:pPr>
        <w:pStyle w:val="ListNumber"/>
      </w:pPr>
      <w:r>
        <w:t>利用者は電子金融取引に関連する問い合わせ又は紛争事項を、当社の顧客センター又は個人情報保護責任者等、当社が定める担当部署に提起することができます。</w:t>
      </w:r>
    </w:p>
    <w:p>
      <w:pPr>
        <w:pStyle w:val="ListNumber"/>
      </w:pPr>
      <w:r>
        <w:t>当社と利用者間の紛争が解決されない場合、関連法令による紛争調停手続又は裁判所の判断により解決することができます。</w:t>
      </w:r>
    </w:p>
    <w:p>
      <w:pPr>
        <w:pStyle w:val="Heading2"/>
      </w:pPr>
      <w:r>
        <w:t>第21条（準拠法及び管轄裁判所）</w:t>
      </w:r>
    </w:p>
    <w:p>
      <w:pPr>
        <w:pStyle w:val="ListNumber"/>
      </w:pPr>
      <w:r>
        <w:t>本規約は大韓民国の法令に従い解釈及び適用されます。</w:t>
      </w:r>
    </w:p>
    <w:p>
      <w:pPr>
        <w:pStyle w:val="ListNumber"/>
      </w:pPr>
      <w:r>
        <w:t>当社と利用者間に発生した紛争については、関連法令が定める管轄裁判所に提訴します。</w:t>
      </w:r>
    </w:p>
    <w:p>
      <w:pPr>
        <w:pStyle w:val="Heading1"/>
      </w:pPr>
      <w:r>
        <w:t>附則</w:t>
      </w:r>
    </w:p>
    <w:p>
      <w:pPr>
        <w:pStyle w:val="Heading2"/>
      </w:pPr>
      <w:r>
        <w:t>第1条（施行日）</w:t>
      </w:r>
    </w:p>
    <w:p>
      <w:r>
        <w:t>本規約は2026年1月1日から施行します。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