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D2Doc Privacy Policy</w:t>
      </w:r>
    </w:p>
    <w:p>
      <w:r>
        <w:t>Rootel Inc. (hereinafter the "Company") values the protection of Users' personal information and has established this Privacy Policy to comply with the Personal Information Protection Act and other applicable laws and to safeguard Users' personal information.</w:t>
      </w:r>
    </w:p>
    <w:p>
      <w:r>
        <w:t>This Privacy Policy applies to the D2Doc Service (hereinafter the "Service") provided by the Company.</w:t>
      </w:r>
    </w:p>
    <w:p>
      <w:pPr>
        <w:pStyle w:val="Heading1"/>
      </w:pPr>
      <w:r>
        <w:t>Chapter 1. General Provisions</w:t>
      </w:r>
    </w:p>
    <w:p>
      <w:pPr>
        <w:pStyle w:val="Heading2"/>
      </w:pPr>
      <w:r>
        <w:t>Article 1 (Purpose)</w:t>
      </w:r>
    </w:p>
    <w:p>
      <w:r>
        <w:t>The purpose of this Privacy Policy is to explain how the Company collects, uses, stores, and destroys Users' personal information in the course of providing the Service, and what measures it takes to safely protect personal information.</w:t>
      </w:r>
    </w:p>
    <w:p>
      <w:pPr>
        <w:pStyle w:val="Heading2"/>
      </w:pPr>
      <w:r>
        <w:t>Article 2 (Definitions)</w:t>
      </w:r>
    </w:p>
    <w:p>
      <w:pPr>
        <w:pStyle w:val="ListNumber"/>
      </w:pPr>
      <w:r>
        <w:t>"Service" means D2Doc and the related web-based service provided by the Company.</w:t>
      </w:r>
    </w:p>
    <w:p>
      <w:pPr>
        <w:pStyle w:val="ListNumber"/>
      </w:pPr>
      <w:r>
        <w:t>"User" means a Member or non-member who uses the Service provided by the Company.</w:t>
      </w:r>
    </w:p>
    <w:p>
      <w:pPr>
        <w:pStyle w:val="ListNumber"/>
      </w:pPr>
      <w:r>
        <w:t>"Member" means a person who enters into a use agreement with the Company and subscribes to and uses the Service.</w:t>
      </w:r>
    </w:p>
    <w:p>
      <w:pPr>
        <w:pStyle w:val="ListNumber"/>
      </w:pPr>
      <w:r>
        <w:t>"Corporate Member" or "Client" means a business or corporation that enters into a Service use agreement with the Company and uses the Service on behalf of an organization or company.</w:t>
      </w:r>
    </w:p>
    <w:p>
      <w:pPr>
        <w:pStyle w:val="ListNumber"/>
      </w:pPr>
      <w:r>
        <w:t>"Service Usage Information" means access records, usage records, usage volume, error records, security records, and other records generated during the use of the Service.</w:t>
      </w:r>
    </w:p>
    <w:p>
      <w:pPr>
        <w:pStyle w:val="ListNumber"/>
      </w:pPr>
      <w:r>
        <w:t>"Uploaded Data" means documents, files, Excel data, text, questions, analysis requests, and other data that a User uploads or inputs to use the Service.</w:t>
      </w:r>
    </w:p>
    <w:p>
      <w:pPr>
        <w:pStyle w:val="ListNumber"/>
      </w:pPr>
      <w:r>
        <w:t>"AI Service" means a service that provides functions such as document generation, question answering, data analysis, summarization, and insight generation based on data entered or uploaded by a User.</w:t>
      </w:r>
    </w:p>
    <w:p>
      <w:pPr>
        <w:pStyle w:val="Heading1"/>
      </w:pPr>
      <w:r>
        <w:t>Chapter 2. Purposes of Processing and Items of Personal Information Collected</w:t>
      </w:r>
    </w:p>
    <w:p>
      <w:pPr>
        <w:pStyle w:val="Heading2"/>
      </w:pPr>
      <w:r>
        <w:t>Article 3 (Purposes of Processing Personal Information)</w:t>
      </w:r>
    </w:p>
    <w:p>
      <w:r>
        <w:t>The Company processes personal information for the following purposes.</w:t>
      </w:r>
    </w:p>
    <w:tbl>
      <w:tblPr>
        <w:tblStyle w:val="TableGrid"/>
        <w:tblW w:type="auto" w:w="0"/>
        <w:tblLook w:firstColumn="1" w:firstRow="1" w:lastColumn="0" w:lastRow="0" w:noHBand="0" w:noVBand="1" w:val="04A0"/>
      </w:tblPr>
      <w:tblGrid>
        <w:gridCol w:w="4320"/>
        <w:gridCol w:w="4320"/>
      </w:tblGrid>
      <w:tr>
        <w:tc>
          <w:tcPr>
            <w:tcW w:type="dxa" w:w="4320"/>
          </w:tcPr>
          <w:p>
            <w:r>
              <w:t>Purpose of Processing</w:t>
            </w:r>
          </w:p>
        </w:tc>
        <w:tc>
          <w:tcPr>
            <w:tcW w:type="dxa" w:w="4320"/>
          </w:tcPr>
          <w:p>
            <w:r>
              <w:t>Main Processing Details</w:t>
            </w:r>
          </w:p>
        </w:tc>
      </w:tr>
      <w:tr>
        <w:tc>
          <w:tcPr>
            <w:tcW w:type="dxa" w:w="4320"/>
          </w:tcPr>
          <w:p>
            <w:r>
              <w:t>Membership registration and account management</w:t>
            </w:r>
          </w:p>
        </w:tc>
        <w:tc>
          <w:tcPr>
            <w:tcW w:type="dxa" w:w="4320"/>
          </w:tcPr>
          <w:p>
            <w:r>
              <w:t>Member identification, confirmation of intent to join, account management, identity verification</w:t>
            </w:r>
          </w:p>
        </w:tc>
      </w:tr>
      <w:tr>
        <w:tc>
          <w:tcPr>
            <w:tcW w:type="dxa" w:w="4320"/>
          </w:tcPr>
          <w:p>
            <w:r>
              <w:t>Provision of the Service</w:t>
            </w:r>
          </w:p>
        </w:tc>
        <w:tc>
          <w:tcPr>
            <w:tcW w:type="dxa" w:w="4320"/>
          </w:tcPr>
          <w:p>
            <w:r>
              <w:t>Provision of the D2Doc Service, document generation, data analysis, AI-powered question answering, etc.</w:t>
            </w:r>
          </w:p>
        </w:tc>
      </w:tr>
      <w:tr>
        <w:tc>
          <w:tcPr>
            <w:tcW w:type="dxa" w:w="4320"/>
          </w:tcPr>
          <w:p>
            <w:r>
              <w:t>Management of Corporate Members and Tenants</w:t>
            </w:r>
          </w:p>
        </w:tc>
        <w:tc>
          <w:tcPr>
            <w:tcW w:type="dxa" w:w="4320"/>
          </w:tcPr>
          <w:p>
            <w:r>
              <w:t>Company information, user permissions, management of Service users</w:t>
            </w:r>
          </w:p>
        </w:tc>
      </w:tr>
      <w:tr>
        <w:tc>
          <w:tcPr>
            <w:tcW w:type="dxa" w:w="4320"/>
          </w:tcPr>
          <w:p>
            <w:r>
              <w:t>Contracts and payment</w:t>
            </w:r>
          </w:p>
        </w:tc>
        <w:tc>
          <w:tcPr>
            <w:tcW w:type="dxa" w:w="4320"/>
          </w:tcPr>
          <w:p>
            <w:r>
              <w:t>Conclusion of Service use agreements, subscription management, payment and settlement</w:t>
            </w:r>
          </w:p>
        </w:tc>
      </w:tr>
      <w:tr>
        <w:tc>
          <w:tcPr>
            <w:tcW w:type="dxa" w:w="4320"/>
          </w:tcPr>
          <w:p>
            <w:r>
              <w:t>Customer support</w:t>
            </w:r>
          </w:p>
        </w:tc>
        <w:tc>
          <w:tcPr>
            <w:tcW w:type="dxa" w:w="4320"/>
          </w:tcPr>
          <w:p>
            <w:r>
              <w:t>Receiving inquiries, handling failures and usage inquiries, customer support</w:t>
            </w:r>
          </w:p>
        </w:tc>
      </w:tr>
      <w:tr>
        <w:tc>
          <w:tcPr>
            <w:tcW w:type="dxa" w:w="4320"/>
          </w:tcPr>
          <w:p>
            <w:r>
              <w:t>Service security</w:t>
            </w:r>
          </w:p>
        </w:tc>
        <w:tc>
          <w:tcPr>
            <w:tcW w:type="dxa" w:w="4320"/>
          </w:tcPr>
          <w:p>
            <w:r>
              <w:t>Prevention of fraudulent use, detection of abnormal access, response to security incidents</w:t>
            </w:r>
          </w:p>
        </w:tc>
      </w:tr>
      <w:tr>
        <w:tc>
          <w:tcPr>
            <w:tcW w:type="dxa" w:w="4320"/>
          </w:tcPr>
          <w:p>
            <w:r>
              <w:t>Service improvement</w:t>
            </w:r>
          </w:p>
        </w:tc>
        <w:tc>
          <w:tcPr>
            <w:tcW w:type="dxa" w:w="4320"/>
          </w:tcPr>
          <w:p>
            <w:r>
              <w:t>Analysis of Service errors, quality improvement, and improvement of the usage environment</w:t>
            </w:r>
          </w:p>
        </w:tc>
      </w:tr>
      <w:tr>
        <w:tc>
          <w:tcPr>
            <w:tcW w:type="dxa" w:w="4320"/>
          </w:tcPr>
          <w:p>
            <w:r>
              <w:t>Compliance with laws</w:t>
            </w:r>
          </w:p>
        </w:tc>
        <w:tc>
          <w:tcPr>
            <w:tcW w:type="dxa" w:w="4320"/>
          </w:tcPr>
          <w:p>
            <w:r>
              <w:t>Processing in response to lawful requests from relevant authorities and as otherwise required by applicable laws</w:t>
            </w:r>
          </w:p>
        </w:tc>
      </w:tr>
    </w:tbl>
    <w:p>
      <w:r>
        <w:t>The Company processes only the minimum personal information necessary for the purposes of processing, and where the purpose of processing changes, the Company takes necessary measures in accordance with applicable laws.</w:t>
      </w:r>
    </w:p>
    <w:p>
      <w:pPr>
        <w:pStyle w:val="Heading2"/>
      </w:pPr>
      <w:r>
        <w:t>Article 4 (Personal Information Processed at Membership Registration)</w:t>
      </w:r>
    </w:p>
    <w:p>
      <w:r>
        <w:t>The Company processes the following personal information for membership registration and account management.</w:t>
      </w:r>
    </w:p>
    <w:p>
      <w:pPr>
        <w:pStyle w:val="Heading3"/>
      </w:pPr>
      <w:r>
        <w:t>1. Individual Users</w:t>
      </w:r>
    </w:p>
    <w:p>
      <w:pPr>
        <w:pStyle w:val="ListNumber"/>
      </w:pPr>
      <w:r>
        <w:t>Required: email address, password</w:t>
      </w:r>
    </w:p>
    <w:p>
      <w:pPr>
        <w:pStyle w:val="ListNumber"/>
      </w:pPr>
      <w:r>
        <w:t>Optional: name, mobile phone number, and other information directly entered by the User in the Service</w:t>
      </w:r>
    </w:p>
    <w:p>
      <w:pPr>
        <w:pStyle w:val="Heading3"/>
      </w:pPr>
      <w:r>
        <w:t>2. Corporate Members</w:t>
      </w:r>
    </w:p>
    <w:p>
      <w:pPr>
        <w:pStyle w:val="ListNumber"/>
      </w:pPr>
      <w:r>
        <w:t>Required: company name, contact person's email, account information</w:t>
      </w:r>
    </w:p>
    <w:p>
      <w:pPr>
        <w:pStyle w:val="ListNumber"/>
      </w:pPr>
      <w:r>
        <w:t>Where necessary for the Service use agreement or payment: business registration number, contact person's name, contact information, etc.</w:t>
      </w:r>
    </w:p>
    <w:p>
      <w:r>
        <w:t>The Company collects only the personal information necessary for the Service registration process, and clearly indicates on the Service screen whether each item is required or optional.</w:t>
      </w:r>
    </w:p>
    <w:p>
      <w:pPr>
        <w:pStyle w:val="Heading2"/>
      </w:pPr>
      <w:r>
        <w:t>Article 5 (Personal Information Processed in the Course of Using the Service)</w:t>
      </w:r>
    </w:p>
    <w:p>
      <w:r>
        <w:t>In the course of using the Service, the following information may be automatically generated or directly entered by the User.</w:t>
      </w:r>
    </w:p>
    <w:p>
      <w:pPr>
        <w:pStyle w:val="ListNumber"/>
      </w:pPr>
      <w:r>
        <w:t>Access IP address</w:t>
      </w:r>
    </w:p>
    <w:p>
      <w:pPr>
        <w:pStyle w:val="ListNumber"/>
      </w:pPr>
      <w:r>
        <w:t>Access date and time</w:t>
      </w:r>
    </w:p>
    <w:p>
      <w:pPr>
        <w:pStyle w:val="ListNumber"/>
      </w:pPr>
      <w:r>
        <w:t>Service usage records</w:t>
      </w:r>
    </w:p>
    <w:p>
      <w:pPr>
        <w:pStyle w:val="ListNumber"/>
      </w:pPr>
      <w:r>
        <w:t>Usage volume and usage information</w:t>
      </w:r>
    </w:p>
    <w:p>
      <w:pPr>
        <w:pStyle w:val="ListNumber"/>
      </w:pPr>
      <w:r>
        <w:t>Error and failure records</w:t>
      </w:r>
    </w:p>
    <w:p>
      <w:pPr>
        <w:pStyle w:val="ListNumber"/>
      </w:pPr>
      <w:r>
        <w:t>Information about the access environment, such as the browser and operating system</w:t>
      </w:r>
    </w:p>
    <w:p>
      <w:pPr>
        <w:pStyle w:val="ListNumber"/>
      </w:pPr>
      <w:r>
        <w:t>Account and permission information</w:t>
      </w:r>
    </w:p>
    <w:p>
      <w:pPr>
        <w:pStyle w:val="ListNumber"/>
      </w:pPr>
      <w:r>
        <w:t>Information entered by the User in the course of using the Service</w:t>
      </w:r>
    </w:p>
    <w:p>
      <w:pPr>
        <w:pStyle w:val="ListNumber"/>
      </w:pPr>
      <w:r>
        <w:t>Information provided by the User in the course of customer support and inquiries</w:t>
      </w:r>
    </w:p>
    <w:p>
      <w:r>
        <w:t>The Company processes this information for purposes such as providing the Service, security, prevention of fraudulent use, failure response, and Service improvement.</w:t>
      </w:r>
    </w:p>
    <w:p>
      <w:pPr>
        <w:pStyle w:val="Heading2"/>
      </w:pPr>
      <w:r>
        <w:t>Article 6 (Uploaded Data and Service Input Information)</w:t>
      </w:r>
    </w:p>
    <w:p>
      <w:pPr>
        <w:pStyle w:val="ListNumber"/>
      </w:pPr>
      <w:r>
        <w:t>The User may upload or enter documents, Excel files, data, text, questions, analysis requests, and other materials to the Service in order to use the Service.</w:t>
      </w:r>
    </w:p>
    <w:p>
      <w:pPr>
        <w:pStyle w:val="ListNumber"/>
      </w:pPr>
      <w:r>
        <w:t>Materials uploaded or entered by the User may include not only the User's own personal information but also personal information of third parties such as employees, customers, or business partners of a Client.</w:t>
      </w:r>
    </w:p>
    <w:p>
      <w:pPr>
        <w:pStyle w:val="ListNumber"/>
      </w:pPr>
      <w:r>
        <w:t>The Company processes personal information contained in Uploaded Data only to the extent necessary to provide the Service.</w:t>
      </w:r>
    </w:p>
    <w:p>
      <w:pPr>
        <w:pStyle w:val="ListNumber"/>
      </w:pPr>
      <w:r>
        <w:t>Where a Corporate Member uploads materials to the Service that contain third-party personal information, the Corporate Member shall ensure that it has the lawful authority to collect and use such personal information or to entrust its processing to the Company, in accordance with applicable laws.</w:t>
      </w:r>
    </w:p>
    <w:p>
      <w:pPr>
        <w:pStyle w:val="ListNumber"/>
      </w:pPr>
      <w:r>
        <w:t>The Company does not arbitrarily use data uploaded by a Client beyond the purpose of providing the Service, and complies with the scope prescribed by applicable laws or the relevant agreement.</w:t>
      </w:r>
    </w:p>
    <w:p>
      <w:pPr>
        <w:pStyle w:val="ListNumber"/>
      </w:pPr>
      <w:r>
        <w:t>The retention period and deletion policy for Uploaded Data are determined in accordance with the Service use agreement, the Client's settings, data deletion requests, and applicable laws.</w:t>
      </w:r>
    </w:p>
    <w:p>
      <w:pPr>
        <w:pStyle w:val="Heading1"/>
      </w:pPr>
      <w:r>
        <w:t>Chapter 3. AI Services and Personal Information Processing</w:t>
      </w:r>
    </w:p>
    <w:p>
      <w:pPr>
        <w:pStyle w:val="Heading2"/>
      </w:pPr>
      <w:r>
        <w:t>Article 7 (Use of AI Services)</w:t>
      </w:r>
    </w:p>
    <w:p>
      <w:pPr>
        <w:pStyle w:val="ListNumber"/>
      </w:pPr>
      <w:r>
        <w:t>The Company may use artificial intelligence (AI) technology to provide certain features of the Service.</w:t>
      </w:r>
    </w:p>
    <w:p>
      <w:pPr>
        <w:pStyle w:val="ListNumber"/>
      </w:pPr>
      <w:r>
        <w:t>AI features may include document generation, document summarization, natural-language question answering, data analysis, cause analysis, and insight generation.</w:t>
      </w:r>
    </w:p>
    <w:p>
      <w:pPr>
        <w:pStyle w:val="ListNumber"/>
      </w:pPr>
      <w:r>
        <w:t>To provide AI Services, questions entered by the User, materials uploaded by the User, or portions thereof may be transmitted to the AI processing system.</w:t>
      </w:r>
    </w:p>
    <w:p>
      <w:pPr>
        <w:pStyle w:val="ListNumber"/>
      </w:pPr>
      <w:r>
        <w:t>The Company processes User data only to the extent necessary to provide AI Services, and does not use it for purposes unrelated to the provision of AI Services.</w:t>
      </w:r>
    </w:p>
    <w:p>
      <w:pPr>
        <w:pStyle w:val="ListNumber"/>
      </w:pPr>
      <w:r>
        <w:t>The Company does not use Service input data, including the User's personal information, for the purpose of training the Company's own AI models without separate consent.</w:t>
      </w:r>
    </w:p>
    <w:p>
      <w:pPr>
        <w:pStyle w:val="ListNumber"/>
      </w:pPr>
      <w:r>
        <w:t>Documents, answers, analyses, and insights generated by AI Services may contain errors depending on the input data, model, and processing, and Users should directly verify such results before making important decisions.</w:t>
      </w:r>
    </w:p>
    <w:p>
      <w:pPr>
        <w:pStyle w:val="ListNumber"/>
      </w:pPr>
      <w:r>
        <w:t>Where the provision of AI Services involves the use of an external AI service provider's system, matters concerning such provider and any overseas transfer of personal information will be disclosed in the sections of this Privacy Policy on entrustment of personal information processing and overseas transfer.</w:t>
      </w:r>
    </w:p>
    <w:p>
      <w:pPr>
        <w:pStyle w:val="Heading1"/>
      </w:pPr>
      <w:r>
        <w:t>Chapter 4. Processing and Retention Period of Personal Information</w:t>
      </w:r>
    </w:p>
    <w:p>
      <w:pPr>
        <w:pStyle w:val="Heading2"/>
      </w:pPr>
      <w:r>
        <w:t>Article 8 (Processing and Retention Period of Personal Information)</w:t>
      </w:r>
    </w:p>
    <w:p>
      <w:r>
        <w:t>Where a Member withdraws or a Corporate Member's Service use agreement is terminated, the Company may continue to provide the Service until the end of the Service period already paid for.</w:t>
      </w:r>
    </w:p>
    <w:p>
      <w:r>
        <w:t>After the Service period ends, the Company restricts changes to and new use of the User's data and may retain it in a read-only state for up to 90 days.</w:t>
      </w:r>
    </w:p>
    <w:p>
      <w:r>
        <w:t>When the 90-day retention period ends, the Company deletes the relevant User's personal information and Service data without delay, except for information that must be retained under applicable laws.</w:t>
      </w:r>
    </w:p>
    <w:p>
      <w:r>
        <w:t>The purposes and scope of the data retained for 90 days are as follows.</w:t>
      </w:r>
    </w:p>
    <w:p>
      <w:pPr>
        <w:pStyle w:val="ListNumber"/>
      </w:pPr>
      <w:r>
        <w:t>Data recovery</w:t>
      </w:r>
    </w:p>
    <w:p>
      <w:pPr>
        <w:pStyle w:val="ListNumber"/>
      </w:pPr>
      <w:r>
        <w:t>User access to and download of data</w:t>
      </w:r>
    </w:p>
    <w:p>
      <w:pPr>
        <w:pStyle w:val="ListNumber"/>
      </w:pPr>
      <w:r>
        <w:t>Data cleanup following termination of the agreement</w:t>
      </w:r>
    </w:p>
    <w:p>
      <w:pPr>
        <w:pStyle w:val="ListNumber"/>
      </w:pPr>
      <w:r>
        <w:t>Dispute response</w:t>
      </w:r>
    </w:p>
    <w:p>
      <w:pPr>
        <w:pStyle w:val="ListNumber"/>
      </w:pPr>
      <w:r>
        <w:t>Performing Service termination procedures</w:t>
      </w:r>
    </w:p>
    <w:p>
      <w:r>
        <w:t>However, in the following cases, personal information may be retained for a certain period in accordance with applicable laws or agreements.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Retention Period</w:t>
            </w:r>
          </w:p>
        </w:tc>
      </w:tr>
      <w:tr>
        <w:tc>
          <w:tcPr>
            <w:tcW w:type="dxa" w:w="4320"/>
          </w:tcPr>
          <w:p>
            <w:r>
              <w:t>Member account information</w:t>
            </w:r>
          </w:p>
        </w:tc>
        <w:tc>
          <w:tcPr>
            <w:tcW w:type="dxa" w:w="4320"/>
          </w:tcPr>
          <w:p>
            <w:r>
              <w:t>Until membership withdrawal or termination of the Service use agreement</w:t>
            </w:r>
          </w:p>
        </w:tc>
      </w:tr>
      <w:tr>
        <w:tc>
          <w:tcPr>
            <w:tcW w:type="dxa" w:w="4320"/>
          </w:tcPr>
          <w:p>
            <w:r>
              <w:t>Corporate Member and contact person information</w:t>
            </w:r>
          </w:p>
        </w:tc>
        <w:tc>
          <w:tcPr>
            <w:tcW w:type="dxa" w:w="4320"/>
          </w:tcPr>
          <w:p>
            <w:r>
              <w:t>Until termination of the Service use agreement or a request for deletion of personal information</w:t>
            </w:r>
          </w:p>
        </w:tc>
      </w:tr>
      <w:tr>
        <w:tc>
          <w:tcPr>
            <w:tcW w:type="dxa" w:w="4320"/>
          </w:tcPr>
          <w:p>
            <w:r>
              <w:t>Customer inquiry and consultation records</w:t>
            </w:r>
          </w:p>
        </w:tc>
        <w:tc>
          <w:tcPr>
            <w:tcW w:type="dxa" w:w="4320"/>
          </w:tcPr>
          <w:p>
            <w:r>
              <w:t>The period necessary for the Company's dispute response and Service operation after completion of the inquiry</w:t>
            </w:r>
          </w:p>
        </w:tc>
      </w:tr>
      <w:tr>
        <w:tc>
          <w:tcPr>
            <w:tcW w:type="dxa" w:w="4320"/>
          </w:tcPr>
          <w:p>
            <w:r>
              <w:t>Service usage records</w:t>
            </w:r>
          </w:p>
        </w:tc>
        <w:tc>
          <w:tcPr>
            <w:tcW w:type="dxa" w:w="4320"/>
          </w:tcPr>
          <w:p>
            <w:r>
              <w:t>The period prescribed by applicable laws or by the Company's internal policy</w:t>
            </w:r>
          </w:p>
        </w:tc>
      </w:tr>
      <w:tr>
        <w:tc>
          <w:tcPr>
            <w:tcW w:type="dxa" w:w="4320"/>
          </w:tcPr>
          <w:p>
            <w:r>
              <w:t>Records related to fraudulent use and security</w:t>
            </w:r>
          </w:p>
        </w:tc>
        <w:tc>
          <w:tcPr>
            <w:tcW w:type="dxa" w:w="4320"/>
          </w:tcPr>
          <w:p>
            <w:r>
              <w:t>The period necessary for prevention of fraudulent use and response to security incidents</w:t>
            </w:r>
          </w:p>
        </w:tc>
      </w:tr>
      <w:tr>
        <w:tc>
          <w:tcPr>
            <w:tcW w:type="dxa" w:w="4320"/>
          </w:tcPr>
          <w:p>
            <w:r>
              <w:t>Payment and contract-related information</w:t>
            </w:r>
          </w:p>
        </w:tc>
        <w:tc>
          <w:tcPr>
            <w:tcW w:type="dxa" w:w="4320"/>
          </w:tcPr>
          <w:p>
            <w:r>
              <w:t>The period prescribed by applicable laws</w:t>
            </w:r>
          </w:p>
        </w:tc>
      </w:tr>
      <w:tr>
        <w:tc>
          <w:tcPr>
            <w:tcW w:type="dxa" w:w="4320"/>
          </w:tcPr>
          <w:p>
            <w:r>
              <w:t>Uploaded Data</w:t>
            </w:r>
          </w:p>
        </w:tc>
        <w:tc>
          <w:tcPr>
            <w:tcW w:type="dxa" w:w="4320"/>
          </w:tcPr>
          <w:p>
            <w:r>
              <w:t>The period pursuant to the User's deletion request or the Service use agreement</w:t>
            </w:r>
          </w:p>
        </w:tc>
      </w:tr>
      <w:tr>
        <w:tc>
          <w:tcPr>
            <w:tcW w:type="dxa" w:w="4320"/>
          </w:tcPr>
          <w:p>
            <w:r>
              <w:t>AI conversation and analysis data</w:t>
            </w:r>
          </w:p>
        </w:tc>
        <w:tc>
          <w:tcPr>
            <w:tcW w:type="dxa" w:w="4320"/>
          </w:tcPr>
          <w:p>
            <w:r>
              <w:t>The period specified in the data retention policy applicable to the Service</w:t>
            </w:r>
          </w:p>
        </w:tc>
      </w:tr>
      <w:tr>
        <w:tc>
          <w:tcPr>
            <w:tcW w:type="dxa" w:w="4320"/>
          </w:tcPr>
          <w:p>
            <w:r>
              <w:t>Information to be retained under applicable laws</w:t>
            </w:r>
          </w:p>
        </w:tc>
        <w:tc>
          <w:tcPr>
            <w:tcW w:type="dxa" w:w="4320"/>
          </w:tcPr>
          <w:p>
            <w:r>
              <w:t>The period prescribed by the relevant laws</w:t>
            </w:r>
          </w:p>
        </w:tc>
      </w:tr>
    </w:tbl>
    <w:p>
      <w:r>
        <w:t>The Company may provide more specific data retention periods by Service on the Service screen or in a separate data retention policy.</w:t>
      </w:r>
    </w:p>
    <w:p>
      <w:pPr>
        <w:pStyle w:val="Heading2"/>
      </w:pPr>
      <w:r>
        <w:t>Article 9 (Retention of Personal Information Under Applicable Laws)</w:t>
      </w:r>
    </w:p>
    <w:p>
      <w:r>
        <w:t>Where it is necessary to retain personal information for a certain period under applicable laws, the Company may retain such personal information for that period.</w:t>
      </w:r>
    </w:p>
    <w:p>
      <w:r>
        <w:t>Where retention is required under applicable laws, the relevant personal information is used only for the purposes and within the scope prescribed by such laws.</w:t>
      </w:r>
    </w:p>
    <w:p>
      <w:r>
        <w:t>For example, records related to contracts, payments, and transactions may be retained for the period prescribed by applicable laws, such as the Act on Consumer Protection in Electronic Commerce.</w:t>
      </w:r>
    </w:p>
    <w:p>
      <w:pPr>
        <w:pStyle w:val="Heading1"/>
      </w:pPr>
      <w:r>
        <w:t>Chapter 5. Provision of Personal Information to Third Parties</w:t>
      </w:r>
    </w:p>
    <w:p>
      <w:pPr>
        <w:pStyle w:val="Heading2"/>
      </w:pPr>
      <w:r>
        <w:t>Article 10 (Provision of Personal Information to Third Parties)</w:t>
      </w:r>
    </w:p>
    <w:p>
      <w:pPr>
        <w:pStyle w:val="ListNumber"/>
      </w:pPr>
      <w:r>
        <w:t>In principle, the Company does not provide Users' personal information to third parties.</w:t>
      </w:r>
    </w:p>
    <w:p>
      <w:pPr>
        <w:pStyle w:val="ListNumber"/>
      </w:pPr>
      <w:r>
        <w:t>However, the Company may provide personal information in accordance with applicable laws in the following cases.</w:t>
      </w:r>
    </w:p>
    <w:p>
      <w:pPr>
        <w:pStyle w:val="ListNumber2"/>
      </w:pPr>
      <w:r>
        <w:t>Where the User has given prior consent</w:t>
      </w:r>
    </w:p>
    <w:p>
      <w:pPr>
        <w:pStyle w:val="ListNumber2"/>
      </w:pPr>
      <w:r>
        <w:t>Where otherwise required or permitted by applicable laws</w:t>
      </w:r>
    </w:p>
    <w:p>
      <w:pPr>
        <w:pStyle w:val="ListNumber2"/>
      </w:pPr>
      <w:r>
        <w:t>Where there is a lawful request from a relevant authority pursuant to applicable laws</w:t>
      </w:r>
    </w:p>
    <w:p>
      <w:pPr>
        <w:pStyle w:val="ListNumber2"/>
      </w:pPr>
      <w:r>
        <w:t>Other cases permitted under applicable laws</w:t>
      </w:r>
    </w:p>
    <w:p>
      <w:pPr>
        <w:pStyle w:val="ListNumber"/>
      </w:pPr>
      <w:r>
        <w:t>Where the Company provides personal information to a third party, it informs the User of the recipient, the purpose of provision, the items provided, and the retention and use period.</w:t>
      </w:r>
    </w:p>
    <w:p>
      <w:pPr>
        <w:pStyle w:val="Heading1"/>
      </w:pPr>
      <w:r>
        <w:t>Chapter 6. Entrustment of Personal Information Processing</w:t>
      </w:r>
    </w:p>
    <w:p>
      <w:pPr>
        <w:pStyle w:val="Heading2"/>
      </w:pPr>
      <w:r>
        <w:t>Article 11 (Entrustment of Personal Information Processing)</w:t>
      </w:r>
    </w:p>
    <w:p>
      <w:pPr>
        <w:pStyle w:val="ListNumber"/>
      </w:pPr>
      <w:r>
        <w:t>The Company may entrust the following tasks to external service providers for the smooth provision of the Service.</w:t>
      </w:r>
    </w:p>
    <w:tbl>
      <w:tblPr>
        <w:tblStyle w:val="TableGrid"/>
        <w:tblW w:type="auto" w:w="0"/>
        <w:tblLook w:firstColumn="1" w:firstRow="1" w:lastColumn="0" w:lastRow="0" w:noHBand="0" w:noVBand="1" w:val="04A0"/>
      </w:tblPr>
      <w:tblGrid>
        <w:gridCol w:w="2880"/>
        <w:gridCol w:w="2880"/>
        <w:gridCol w:w="2880"/>
      </w:tblGrid>
      <w:tr>
        <w:tc>
          <w:tcPr>
            <w:tcW w:type="dxa" w:w="2880"/>
          </w:tcPr>
          <w:p>
            <w:r>
              <w:t>Entrusted Task</w:t>
            </w:r>
          </w:p>
        </w:tc>
        <w:tc>
          <w:tcPr>
            <w:tcW w:type="dxa" w:w="2880"/>
          </w:tcPr>
          <w:p>
            <w:r>
              <w:t>Trustee</w:t>
            </w:r>
          </w:p>
        </w:tc>
        <w:tc>
          <w:tcPr>
            <w:tcW w:type="dxa" w:w="2880"/>
          </w:tcPr>
          <w:p>
            <w:r>
              <w:t>Purpose of Processing</w:t>
            </w:r>
          </w:p>
        </w:tc>
      </w:tr>
      <w:tr>
        <w:tc>
          <w:tcPr>
            <w:tcW w:type="dxa" w:w="2880"/>
          </w:tcPr>
          <w:p>
            <w:r>
              <w:t>Cloud infrastructure operation</w:t>
            </w:r>
          </w:p>
        </w:tc>
        <w:tc>
          <w:tcPr>
            <w:tcW w:type="dxa" w:w="2880"/>
          </w:tcPr>
          <w:p>
            <w:r>
              <w:t>Amazon Web Services, Inc. and its affiliates</w:t>
            </w:r>
          </w:p>
        </w:tc>
        <w:tc>
          <w:tcPr>
            <w:tcW w:type="dxa" w:w="2880"/>
          </w:tcPr>
          <w:p>
            <w:r>
              <w:t>Operation of servers, databases, storage, and Service infrastructure</w:t>
            </w:r>
          </w:p>
        </w:tc>
      </w:tr>
      <w:tr>
        <w:tc>
          <w:tcPr>
            <w:tcW w:type="dxa" w:w="2880"/>
          </w:tcPr>
          <w:p>
            <w:r>
              <w:t>Database and Service infrastructure operation</w:t>
            </w:r>
          </w:p>
        </w:tc>
        <w:tc>
          <w:tcPr>
            <w:tcW w:type="dxa" w:w="2880"/>
          </w:tcPr>
          <w:p>
            <w:r>
              <w:t>Supabase and its affiliates</w:t>
            </w:r>
          </w:p>
        </w:tc>
        <w:tc>
          <w:tcPr>
            <w:tcW w:type="dxa" w:w="2880"/>
          </w:tcPr>
          <w:p>
            <w:r>
              <w:t>Database, authentication, storage, and Service operation</w:t>
            </w:r>
          </w:p>
        </w:tc>
      </w:tr>
      <w:tr>
        <w:tc>
          <w:tcPr>
            <w:tcW w:type="dxa" w:w="2880"/>
          </w:tcPr>
          <w:p>
            <w:r>
              <w:t>Payment processing</w:t>
            </w:r>
          </w:p>
        </w:tc>
        <w:tc>
          <w:tcPr>
            <w:tcW w:type="dxa" w:w="2880"/>
          </w:tcPr>
          <w:p>
            <w:r>
              <w:t>The payment service provider used by the Company</w:t>
            </w:r>
          </w:p>
        </w:tc>
        <w:tc>
          <w:tcPr>
            <w:tcW w:type="dxa" w:w="2880"/>
          </w:tcPr>
          <w:p>
            <w:r>
              <w:t>Payment and settlement of usage fees</w:t>
            </w:r>
          </w:p>
        </w:tc>
      </w:tr>
      <w:tr>
        <w:tc>
          <w:tcPr>
            <w:tcW w:type="dxa" w:w="2880"/>
          </w:tcPr>
          <w:p>
            <w:r>
              <w:t>Identity verification</w:t>
            </w:r>
          </w:p>
        </w:tc>
        <w:tc>
          <w:tcPr>
            <w:tcW w:type="dxa" w:w="2880"/>
          </w:tcPr>
          <w:p>
            <w:r>
              <w:t>The identity verification provider used by the Company</w:t>
            </w:r>
          </w:p>
        </w:tc>
        <w:tc>
          <w:tcPr>
            <w:tcW w:type="dxa" w:w="2880"/>
          </w:tcPr>
          <w:p>
            <w:r>
              <w:t>Identity verification</w:t>
            </w:r>
          </w:p>
        </w:tc>
      </w:tr>
      <w:tr>
        <w:tc>
          <w:tcPr>
            <w:tcW w:type="dxa" w:w="2880"/>
          </w:tcPr>
          <w:p>
            <w:r>
              <w:t>Email/SMS sending</w:t>
            </w:r>
          </w:p>
        </w:tc>
        <w:tc>
          <w:tcPr>
            <w:tcW w:type="dxa" w:w="2880"/>
          </w:tcPr>
          <w:p>
            <w:r>
              <w:t>The sending service provider used by the Company</w:t>
            </w:r>
          </w:p>
        </w:tc>
        <w:tc>
          <w:tcPr>
            <w:tcW w:type="dxa" w:w="2880"/>
          </w:tcPr>
          <w:p>
            <w:r>
              <w:t>Membership registration, authentication, Service notices, and customer support</w:t>
            </w:r>
          </w:p>
        </w:tc>
      </w:tr>
      <w:tr>
        <w:tc>
          <w:tcPr>
            <w:tcW w:type="dxa" w:w="2880"/>
          </w:tcPr>
          <w:p>
            <w:r>
              <w:t>AI processing</w:t>
            </w:r>
          </w:p>
        </w:tc>
        <w:tc>
          <w:tcPr>
            <w:tcW w:type="dxa" w:w="2880"/>
          </w:tcPr>
          <w:p>
            <w:r>
              <w:t>The AI/LLM service provider used by the Company</w:t>
            </w:r>
          </w:p>
        </w:tc>
        <w:tc>
          <w:tcPr>
            <w:tcW w:type="dxa" w:w="2880"/>
          </w:tcPr>
          <w:p>
            <w:r>
              <w:t>AI document generation, question and answer, and data analysis</w:t>
            </w:r>
          </w:p>
        </w:tc>
      </w:tr>
      <w:tr>
        <w:tc>
          <w:tcPr>
            <w:tcW w:type="dxa" w:w="2880"/>
          </w:tcPr>
          <w:p>
            <w:r>
              <w:t>Customer support</w:t>
            </w:r>
          </w:p>
        </w:tc>
        <w:tc>
          <w:tcPr>
            <w:tcW w:type="dxa" w:w="2880"/>
          </w:tcPr>
          <w:p>
            <w:r>
              <w:t>The customer support service provider used by the Company</w:t>
            </w:r>
          </w:p>
        </w:tc>
        <w:tc>
          <w:tcPr>
            <w:tcW w:type="dxa" w:w="2880"/>
          </w:tcPr>
          <w:p>
            <w:r>
              <w:t>Customer inquiries and Service support</w:t>
            </w:r>
          </w:p>
        </w:tc>
      </w:tr>
    </w:tbl>
    <w:p>
      <w:pPr>
        <w:pStyle w:val="ListNumber"/>
      </w:pPr>
      <w:r>
        <w:t>Payment Processing</w:t>
      </w:r>
    </w:p>
    <w:tbl>
      <w:tblPr>
        <w:tblStyle w:val="TableGrid"/>
        <w:tblW w:type="auto" w:w="0"/>
        <w:tblLook w:firstColumn="1" w:firstRow="1" w:lastColumn="0" w:lastRow="0" w:noHBand="0" w:noVBand="1" w:val="04A0"/>
      </w:tblPr>
      <w:tblGrid>
        <w:gridCol w:w="2880"/>
        <w:gridCol w:w="2880"/>
        <w:gridCol w:w="2880"/>
      </w:tblGrid>
      <w:tr>
        <w:tc>
          <w:tcPr>
            <w:tcW w:type="dxa" w:w="2880"/>
          </w:tcPr>
          <w:p>
            <w:r>
              <w:t>Trustee</w:t>
            </w:r>
          </w:p>
        </w:tc>
        <w:tc>
          <w:tcPr>
            <w:tcW w:type="dxa" w:w="2880"/>
          </w:tcPr>
          <w:p>
            <w:r>
              <w:t>Entrusted Task</w:t>
            </w:r>
          </w:p>
        </w:tc>
        <w:tc>
          <w:tcPr>
            <w:tcW w:type="dxa" w:w="2880"/>
          </w:tcPr>
          <w:p>
            <w:r>
              <w:t>Information Processed</w:t>
            </w:r>
          </w:p>
        </w:tc>
      </w:tr>
      <w:tr>
        <w:tc>
          <w:tcPr>
            <w:tcW w:type="dxa" w:w="2880"/>
          </w:tcPr>
          <w:p>
            <w:r>
              <w:t>PortOne</w:t>
            </w:r>
          </w:p>
        </w:tc>
        <w:tc>
          <w:tcPr>
            <w:tcW w:type="dxa" w:w="2880"/>
          </w:tcPr>
          <w:p>
            <w:r>
              <w:t>Payment integration and transmission of payment information</w:t>
            </w:r>
          </w:p>
        </w:tc>
        <w:tc>
          <w:tcPr>
            <w:tcW w:type="dxa" w:w="2880"/>
          </w:tcPr>
          <w:p>
            <w:r>
              <w:t>Payment-related information</w:t>
            </w:r>
          </w:p>
        </w:tc>
      </w:tr>
      <w:tr>
        <w:tc>
          <w:tcPr>
            <w:tcW w:type="dxa" w:w="2880"/>
          </w:tcPr>
          <w:p>
            <w:r>
              <w:t>KG Inicis</w:t>
            </w:r>
          </w:p>
        </w:tc>
        <w:tc>
          <w:tcPr>
            <w:tcW w:type="dxa" w:w="2880"/>
          </w:tcPr>
          <w:p>
            <w:r>
              <w:t>Processing and settlement of credit card and other payments</w:t>
            </w:r>
          </w:p>
        </w:tc>
        <w:tc>
          <w:tcPr>
            <w:tcW w:type="dxa" w:w="2880"/>
          </w:tcPr>
          <w:p>
            <w:r>
              <w:t>Payment-related information</w:t>
            </w:r>
          </w:p>
        </w:tc>
      </w:tr>
    </w:tbl>
    <w:p>
      <w:r>
        <w:t>The Company acts solely as an intermediary for payment-related API requests and does not collect card numbers or card passwords.</w:t>
        <w:br/>
        <w:t>The items collected are the payment method, payment amount, payment date and time, payment approval number, transaction number, and payment status.</w:t>
      </w:r>
    </w:p>
    <w:p>
      <w:pPr>
        <w:pStyle w:val="ListNumber"/>
      </w:pPr>
      <w:r>
        <w:t>Where the service provider or the scope of entrusted tasks changes, the Company discloses the change through this Privacy Policy.</w:t>
      </w:r>
    </w:p>
    <w:p>
      <w:pPr>
        <w:pStyle w:val="ListNumber"/>
      </w:pPr>
      <w:r>
        <w:t>The Company manages and supervises trustees in accordance with applicable laws so that they safely process personal information.</w:t>
      </w:r>
    </w:p>
    <w:p>
      <w:pPr>
        <w:pStyle w:val="ListNumber"/>
      </w:pPr>
      <w:r>
        <w:t>Where entrusted tasks end or personal information is no longer necessary, the Company manages the safe destruction of personal information in accordance with applicable laws and agreements.</w:t>
      </w:r>
    </w:p>
    <w:p>
      <w:pPr>
        <w:pStyle w:val="Heading1"/>
      </w:pPr>
      <w:r>
        <w:t>Chapter 7. Overseas Transfer of Personal Information</w:t>
      </w:r>
    </w:p>
    <w:p>
      <w:pPr>
        <w:pStyle w:val="Heading2"/>
      </w:pPr>
      <w:r>
        <w:t>Article 12 (Overseas Transfer of Personal Information)</w:t>
      </w:r>
    </w:p>
    <w:p>
      <w:pPr>
        <w:pStyle w:val="ListNumber"/>
      </w:pPr>
      <w:r>
        <w:t>The Company may provide part of the Service using global cloud and AI services, in the course of which personal information may be transferred overseas.</w:t>
      </w:r>
    </w:p>
    <w:p>
      <w:pPr>
        <w:pStyle w:val="ListNumber"/>
      </w:pPr>
      <w:r>
        <w:t>Where personal information is transferred overseas, the Company informs the User of the following matters in accordance with the requirements prescribed by applicable laws.</w:t>
      </w:r>
    </w:p>
    <w:p>
      <w:pPr>
        <w:pStyle w:val="ListNumber2"/>
      </w:pPr>
      <w:r>
        <w:t>Recipient of the transfer</w:t>
      </w:r>
    </w:p>
    <w:p>
      <w:pPr>
        <w:pStyle w:val="ListNumber2"/>
      </w:pPr>
      <w:r>
        <w:t>Country of transfer</w:t>
      </w:r>
    </w:p>
    <w:p>
      <w:pPr>
        <w:pStyle w:val="ListNumber2"/>
      </w:pPr>
      <w:r>
        <w:t>Items of personal information transferred</w:t>
      </w:r>
    </w:p>
    <w:p>
      <w:pPr>
        <w:pStyle w:val="ListNumber2"/>
      </w:pPr>
      <w:r>
        <w:t>Purpose of the transfer</w:t>
      </w:r>
    </w:p>
    <w:p>
      <w:pPr>
        <w:pStyle w:val="ListNumber2"/>
      </w:pPr>
      <w:r>
        <w:t>Method of the transfer</w:t>
      </w:r>
    </w:p>
    <w:p>
      <w:pPr>
        <w:pStyle w:val="ListNumber2"/>
      </w:pPr>
      <w:r>
        <w:t>Retention and use period of personal information</w:t>
      </w:r>
    </w:p>
    <w:p>
      <w:pPr>
        <w:pStyle w:val="ListNumber2"/>
      </w:pPr>
      <w:r>
        <w:t>The User's rights regarding overseas transfer of personal information</w:t>
      </w:r>
    </w:p>
    <w:p>
      <w:pPr>
        <w:pStyle w:val="ListNumber"/>
      </w:pPr>
      <w:r>
        <w:t>The recipients and service providers involved in overseas transfers may change depending on the cloud, AI, payment, and other external services actually used by the Company.</w:t>
      </w:r>
    </w:p>
    <w:p>
      <w:pPr>
        <w:pStyle w:val="ListNumber"/>
      </w:pPr>
      <w:r>
        <w:t>Where an overseas transfer is necessary, the Company secures the consent, agreement, or other lawful basis for transfer required under applicable laws.</w:t>
      </w:r>
    </w:p>
    <w:p>
      <w:pPr>
        <w:pStyle w:val="Heading1"/>
      </w:pPr>
      <w:r>
        <w:t>Chapter 8. Sensitive Information and Unique Identification Information</w:t>
      </w:r>
    </w:p>
    <w:p>
      <w:pPr>
        <w:pStyle w:val="Heading2"/>
      </w:pPr>
      <w:r>
        <w:t>Article 13 (Processing of Sensitive Information)</w:t>
      </w:r>
    </w:p>
    <w:p>
      <w:pPr>
        <w:pStyle w:val="ListNumber"/>
      </w:pPr>
      <w:r>
        <w:t>In principle, the Company does not collect sensitive information concerning ideology and belief, health, political views, membership in or withdrawal from a labor union or political party, or sex life.</w:t>
      </w:r>
    </w:p>
    <w:p>
      <w:pPr>
        <w:pStyle w:val="ListNumber"/>
      </w:pPr>
      <w:r>
        <w:t>However, sensitive information may be included in documents or data uploaded to the Service by a User.</w:t>
      </w:r>
    </w:p>
    <w:p>
      <w:pPr>
        <w:pStyle w:val="ListNumber"/>
      </w:pPr>
      <w:r>
        <w:t>Where a User uploads a third party's sensitive information to the Service, the User shall secure lawful authority to process such information in accordance with applicable laws.</w:t>
      </w:r>
    </w:p>
    <w:p>
      <w:pPr>
        <w:pStyle w:val="ListNumber"/>
      </w:pPr>
      <w:r>
        <w:t>Where the Company itself needs to directly collect or process sensitive information, it complies with the requirements prescribed by applicable laws.</w:t>
      </w:r>
    </w:p>
    <w:p>
      <w:pPr>
        <w:pStyle w:val="Heading2"/>
      </w:pPr>
      <w:r>
        <w:t>Article 14 (Processing of Unique Identification Information)</w:t>
      </w:r>
    </w:p>
    <w:p>
      <w:r>
        <w:t>In principle, the Company does not collect unique identification information such as resident registration numbers.</w:t>
      </w:r>
    </w:p>
    <w:p>
      <w:r>
        <w:t>Where it is unavoidably necessary to process unique identification information under applicable laws, the Company complies with the requirements and procedures prescribed by such laws.</w:t>
      </w:r>
    </w:p>
    <w:p>
      <w:pPr>
        <w:pStyle w:val="Heading1"/>
      </w:pPr>
      <w:r>
        <w:t>Chapter 9. Destruction of Personal Information</w:t>
      </w:r>
    </w:p>
    <w:p>
      <w:pPr>
        <w:pStyle w:val="Heading2"/>
      </w:pPr>
      <w:r>
        <w:t>Article 15 (Destruction of Personal Information)</w:t>
      </w:r>
    </w:p>
    <w:p>
      <w:pPr>
        <w:pStyle w:val="ListNumber"/>
      </w:pPr>
      <w:r>
        <w:t>The Company destroys personal information without delay once the purpose of processing has been achieved or the retention period has ended.</w:t>
      </w:r>
    </w:p>
    <w:p>
      <w:pPr>
        <w:pStyle w:val="ListNumber"/>
      </w:pPr>
      <w:r>
        <w:t>Personal information that must be retained under applicable laws is stored separately from other personal information and is used only for the purposes and during the period prescribed by such laws.</w:t>
      </w:r>
    </w:p>
    <w:p>
      <w:pPr>
        <w:pStyle w:val="ListNumber"/>
      </w:pPr>
      <w:r>
        <w:t>Personal information in electronic file form is deleted in a manner that makes recovery or reproduction impossible.</w:t>
      </w:r>
    </w:p>
    <w:p>
      <w:pPr>
        <w:pStyle w:val="ListNumber"/>
      </w:pPr>
      <w:r>
        <w:t>Personal information printed on paper is destroyed by shredding, incineration, or similar methods.</w:t>
      </w:r>
    </w:p>
    <w:p>
      <w:pPr>
        <w:pStyle w:val="Heading1"/>
      </w:pPr>
      <w:r>
        <w:t>Chapter 10. Rights of Data Subjects and How to Exercise Them</w:t>
      </w:r>
    </w:p>
    <w:p>
      <w:pPr>
        <w:pStyle w:val="Heading2"/>
      </w:pPr>
      <w:r>
        <w:t>Article 16 (Rights of Data Subjects)</w:t>
      </w:r>
    </w:p>
    <w:p>
      <w:r>
        <w:t>A User may exercise the following rights with respect to the User's personal information.</w:t>
      </w:r>
    </w:p>
    <w:p>
      <w:pPr>
        <w:pStyle w:val="ListNumber"/>
      </w:pPr>
      <w:r>
        <w:t>Request to access personal information</w:t>
      </w:r>
    </w:p>
    <w:p>
      <w:pPr>
        <w:pStyle w:val="ListNumber"/>
      </w:pPr>
      <w:r>
        <w:t>Request to correct personal information</w:t>
      </w:r>
    </w:p>
    <w:p>
      <w:pPr>
        <w:pStyle w:val="ListNumber"/>
      </w:pPr>
      <w:r>
        <w:t>Request to delete personal information</w:t>
      </w:r>
    </w:p>
    <w:p>
      <w:pPr>
        <w:pStyle w:val="ListNumber"/>
      </w:pPr>
      <w:r>
        <w:t>Request to suspend processing of personal information</w:t>
      </w:r>
    </w:p>
    <w:p>
      <w:pPr>
        <w:pStyle w:val="ListNumber"/>
      </w:pPr>
      <w:r>
        <w:t>Withdrawal of consent to the collection and use of personal information</w:t>
      </w:r>
    </w:p>
    <w:p>
      <w:pPr>
        <w:pStyle w:val="ListNumber"/>
      </w:pPr>
      <w:r>
        <w:t>Other rights related to personal information protection guaranteed under applicable laws</w:t>
      </w:r>
    </w:p>
    <w:p>
      <w:pPr>
        <w:pStyle w:val="Heading2"/>
      </w:pPr>
      <w:r>
        <w:t>Article 17 (How to Exercise Rights)</w:t>
      </w:r>
    </w:p>
    <w:p>
      <w:pPr>
        <w:pStyle w:val="ListNumber"/>
      </w:pPr>
      <w:r>
        <w:t>A User may exercise rights related to personal information by using the personal information management feature within the Service, or by contacting the Data Protection Officer in writing, by email, or by other means.</w:t>
      </w:r>
    </w:p>
    <w:p>
      <w:pPr>
        <w:pStyle w:val="ListNumber"/>
      </w:pPr>
      <w:r>
        <w:t>Upon receiving a User's request to exercise a right, the Company processes it in accordance with the procedures and within the period prescribed by applicable laws.</w:t>
      </w:r>
    </w:p>
    <w:p>
      <w:pPr>
        <w:pStyle w:val="ListNumber"/>
      </w:pPr>
      <w:r>
        <w:t>The Company may require an identity verification procedure to the extent necessary to confirm that the request is made by the User or the User's lawful agent.</w:t>
      </w:r>
    </w:p>
    <w:p>
      <w:pPr>
        <w:pStyle w:val="ListNumber"/>
      </w:pPr>
      <w:r>
        <w:t>Requests to access, correct, delete, or suspend processing of personal information may be restricted in accordance with applicable laws.</w:t>
      </w:r>
    </w:p>
    <w:p>
      <w:pPr>
        <w:pStyle w:val="Heading1"/>
      </w:pPr>
      <w:r>
        <w:t>Chapter 11. Measures to Ensure the Security of Personal Information</w:t>
      </w:r>
    </w:p>
    <w:p>
      <w:pPr>
        <w:pStyle w:val="Heading2"/>
      </w:pPr>
      <w:r>
        <w:t>Article 18 (Measures to Ensure Security)</w:t>
      </w:r>
    </w:p>
    <w:p>
      <w:r>
        <w:t>The Company implements the following measures to ensure the security of personal information.</w:t>
      </w:r>
    </w:p>
    <w:p>
      <w:pPr>
        <w:pStyle w:val="Heading3"/>
      </w:pPr>
      <w:r>
        <w:t>1. Administrative Measures</w:t>
      </w:r>
    </w:p>
    <w:p>
      <w:pPr>
        <w:pStyle w:val="ListNumber"/>
      </w:pPr>
      <w:r>
        <w:t>Operation of an internal management system for personal information protection</w:t>
      </w:r>
    </w:p>
    <w:p>
      <w:pPr>
        <w:pStyle w:val="ListNumber"/>
      </w:pPr>
      <w:r>
        <w:t>Management of access permissions for personal information processors</w:t>
      </w:r>
    </w:p>
    <w:p>
      <w:pPr>
        <w:pStyle w:val="ListNumber"/>
      </w:pPr>
      <w:r>
        <w:t>Training related to personal information protection and security</w:t>
      </w:r>
    </w:p>
    <w:p>
      <w:pPr>
        <w:pStyle w:val="ListNumber"/>
      </w:pPr>
      <w:r>
        <w:t>Management and supervision of personal information processing operations</w:t>
      </w:r>
    </w:p>
    <w:p>
      <w:pPr>
        <w:pStyle w:val="Heading3"/>
      </w:pPr>
      <w:r>
        <w:t>2. Technical Measures</w:t>
      </w:r>
    </w:p>
    <w:p>
      <w:pPr>
        <w:pStyle w:val="ListNumber"/>
      </w:pPr>
      <w:r>
        <w:t>Management of access permissions for personal information and important information</w:t>
      </w:r>
    </w:p>
    <w:p>
      <w:pPr>
        <w:pStyle w:val="ListNumber"/>
      </w:pPr>
      <w:r>
        <w:t>Encryption of data in transit</w:t>
      </w:r>
    </w:p>
    <w:p>
      <w:pPr>
        <w:pStyle w:val="ListNumber"/>
      </w:pPr>
      <w:r>
        <w:t>Secure storage of passwords, etc.</w:t>
      </w:r>
    </w:p>
    <w:p>
      <w:pPr>
        <w:pStyle w:val="ListNumber"/>
      </w:pPr>
      <w:r>
        <w:t>Access control over databases and storage</w:t>
      </w:r>
    </w:p>
    <w:p>
      <w:pPr>
        <w:pStyle w:val="ListNumber"/>
      </w:pPr>
      <w:r>
        <w:t>Security vulnerability assessments and security updates</w:t>
      </w:r>
    </w:p>
    <w:p>
      <w:pPr>
        <w:pStyle w:val="ListNumber"/>
      </w:pPr>
      <w:r>
        <w:t>Management of access records and security logs</w:t>
      </w:r>
    </w:p>
    <w:p>
      <w:pPr>
        <w:pStyle w:val="ListNumber"/>
      </w:pPr>
      <w:r>
        <w:t>Detection and blocking of intrusions and abnormal access</w:t>
      </w:r>
    </w:p>
    <w:p>
      <w:pPr>
        <w:pStyle w:val="ListNumber"/>
      </w:pPr>
      <w:r>
        <w:t>Operation and maintenance of backup and disaster recovery systems</w:t>
      </w:r>
    </w:p>
    <w:p>
      <w:pPr>
        <w:pStyle w:val="Heading3"/>
      </w:pPr>
      <w:r>
        <w:t>3. Physical Measures</w:t>
      </w:r>
    </w:p>
    <w:p>
      <w:r>
        <w:t>The Company applies a management system based on the security policies of, and applicable agreements with, its cloud service providers so that physical security of cloud infrastructure and the data storage environment is maintained.</w:t>
      </w:r>
    </w:p>
    <w:p>
      <w:pPr>
        <w:pStyle w:val="Heading1"/>
      </w:pPr>
      <w:r>
        <w:t>Chapter 12. Automatic Personal Information Collection Devices</w:t>
      </w:r>
    </w:p>
    <w:p>
      <w:pPr>
        <w:pStyle w:val="Heading2"/>
      </w:pPr>
      <w:r>
        <w:t>Article 19 (Use of Cookies)</w:t>
      </w:r>
    </w:p>
    <w:p>
      <w:pPr>
        <w:pStyle w:val="ListNumber"/>
      </w:pPr>
      <w:r>
        <w:t>The Company may use cookies or similar technologies to enhance the User's convenience in using the Service and to maintain login status.</w:t>
      </w:r>
    </w:p>
    <w:p>
      <w:pPr>
        <w:pStyle w:val="ListNumber"/>
      </w:pPr>
      <w:r>
        <w:t>Cookies are small data files stored in the User's browser.</w:t>
      </w:r>
    </w:p>
    <w:p>
      <w:pPr>
        <w:pStyle w:val="ListNumber"/>
      </w:pPr>
      <w:r>
        <w:t>The Company may use cookies for purposes such as maintaining login status, saving Service settings, analyzing Service use, and security.</w:t>
      </w:r>
    </w:p>
    <w:p>
      <w:pPr>
        <w:pStyle w:val="ListNumber"/>
      </w:pPr>
      <w:r>
        <w:t>The User may allow or block the storage of cookies through the User's web browser settings.</w:t>
      </w:r>
    </w:p>
    <w:p>
      <w:pPr>
        <w:pStyle w:val="ListNumber"/>
      </w:pPr>
      <w:r>
        <w:t>If cookies are blocked, some Service use, such as login, may be restricted.</w:t>
      </w:r>
    </w:p>
    <w:p>
      <w:pPr>
        <w:pStyle w:val="Heading1"/>
      </w:pPr>
      <w:r>
        <w:t>Chapter 13. Measures for Personal Information Leakage, etc.</w:t>
      </w:r>
    </w:p>
    <w:p>
      <w:pPr>
        <w:pStyle w:val="Heading2"/>
      </w:pPr>
      <w:r>
        <w:t>Article 20 (Response to Personal Information Leakage, etc.)</w:t>
      </w:r>
    </w:p>
    <w:p>
      <w:pPr>
        <w:pStyle w:val="ListNumber"/>
      </w:pPr>
      <w:r>
        <w:t>Where the Company becomes aware of the loss, theft, or leakage of personal information, it takes necessary measures without delay in accordance with applicable laws.</w:t>
      </w:r>
    </w:p>
    <w:p>
      <w:pPr>
        <w:pStyle w:val="ListNumber"/>
      </w:pPr>
      <w:r>
        <w:t>Where a personal information breach occurs, the Company may notify the data subject of the following matters within the scope and by the method prescribed by applicable laws.</w:t>
      </w:r>
    </w:p>
    <w:p>
      <w:pPr>
        <w:pStyle w:val="ListNumber2"/>
      </w:pPr>
      <w:r>
        <w:t>Items of personal information leaked</w:t>
      </w:r>
    </w:p>
    <w:p>
      <w:pPr>
        <w:pStyle w:val="ListNumber2"/>
      </w:pPr>
      <w:r>
        <w:t>The time and circumstances of the leakage</w:t>
      </w:r>
    </w:p>
    <w:p>
      <w:pPr>
        <w:pStyle w:val="ListNumber2"/>
      </w:pPr>
      <w:r>
        <w:t>Methods the data subject may take to minimize damage that may arise from the leakage</w:t>
      </w:r>
    </w:p>
    <w:p>
      <w:pPr>
        <w:pStyle w:val="ListNumber2"/>
      </w:pPr>
      <w:r>
        <w:t>The Company's response measures and measures to minimize damage</w:t>
      </w:r>
    </w:p>
    <w:p>
      <w:pPr>
        <w:pStyle w:val="ListNumber2"/>
      </w:pPr>
      <w:r>
        <w:t>The department and contact information for reporting damage and consultation</w:t>
      </w:r>
    </w:p>
    <w:p>
      <w:pPr>
        <w:pStyle w:val="ListNumber"/>
      </w:pPr>
      <w:r>
        <w:t>Where prescribed by applicable laws, the Company reports the fact of leakage to the Personal Information Protection Commission or other relevant specialized institution.</w:t>
      </w:r>
    </w:p>
    <w:p>
      <w:pPr>
        <w:pStyle w:val="ListNumber"/>
      </w:pPr>
      <w:r>
        <w:t>In the event of an incident such as a personal information breach, the Company implements measures to prevent further leakage, remedy vulnerabilities, minimize damage, and prevent recurrence.</w:t>
      </w:r>
    </w:p>
    <w:p>
      <w:pPr>
        <w:pStyle w:val="Heading1"/>
      </w:pPr>
      <w:r>
        <w:t>Chapter 14. Data Protection Officer</w:t>
      </w:r>
    </w:p>
    <w:p>
      <w:pPr>
        <w:pStyle w:val="Heading2"/>
      </w:pPr>
      <w:r>
        <w:t>Article 21 (Data Protection Officer)</w:t>
      </w:r>
    </w:p>
    <w:p>
      <w:r>
        <w:t>The Company designates a Data Protection Officer as follows, who is responsible for overseeing personal information processing and handling Users' inquiries and complaints related to personal information.</w:t>
      </w:r>
    </w:p>
    <w:p>
      <w:pPr>
        <w:pStyle w:val="Heading3"/>
      </w:pPr>
      <w:r>
        <w:t>Data Protection Officer</w:t>
      </w:r>
    </w:p>
    <w:p>
      <w:pPr>
        <w:pStyle w:val="ListNumber"/>
      </w:pPr>
      <w:r>
        <w:t>Name: Sun-kyung Choi</w:t>
      </w:r>
    </w:p>
    <w:p>
      <w:pPr>
        <w:pStyle w:val="ListNumber"/>
      </w:pPr>
      <w:r>
        <w:t>Title: CTO</w:t>
      </w:r>
    </w:p>
    <w:p>
      <w:pPr>
        <w:pStyle w:val="ListNumber"/>
      </w:pPr>
      <w:r>
        <w:t>Email: sales@rootel.co.kr</w:t>
      </w:r>
    </w:p>
    <w:p>
      <w:pPr>
        <w:pStyle w:val="ListNumber"/>
      </w:pPr>
      <w:r>
        <w:t>Contact: 010-8025-2043</w:t>
      </w:r>
    </w:p>
    <w:p>
      <w:r>
        <w:t>Users may direct inquiries, complaints, requests for damage relief, and other personal information-related matters to the contact information above.</w:t>
      </w:r>
    </w:p>
    <w:p>
      <w:r>
        <w:t>The Company endeavors to promptly respond to and process Users' inquiries and requests related to personal information.</w:t>
      </w:r>
    </w:p>
    <w:p>
      <w:pPr>
        <w:pStyle w:val="Heading1"/>
      </w:pPr>
      <w:r>
        <w:t>Chapter 15. Reporting and Consultation on Personal Information Infringement</w:t>
      </w:r>
    </w:p>
    <w:p>
      <w:pPr>
        <w:pStyle w:val="Heading2"/>
      </w:pPr>
      <w:r>
        <w:t>Article 22 (Reporting and Consultation on Personal Information Infringement)</w:t>
      </w:r>
    </w:p>
    <w:p>
      <w:r>
        <w:t>If a User needs to report or consult regarding an infringement of personal information, the User may contact the following institutions.</w:t>
      </w:r>
    </w:p>
    <w:p>
      <w:pPr>
        <w:pStyle w:val="ListNumber"/>
      </w:pPr>
      <w:r>
        <w:t>Personal Information Infringement Report Center: 118 (no area code required)</w:t>
      </w:r>
    </w:p>
    <w:p>
      <w:pPr>
        <w:pStyle w:val="ListNumber"/>
      </w:pPr>
      <w:r>
        <w:t>Personal Information Dispute Mediation Committee: 1833-6972</w:t>
      </w:r>
    </w:p>
    <w:p>
      <w:pPr>
        <w:pStyle w:val="ListNumber"/>
      </w:pPr>
      <w:r>
        <w:t>Personal Information Protection Commission: 02-2100-3025</w:t>
      </w:r>
    </w:p>
    <w:p>
      <w:r>
        <w:t>Other reports and consultations related to personal information protection can be confirmed through the official websites of the relevant institutions.</w:t>
      </w:r>
    </w:p>
    <w:p>
      <w:pPr>
        <w:pStyle w:val="Heading1"/>
      </w:pPr>
      <w:r>
        <w:t>Chapter 16. Amendment of This Privacy Policy</w:t>
      </w:r>
    </w:p>
    <w:p>
      <w:pPr>
        <w:pStyle w:val="Heading2"/>
      </w:pPr>
      <w:r>
        <w:t>Article 23 (Amendment of This Privacy Policy)</w:t>
      </w:r>
    </w:p>
    <w:p>
      <w:pPr>
        <w:pStyle w:val="ListNumber"/>
      </w:pPr>
      <w:r>
        <w:t>The Company may amend this Privacy Policy in accordance with changes in applicable laws, Service content, personal information processing methods, or security policy.</w:t>
      </w:r>
    </w:p>
    <w:p>
      <w:pPr>
        <w:pStyle w:val="ListNumber"/>
      </w:pPr>
      <w:r>
        <w:t>Where the Company amends this Privacy Policy, it discloses the changes through the Service website or the Service screen.</w:t>
      </w:r>
    </w:p>
    <w:p>
      <w:pPr>
        <w:pStyle w:val="ListNumber"/>
      </w:pPr>
      <w:r>
        <w:t>Where there is a change that has a material effect on the protection of Users' personal information, the Company provides separate notice in accordance with the method prescribed by applicable laws, or obtains consent where necessary.</w:t>
      </w:r>
    </w:p>
    <w:p>
      <w:pPr>
        <w:pStyle w:val="ListNumber"/>
      </w:pPr>
      <w:r>
        <w:t>The amended Privacy Policy applies from its effective date.</w:t>
      </w:r>
    </w:p>
    <w:p>
      <w:pPr>
        <w:pStyle w:val="Heading1"/>
      </w:pPr>
      <w:r>
        <w:t>Addendum</w:t>
      </w:r>
    </w:p>
    <w:p>
      <w:pPr>
        <w:pStyle w:val="Heading2"/>
      </w:pPr>
      <w:r>
        <w:t>Article 1 (Effective Date)</w:t>
      </w:r>
    </w:p>
    <w:p>
      <w:r>
        <w:t>This Privacy Policy shall take effect on January 1, 2026.</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