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4F8C" w:val="clear"/>
            <w:tcMar>
              <w:top w:type="dxa" w:w="400"/>
              <w:left w:type="dxa" w:w="400"/>
              <w:bottom w:type="dxa" w:w="400"/>
              <w:right w:type="dxa" w:w="400"/>
            </w:tcMar>
          </w:tcPr>
          <w:p>
            <w:pPr>
              <w:spacing w:before="200" w:after="100"/>
              <w:jc w:val="center"/>
            </w:pPr>
            <w:r>
              <w:rPr>
                <w:rFonts w:ascii="Arial" w:cs="Arial" w:eastAsia="Arial" w:hAnsi="Arial"/>
                <w:b/>
                <w:bCs/>
                <w:color w:val="FFFFFF"/>
                <w:sz w:val="60"/>
                <w:szCs w:val="60"/>
              </w:rPr>
              <w:t xml:space="preserve">SmartFinPro.com</w:t>
            </w:r>
          </w:p>
          <w:p>
            <w:pPr>
              <w:spacing w:before="60" w:after="60"/>
              <w:jc w:val="center"/>
            </w:pPr>
            <w:r>
              <w:rPr>
                <w:rFonts w:ascii="Arial" w:cs="Arial" w:eastAsia="Arial" w:hAnsi="Arial"/>
                <w:color w:val="AACCEE"/>
                <w:sz w:val="22"/>
                <w:szCs w:val="22"/>
              </w:rPr>
              <w:t xml:space="preserve">─────────────────────────────────────</w:t>
            </w:r>
          </w:p>
          <w:p>
            <w:pPr>
              <w:spacing w:before="100" w:after="100"/>
              <w:jc w:val="center"/>
            </w:pPr>
            <w:r>
              <w:rPr>
                <w:rFonts w:ascii="Arial" w:cs="Arial" w:eastAsia="Arial" w:hAnsi="Arial"/>
                <w:b/>
                <w:bCs/>
                <w:color w:val="F5A623"/>
                <w:sz w:val="28"/>
                <w:szCs w:val="28"/>
              </w:rPr>
              <w:t xml:space="preserve">WEBSITE-KONZEPT &amp; VOLLSTÄNDIGE SEITENSTRUKTUR</w:t>
            </w:r>
          </w:p>
          <w:p>
            <w:pPr>
              <w:spacing w:before="80" w:after="80"/>
              <w:jc w:val="center"/>
            </w:pPr>
            <w:r>
              <w:rPr>
                <w:rFonts w:ascii="Arial" w:cs="Arial" w:eastAsia="Arial" w:hAnsi="Arial"/>
                <w:color w:val="CCDDED"/>
                <w:sz w:val="22"/>
                <w:szCs w:val="22"/>
              </w:rPr>
              <w:t xml:space="preserve">Hochkonvertierende Finanz-Affiliate-Plattform für USA · UK · Australien · Kanada</w:t>
            </w:r>
          </w:p>
          <w:p>
            <w:pPr>
              <w:spacing w:before="200" w:after="100"/>
              <w:jc w:val="center"/>
            </w:pPr>
            <w:r>
              <w:rPr>
                <w:rFonts w:ascii="Arial" w:cs="Arial" w:eastAsia="Arial" w:hAnsi="Arial"/>
                <w:color w:val="AACCEE"/>
                <w:sz w:val="18"/>
                <w:szCs w:val="18"/>
              </w:rPr>
              <w:t xml:space="preserve">Stand: Februar 2026  |  Version 1.0  |  Vertraulich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Zielmarkt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 UK, Australien, Kanada (Tier-1)</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Strategie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Topical Authority + Vertrauensarchitektur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Monetarisierung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High-Ticket Affiliate (CPA + RevShare)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Umsatzziel (18 Monate)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USD 31.000 / Monat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Technische Basis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 Thrive Suite + Claude Code</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1. Executive Summary &amp; Geschäftsstrategie</w:t>
      </w:r>
    </w:p>
    <w:p>
      <w:pPr>
        <w:spacing w:before="80" w:after="80"/>
      </w:pPr>
      <w:r>
        <w:t xml:space="preserve"/>
      </w:r>
    </w:p>
    <w:p>
      <w:pPr>
        <w:spacing w:before="100" w:after="120"/>
      </w:pPr>
      <w:r>
        <w:rPr>
          <w:rFonts w:ascii="Arial" w:cs="Arial" w:eastAsia="Arial" w:hAnsi="Arial"/>
          <w:color w:val="333333"/>
          <w:sz w:val="22"/>
          <w:szCs w:val="22"/>
        </w:rPr>
        <w:t xml:space="preserve">SmartFinPro.com ist eine internationale Finanz-Affiliate-Plattform, die auf fünf strategische Vertikale in den vier reichsten englischsprachigen Märkten ausgerichtet ist. Die Plattform nutzt das Marktumfeld 2026 – Rekordverschuldung, Zinswende und KI-Suche – um durch tiefgreifende Themenautorität und radikale Vertrauensarchitektur zu skalieren.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MARKTCHANCE 2026</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60"/>
            </w:pPr>
            <w:r>
              <w:rPr>
                <w:rFonts w:ascii="Arial" w:cs="Arial" w:eastAsia="Arial" w:hAnsi="Arial"/>
                <w:sz w:val="22"/>
                <w:szCs w:val="22"/>
              </w:rPr>
              <w:t xml:space="preserve">Das aktuelle Marktumfeld bietet außergewöhnliche Affiliate-Chancen:</w:t>
            </w:r>
          </w:p>
          <w:p>
            <w:pPr>
              <w:pStyle w:val="ListParagraph"/>
              <w:numPr>
                <w:ilvl w:val="0"/>
                <w:numId w:val="2"/>
              </w:numPr>
              <w:spacing w:before="40" w:after="40"/>
            </w:pPr>
            <w:r>
              <w:rPr>
                <w:rFonts w:ascii="Arial" w:cs="Arial" w:eastAsia="Arial" w:hAnsi="Arial"/>
                <w:sz w:val="21"/>
                <w:szCs w:val="21"/>
              </w:rPr>
              <w:t xml:space="preserve">US-Kreditkartenverschuldung auf Rekordniveau → Riesige Nachfrage nach Debt Relief &amp; Credit Repair</w:t>
            </w:r>
          </w:p>
          <w:p>
            <w:pPr>
              <w:pStyle w:val="ListParagraph"/>
              <w:numPr>
                <w:ilvl w:val="0"/>
                <w:numId w:val="2"/>
              </w:numPr>
              <w:spacing w:before="40" w:after="40"/>
            </w:pPr>
            <w:r>
              <w:rPr>
                <w:rFonts w:ascii="Arial" w:cs="Arial" w:eastAsia="Arial" w:hAnsi="Arial"/>
                <w:sz w:val="21"/>
                <w:szCs w:val="21"/>
              </w:rPr>
              <w:t xml:space="preserve">UK-Hypothekenwelle (auslaufende Festhypotheken) → Hohe Intent-Anfragen zu Remortgaging</w:t>
            </w:r>
          </w:p>
          <w:p>
            <w:pPr>
              <w:pStyle w:val="ListParagraph"/>
              <w:numPr>
                <w:ilvl w:val="0"/>
                <w:numId w:val="2"/>
              </w:numPr>
              <w:spacing w:before="40" w:after="40"/>
            </w:pPr>
            <w:r>
              <w:rPr>
                <w:rFonts w:ascii="Arial" w:cs="Arial" w:eastAsia="Arial" w:hAnsi="Arial"/>
                <w:sz w:val="21"/>
                <w:szCs w:val="21"/>
              </w:rPr>
              <w:t xml:space="preserve">Australien-Superannuation-Reform → Steueränderungen treiben Nachfrage nach Beratungs-Content</w:t>
            </w:r>
          </w:p>
          <w:p>
            <w:pPr>
              <w:pStyle w:val="ListParagraph"/>
              <w:numPr>
                <w:ilvl w:val="0"/>
                <w:numId w:val="2"/>
              </w:numPr>
              <w:spacing w:before="40" w:after="40"/>
            </w:pPr>
            <w:r>
              <w:rPr>
                <w:rFonts w:ascii="Arial" w:cs="Arial" w:eastAsia="Arial" w:hAnsi="Arial"/>
                <w:sz w:val="21"/>
                <w:szCs w:val="21"/>
              </w:rPr>
              <w:t xml:space="preserve">Kanada TFSA/RRSP &amp; FHSA → Wachstum bei Tax-Efficient-Investing-Suchanfragen</w:t>
            </w:r>
          </w:p>
          <w:p>
            <w:pPr>
              <w:pStyle w:val="ListParagraph"/>
              <w:numPr>
                <w:ilvl w:val="0"/>
                <w:numId w:val="2"/>
              </w:numPr>
              <w:spacing w:before="40" w:after="40"/>
            </w:pPr>
            <w:r>
              <w:rPr>
                <w:rFonts w:ascii="Arial" w:cs="Arial" w:eastAsia="Arial" w:hAnsi="Arial"/>
                <w:sz w:val="21"/>
                <w:szCs w:val="21"/>
              </w:rPr>
              <w:t xml:space="preserve">AI Financial Coaching &amp; ESG Investing → Cross-Market Wachstumsnischen 2026</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2. Vollständige Sitemap &amp; URL-Struktur</w:t>
      </w:r>
    </w:p>
    <w:p>
      <w:pPr>
        <w:spacing w:before="80" w:after="80"/>
      </w:pPr>
      <w:r>
        <w:t xml:space="preserve"/>
      </w:r>
    </w:p>
    <w:p>
      <w:pPr>
        <w:spacing w:before="100" w:after="120"/>
      </w:pPr>
      <w:r>
        <w:rPr>
          <w:rFonts w:ascii="Arial" w:cs="Arial" w:eastAsia="Arial" w:hAnsi="Arial"/>
          <w:color w:val="333333"/>
          <w:sz w:val="22"/>
          <w:szCs w:val="22"/>
        </w:rPr>
        <w:t xml:space="preserve">Die gesamte Website ist in klar getrennte Länder-Silos und Cross-Market-Hubs unterteilt. Jedes Silo baut Topical Authority in genau einem Kernthema auf, das den größten Schmerzpunkt (Pain Point) des jeweiligen Marktes adressiert.</w:t>
      </w:r>
    </w:p>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2.1 Haupt-Navigation &amp; Startseite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Seitenname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Zweck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Homepage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Trust-Hub + Country Selector + Top-Offers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smartfinpro.com/about/</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Über uns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E-E-A-T Seite, Autoren, Methodik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smartfinpro.com/contact/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Kontakt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Kontaktformular + Offenlegung</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smartfinpro.com/affiliate-disclosure/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Offenlegung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Pflicht-Disclaimer (FTC/ASA/etc.)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smartfinpro.com/editorial-policy/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Redaktions-Richtlinien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Wie wir Produkte testen &amp; bewerten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smartfinpro.com/privacy-policy/</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Datenschutz</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GDPR/CCPA konform</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2.2 🇺🇸 USA-Silo: Credit Repair &amp; Debt Relief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5E8F0" w:val="clear"/>
            <w:tcMar>
              <w:top w:type="dxa" w:w="80"/>
              <w:left w:type="dxa" w:w="80"/>
              <w:bottom w:type="dxa" w:w="80"/>
              <w:right w:type="dxa" w:w="80"/>
            </w:tcMar>
          </w:tcPr>
          <w:p>
            <w:pPr>
              <w:jc w:val="center"/>
            </w:pPr>
            <w:r>
              <w:rPr>
                <w:rFonts w:ascii="Segoe UI Emoji" w:cs="Segoe UI Emoji" w:eastAsia="Segoe UI Emoji" w:hAnsi="Segoe UI Emoji"/>
                <w:sz w:val="28"/>
                <w:szCs w:val="28"/>
              </w:rPr>
              <w:t xml:space="preserve">🇺🇸</w:t>
            </w:r>
          </w:p>
        </w:tc>
        <w:tc>
          <w:tcPr>
            <w:tcW w:type="dxa" w:w="8660"/>
            <w:tcBorders>
              <w:top w:val="none" w:color="FFFFFF" w:sz="0"/>
              <w:left w:val="none" w:color="FFFFFF" w:sz="0"/>
              <w:bottom w:val="none" w:color="FFFFFF" w:sz="0"/>
              <w:right w:val="none" w:color="FFFFFF" w:sz="0"/>
            </w:tcBorders>
            <w:shd w:fill="F2F4F8" w:val="clear"/>
            <w:tcMar>
              <w:top w:type="dxa" w:w="80"/>
              <w:left w:type="dxa" w:w="160"/>
              <w:bottom w:type="dxa" w:w="80"/>
              <w:right w:type="dxa" w:w="120"/>
            </w:tcMar>
          </w:tcPr>
          <w:p>
            <w:r>
              <w:rPr>
                <w:rFonts w:ascii="Arial" w:cs="Arial" w:eastAsia="Arial" w:hAnsi="Arial"/>
                <w:b/>
                <w:bCs/>
                <w:color w:val="1B4F8C"/>
                <w:sz w:val="22"/>
                <w:szCs w:val="22"/>
              </w:rPr>
              <w:t xml:space="preserve">USA – Silo: Credit Repair &amp; Debt Relief</w:t>
            </w:r>
          </w:p>
          <w:p>
            <w:r>
              <w:rPr>
                <w:rFonts w:ascii="Arial" w:cs="Arial" w:eastAsia="Arial" w:hAnsi="Arial"/>
                <w:color w:val="444444"/>
                <w:sz w:val="20"/>
                <w:szCs w:val="20"/>
              </w:rPr>
              <w:t xml:space="preserve">Fokus-Schmerz: Rekordverschuldung → Kreditkarten-Schulden → Bonitätsprobleme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Seitenname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Content-Typ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smartfinpro.com/us/credit-repair/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PILLAR: Credit Repair 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Informational – Haupt-Landingpage des Silos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smartfinpro.com/us/debt-relief/</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PILLAR: Debt Relief Guide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Informational – Schuldenabbau-Überblick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smartfinpro.com/us/credit-repair/best-credit-repair-companies/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Best Credit Repair Companies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Comparison – Hauptkonversions-Seite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smartfinpro.com/us/credit-repair/credit-repair-vs-debt-consolidation/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Credit Repair vs Debt Consolidation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Comparison – A-vs-B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smartfinpro.com/us/credit-repair/the-credit-people-review/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Credit People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Product Review – High-Ticket Affiliate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smartfinpro.com/us/credit-repair/lexington-law-review/</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Lexington Law Review</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Product Review – Affiliate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smartfinpro.com/us/credit-repair/how-to-fix-credit-score-fast/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How to Fix Credit Score Fast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Problem-Solution – High Intent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smartfinpro.com/us/debt-relief/debt-consolidation-loans-bad-credit/</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Debt Consolidation Loans Bad Credit</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Problem-Solution – High Intent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smartfinpro.com/us/debt-relief/national-debt-relief-review/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National Debt Relief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Product Review – High-Ticket CPA</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smartfinpro.com/us/credit-score/free-credit-score-check/</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Free Credit Score Check</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Lead-Gen Tool – Einstiegs-Funnel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smartfinpro.com/us/credit-score/credit-score-simulator/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Credit Score Simulator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Interactive Tool – Engagement</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2.3 🇬🇧 UK-Silo: Mortgage Refinancing &amp; Cost of Living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5F0E0" w:val="clear"/>
            <w:tcMar>
              <w:top w:type="dxa" w:w="80"/>
              <w:left w:type="dxa" w:w="80"/>
              <w:bottom w:type="dxa" w:w="80"/>
              <w:right w:type="dxa" w:w="80"/>
            </w:tcMar>
          </w:tcPr>
          <w:p>
            <w:pPr>
              <w:jc w:val="center"/>
            </w:pPr>
            <w:r>
              <w:rPr>
                <w:rFonts w:ascii="Segoe UI Emoji" w:cs="Segoe UI Emoji" w:eastAsia="Segoe UI Emoji" w:hAnsi="Segoe UI Emoji"/>
                <w:sz w:val="28"/>
                <w:szCs w:val="28"/>
              </w:rPr>
              <w:t xml:space="preserve">🇬🇧</w:t>
            </w:r>
          </w:p>
        </w:tc>
        <w:tc>
          <w:tcPr>
            <w:tcW w:type="dxa" w:w="8660"/>
            <w:tcBorders>
              <w:top w:val="none" w:color="FFFFFF" w:sz="0"/>
              <w:left w:val="none" w:color="FFFFFF" w:sz="0"/>
              <w:bottom w:val="none" w:color="FFFFFF" w:sz="0"/>
              <w:right w:val="none" w:color="FFFFFF" w:sz="0"/>
            </w:tcBorders>
            <w:shd w:fill="F2F4F8" w:val="clear"/>
            <w:tcMar>
              <w:top w:type="dxa" w:w="80"/>
              <w:left w:type="dxa" w:w="160"/>
              <w:bottom w:type="dxa" w:w="80"/>
              <w:right w:type="dxa" w:w="120"/>
            </w:tcMar>
          </w:tcPr>
          <w:p>
            <w:r>
              <w:rPr>
                <w:rFonts w:ascii="Arial" w:cs="Arial" w:eastAsia="Arial" w:hAnsi="Arial"/>
                <w:b/>
                <w:bCs/>
                <w:color w:val="1B4F8C"/>
                <w:sz w:val="22"/>
                <w:szCs w:val="22"/>
              </w:rPr>
              <w:t xml:space="preserve">UK – Silo: Remortgaging &amp; Cost of Living</w:t>
            </w:r>
          </w:p>
          <w:p>
            <w:r>
              <w:rPr>
                <w:rFonts w:ascii="Arial" w:cs="Arial" w:eastAsia="Arial" w:hAnsi="Arial"/>
                <w:color w:val="444444"/>
                <w:sz w:val="20"/>
                <w:szCs w:val="20"/>
              </w:rPr>
              <w:t xml:space="preserve">Fokus-Schmerz: Auslaufende Festhypotheken + Lebenshaltungskosten-Krise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Seitenname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Content-Typ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smartfinpro.com/uk/remortgaging/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PILLAR: Remortgaging UK 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Informational – Pillar Page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smartfinpro.com/uk/cost-of-living/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PILLAR: Cost of Living Strategies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Informational – Pillar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smartfinpro.com/uk/remortgaging/best-mortgage-brokers-uk/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Best Mortgage Brokers 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Comparison – Top-Konversionsseite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smartfinpro.com/uk/remortgaging/habito-review/</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Habito Review</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Product Review – Habito Affiliate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smartfinpro.com/uk/remortgaging/fixed-rate-ending-what-to-do/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Fixed Rate Ending – What to 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Problem-Solution – Hoher Intent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smartfinpro.com/uk/remortgaging/remortgage-calculator/</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Remortgage Calculator UK</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Interactive Tool – Lead-Gen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smartfinpro.com/uk/remortgaging/habito-vs-trussle/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Habito vs Trussle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Comparison – A-vs-B</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smartfinpro.com/uk/savings/best-high-yield-savings-uk/</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Best High Yield Savings UK</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Comparison – Affiliate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smartfinpro.com/uk/cost-of-living/how-to-reduce-energy-bills-uk/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How to Reduce Energy Bills 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Problem-Solution</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2.4 🇦🇺 Australien-Silo: Superannuation &amp; Sichere Werte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FF3D5" w:val="clear"/>
            <w:tcMar>
              <w:top w:type="dxa" w:w="80"/>
              <w:left w:type="dxa" w:w="80"/>
              <w:bottom w:type="dxa" w:w="80"/>
              <w:right w:type="dxa" w:w="80"/>
            </w:tcMar>
          </w:tcPr>
          <w:p>
            <w:pPr>
              <w:jc w:val="center"/>
            </w:pPr>
            <w:r>
              <w:rPr>
                <w:rFonts w:ascii="Segoe UI Emoji" w:cs="Segoe UI Emoji" w:eastAsia="Segoe UI Emoji" w:hAnsi="Segoe UI Emoji"/>
                <w:sz w:val="28"/>
                <w:szCs w:val="28"/>
              </w:rPr>
              <w:t xml:space="preserve">🇦🇺</w:t>
            </w:r>
          </w:p>
        </w:tc>
        <w:tc>
          <w:tcPr>
            <w:tcW w:type="dxa" w:w="8660"/>
            <w:tcBorders>
              <w:top w:val="none" w:color="FFFFFF" w:sz="0"/>
              <w:left w:val="none" w:color="FFFFFF" w:sz="0"/>
              <w:bottom w:val="none" w:color="FFFFFF" w:sz="0"/>
              <w:right w:val="none" w:color="FFFFFF" w:sz="0"/>
            </w:tcBorders>
            <w:shd w:fill="F2F4F8" w:val="clear"/>
            <w:tcMar>
              <w:top w:type="dxa" w:w="80"/>
              <w:left w:type="dxa" w:w="160"/>
              <w:bottom w:type="dxa" w:w="80"/>
              <w:right w:type="dxa" w:w="120"/>
            </w:tcMar>
          </w:tcPr>
          <w:p>
            <w:r>
              <w:rPr>
                <w:rFonts w:ascii="Arial" w:cs="Arial" w:eastAsia="Arial" w:hAnsi="Arial"/>
                <w:b/>
                <w:bCs/>
                <w:color w:val="1B4F8C"/>
                <w:sz w:val="22"/>
                <w:szCs w:val="22"/>
              </w:rPr>
              <w:t xml:space="preserve">Australien – Silo: Superannuation &amp; Sachwerte</w:t>
            </w:r>
          </w:p>
          <w:p>
            <w:r>
              <w:rPr>
                <w:rFonts w:ascii="Arial" w:cs="Arial" w:eastAsia="Arial" w:hAnsi="Arial"/>
                <w:color w:val="444444"/>
                <w:sz w:val="20"/>
                <w:szCs w:val="20"/>
              </w:rPr>
              <w:t xml:space="preserve">Fokus-Schmerz: Super-Steuerreform + Inflationsschutz durch Gold (Perth Mint)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Seitenname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Content-Typ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smartfinpro.com/au/superannuation/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PILLAR: Superannuation 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Informational – Pillar Page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smartfinpro.com/au/gold-investing/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PILLAR: Gold Investing AU Guide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Informational – Trust-Anker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smartfinpro.com/au/superannuation/division-296-tax-explained/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Division 296 Super Tax Explained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Informational – Trend-Content 2026</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smartfinpro.com/au/superannuation/best-super-funds-australia/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Best Super Funds Australia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Comparison – Hauptkonversionsseite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smartfinpro.com/au/superannuation/self-managed-super-fund-setup/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How to Set Up an SMSF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Problem-Solution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smartfinpro.com/au/gold-investing/perth-mint-review/</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Perth Mint Review</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Product Review – Trust-Affiliate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smartfinpro.com/au/gold-investing/how-to-buy-gold-australia/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How to Buy Gold in Australia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Problem-Solution – Sachwerte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smartfinpro.com/au/savings/high-yield-savings-accounts-au/</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High Yield Savings Accounts AU</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Comparison – Affiliate</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2.5 🇨🇦 Kanada-Silo: Tax-Efficient Investing &amp; Housing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FE5E5" w:val="clear"/>
            <w:tcMar>
              <w:top w:type="dxa" w:w="80"/>
              <w:left w:type="dxa" w:w="80"/>
              <w:bottom w:type="dxa" w:w="80"/>
              <w:right w:type="dxa" w:w="80"/>
            </w:tcMar>
          </w:tcPr>
          <w:p>
            <w:pPr>
              <w:jc w:val="center"/>
            </w:pPr>
            <w:r>
              <w:rPr>
                <w:rFonts w:ascii="Segoe UI Emoji" w:cs="Segoe UI Emoji" w:eastAsia="Segoe UI Emoji" w:hAnsi="Segoe UI Emoji"/>
                <w:sz w:val="28"/>
                <w:szCs w:val="28"/>
              </w:rPr>
              <w:t xml:space="preserve">🇨🇦</w:t>
            </w:r>
          </w:p>
        </w:tc>
        <w:tc>
          <w:tcPr>
            <w:tcW w:type="dxa" w:w="8660"/>
            <w:tcBorders>
              <w:top w:val="none" w:color="FFFFFF" w:sz="0"/>
              <w:left w:val="none" w:color="FFFFFF" w:sz="0"/>
              <w:bottom w:val="none" w:color="FFFFFF" w:sz="0"/>
              <w:right w:val="none" w:color="FFFFFF" w:sz="0"/>
            </w:tcBorders>
            <w:shd w:fill="F2F4F8" w:val="clear"/>
            <w:tcMar>
              <w:top w:type="dxa" w:w="80"/>
              <w:left w:type="dxa" w:w="160"/>
              <w:bottom w:type="dxa" w:w="80"/>
              <w:right w:type="dxa" w:w="120"/>
            </w:tcMar>
          </w:tcPr>
          <w:p>
            <w:r>
              <w:rPr>
                <w:rFonts w:ascii="Arial" w:cs="Arial" w:eastAsia="Arial" w:hAnsi="Arial"/>
                <w:b/>
                <w:bCs/>
                <w:color w:val="1B4F8C"/>
                <w:sz w:val="22"/>
                <w:szCs w:val="22"/>
              </w:rPr>
              <w:t xml:space="preserve">Kanada – Silo: Steuereffizientes Investieren &amp; Immobilien</w:t>
            </w:r>
          </w:p>
          <w:p>
            <w:r>
              <w:rPr>
                <w:rFonts w:ascii="Arial" w:cs="Arial" w:eastAsia="Arial" w:hAnsi="Arial"/>
                <w:color w:val="444444"/>
                <w:sz w:val="20"/>
                <w:szCs w:val="20"/>
              </w:rPr>
              <w:t xml:space="preserve">Fokus-Schmerz: Immobilienkrise + TFSA/RRSP/FHSA Optimierungsbedarf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Seitenname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Content-Typ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smartfinpro.com/ca/tax-efficient-investing/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PILLAR: Tax-Efficient Investing 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Informational – Pillar Page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smartfinpro.com/ca/housing/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PILLAR: Housing Affordability CA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Informational – Pillar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smartfinpro.com/ca/tax-efficient-investing/tfsa-vs-rrsp/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TFSA vs RRSP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Comparison – A-vs-B</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smartfinpro.com/ca/tax-efficient-investing/fhsa-guide/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FHSA Guide Canada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Informational – Trending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smartfinpro.com/ca/tax-efficient-investing/wealthsimple-vs-questrade/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Wealthsimple vs Questrade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Comparison – Affiliate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smartfinpro.com/ca/tax-efficient-investing/best-robo-advisors-canada/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Best Robo-Advisors Canada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Comparison – Hauptkonversionsseite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smartfinpro.com/ca/housing/first-time-home-buyer-grants-canada/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First-Time Home Buyer Grants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Informational + Problem-Solution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smartfinpro.com/ca/housing/best-mortgage-rates-canada/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Best Mortgage Rates Canada</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Comparison – Affiliate</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2.6 🌍 Cross-Market-Hubs (Alle 4 Märkte)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Seitenname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Content-Typ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smartfinpro.com/ai-financial-coaching/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AI Financial Coaching 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Emerging Niche 2026 – Pillar</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smartfinpro.com/ai-financial-coaching/best-ai-financial-advisors/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Best AI Financial Advisors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Comparison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smartfinpro.com/ai-financial-coaching/what-is-ai-financial-coaching/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What Is AI Financial Coaching?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Informational</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smartfinpro.com/green-finance/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Green Finance &amp; ESG Hub</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Emerging Niche 2026 – Pillar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smartfinpro.com/green-finance/best-esg-funds-2026/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Best ESG Funds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Comparison – Affiliate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smartfinpro.com/green-finance/green-mortgage-guide/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Green Mortgage Guide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Informational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smartfinpro.com/tools/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Financial Tools 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Interaktive Rechner-Sammlung</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3. Detaillierter Seitenaufbau (On-Page-Struktur)</w:t>
      </w:r>
    </w:p>
    <w:p>
      <w:pPr>
        <w:spacing w:before="80" w:after="80"/>
      </w:pPr>
      <w:r>
        <w:t xml:space="preserve"/>
      </w:r>
    </w:p>
    <w:p>
      <w:pPr>
        <w:spacing w:before="100" w:after="120"/>
      </w:pPr>
      <w:r>
        <w:rPr>
          <w:rFonts w:ascii="Arial" w:cs="Arial" w:eastAsia="Arial" w:hAnsi="Arial"/>
          <w:color w:val="333333"/>
          <w:sz w:val="22"/>
          <w:szCs w:val="22"/>
        </w:rPr>
        <w:t xml:space="preserve">Jede Seite des Website folgt einer präzisen Strukturvorlage, angepasst an den jeweiligen Content-Typ. Hier sind die drei Hauptvorlagen im Detail:</w:t>
      </w:r>
    </w:p>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3.1 PILLAR PAGE – Template (Beispiel: Credit Repair Guide)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SEITEN-ANATOMIE: PILLAR PAGE</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80" w:after="60"/>
            </w:pPr>
            <w:r>
              <w:rPr>
                <w:rFonts w:ascii="Arial" w:cs="Arial" w:eastAsia="Arial" w:hAnsi="Arial"/>
                <w:b/>
                <w:bCs/>
                <w:color w:val="1B4F8C"/>
                <w:sz w:val="22"/>
                <w:szCs w:val="22"/>
              </w:rPr>
              <w:t xml:space="preserve">ABSCHNITT 1: HERO-BEREICH (Above the Fold)</w:t>
            </w:r>
          </w:p>
          <w:p>
            <w:pPr>
              <w:pStyle w:val="ListParagraph"/>
              <w:numPr>
                <w:ilvl w:val="0"/>
                <w:numId w:val="2"/>
              </w:numPr>
              <w:spacing w:before="40" w:after="40"/>
            </w:pPr>
            <w:r>
              <w:rPr>
                <w:rFonts w:ascii="Arial" w:cs="Arial" w:eastAsia="Arial" w:hAnsi="Arial"/>
                <w:sz w:val="21"/>
                <w:szCs w:val="21"/>
              </w:rPr>
              <w:t xml:space="preserve">H1-Überschrift: Keyword-optimiert, Problem-adressierend (z.B. 'Credit Repair in 2026: The Complete Guide')</w:t>
            </w:r>
          </w:p>
          <w:p>
            <w:pPr>
              <w:pStyle w:val="ListParagraph"/>
              <w:numPr>
                <w:ilvl w:val="0"/>
                <w:numId w:val="2"/>
              </w:numPr>
              <w:spacing w:before="40" w:after="40"/>
            </w:pPr>
            <w:r>
              <w:rPr>
                <w:rFonts w:ascii="Arial" w:cs="Arial" w:eastAsia="Arial" w:hAnsi="Arial"/>
                <w:sz w:val="21"/>
                <w:szCs w:val="21"/>
              </w:rPr>
              <w:t xml:space="preserve">Trust-Signale: Autor-Name + Foto, Review-Datum, 'Fact-checked by [Expert]', Bewertungssterne</w:t>
            </w:r>
          </w:p>
          <w:p>
            <w:pPr>
              <w:pStyle w:val="ListParagraph"/>
              <w:numPr>
                <w:ilvl w:val="0"/>
                <w:numId w:val="2"/>
              </w:numPr>
              <w:spacing w:before="40" w:after="40"/>
            </w:pPr>
            <w:r>
              <w:rPr>
                <w:rFonts w:ascii="Arial" w:cs="Arial" w:eastAsia="Arial" w:hAnsi="Arial"/>
                <w:sz w:val="21"/>
                <w:szCs w:val="21"/>
              </w:rPr>
              <w:t xml:space="preserve">Quick-Answer-Box: 30-50 Wörter, strukturierte Antwort auf Haupt-Frage → GEO-Snippet-Optimierung</w:t>
            </w:r>
          </w:p>
          <w:p>
            <w:pPr>
              <w:pStyle w:val="ListParagraph"/>
              <w:numPr>
                <w:ilvl w:val="0"/>
                <w:numId w:val="2"/>
              </w:numPr>
              <w:spacing w:before="40" w:after="40"/>
            </w:pPr>
            <w:r>
              <w:rPr>
                <w:rFonts w:ascii="Arial" w:cs="Arial" w:eastAsia="Arial" w:hAnsi="Arial"/>
                <w:sz w:val="21"/>
                <w:szCs w:val="21"/>
              </w:rPr>
              <w:t xml:space="preserve">Table of Contents: Anker-Links zu allen Abschnitten (verbessert Dwell-Time)</w:t>
            </w:r>
          </w:p>
          <w:p>
            <w:pPr>
              <w:spacing w:before="100" w:after="60"/>
            </w:pPr>
            <w:r>
              <w:rPr>
                <w:rFonts w:ascii="Arial" w:cs="Arial" w:eastAsia="Arial" w:hAnsi="Arial"/>
                <w:b/>
                <w:bCs/>
                <w:color w:val="1B4F8C"/>
                <w:sz w:val="22"/>
                <w:szCs w:val="22"/>
              </w:rPr>
              <w:t xml:space="preserve">ABSCHNITT 2: EDITORIAL CONTENT (Hauptteil)</w:t>
            </w:r>
          </w:p>
          <w:p>
            <w:pPr>
              <w:pStyle w:val="ListParagraph"/>
              <w:numPr>
                <w:ilvl w:val="0"/>
                <w:numId w:val="2"/>
              </w:numPr>
              <w:spacing w:before="40" w:after="40"/>
            </w:pPr>
            <w:r>
              <w:rPr>
                <w:rFonts w:ascii="Arial" w:cs="Arial" w:eastAsia="Arial" w:hAnsi="Arial"/>
                <w:sz w:val="21"/>
                <w:szCs w:val="21"/>
              </w:rPr>
              <w:t xml:space="preserve">2.500–4.500 Wörter tiefgründiger Inhalt (Micro-Intent Coverage)</w:t>
            </w:r>
          </w:p>
          <w:p>
            <w:pPr>
              <w:pStyle w:val="ListParagraph"/>
              <w:numPr>
                <w:ilvl w:val="0"/>
                <w:numId w:val="2"/>
              </w:numPr>
              <w:spacing w:before="40" w:after="40"/>
            </w:pPr>
            <w:r>
              <w:rPr>
                <w:rFonts w:ascii="Arial" w:cs="Arial" w:eastAsia="Arial" w:hAnsi="Arial"/>
                <w:sz w:val="21"/>
                <w:szCs w:val="21"/>
              </w:rPr>
              <w:t xml:space="preserve">Cluster-Verlinkungen: Interne Links zu allen Cluster-Seiten des Silos</w:t>
            </w:r>
          </w:p>
          <w:p>
            <w:pPr>
              <w:pStyle w:val="ListParagraph"/>
              <w:numPr>
                <w:ilvl w:val="0"/>
                <w:numId w:val="2"/>
              </w:numPr>
              <w:spacing w:before="40" w:after="40"/>
            </w:pPr>
            <w:r>
              <w:rPr>
                <w:rFonts w:ascii="Arial" w:cs="Arial" w:eastAsia="Arial" w:hAnsi="Arial"/>
                <w:sz w:val="21"/>
                <w:szCs w:val="21"/>
              </w:rPr>
              <w:t xml:space="preserve">Experten-Quotes: Eingebettete Aussagen von Fachexperten mit Schema-Markup</w:t>
            </w:r>
          </w:p>
          <w:p>
            <w:pPr>
              <w:pStyle w:val="ListParagraph"/>
              <w:numPr>
                <w:ilvl w:val="0"/>
                <w:numId w:val="2"/>
              </w:numPr>
              <w:spacing w:before="40" w:after="40"/>
            </w:pPr>
            <w:r>
              <w:rPr>
                <w:rFonts w:ascii="Arial" w:cs="Arial" w:eastAsia="Arial" w:hAnsi="Arial"/>
                <w:sz w:val="21"/>
                <w:szCs w:val="21"/>
              </w:rPr>
              <w:t xml:space="preserve">Kosten/ROI-Analyse-Box: Transparente Aufschlüsselung von Kosten und Nutzen</w:t>
            </w:r>
          </w:p>
          <w:p>
            <w:pPr>
              <w:spacing w:before="100" w:after="60"/>
            </w:pPr>
            <w:r>
              <w:rPr>
                <w:rFonts w:ascii="Arial" w:cs="Arial" w:eastAsia="Arial" w:hAnsi="Arial"/>
                <w:b/>
                <w:bCs/>
                <w:color w:val="1B4F8C"/>
                <w:sz w:val="22"/>
                <w:szCs w:val="22"/>
              </w:rPr>
              <w:t xml:space="preserve">ABSCHNITT 3: INTERACTIVE ELEMENTS</w:t>
            </w:r>
          </w:p>
          <w:p>
            <w:pPr>
              <w:pStyle w:val="ListParagraph"/>
              <w:numPr>
                <w:ilvl w:val="0"/>
                <w:numId w:val="2"/>
              </w:numPr>
              <w:spacing w:before="40" w:after="40"/>
            </w:pPr>
            <w:r>
              <w:rPr>
                <w:rFonts w:ascii="Arial" w:cs="Arial" w:eastAsia="Arial" w:hAnsi="Arial"/>
                <w:sz w:val="21"/>
                <w:szCs w:val="21"/>
              </w:rPr>
              <w:t xml:space="preserve">Eingebettetes Tool (z.B. Credit Score Estimator, Debt Payoff Calculator)</w:t>
            </w:r>
          </w:p>
          <w:p>
            <w:pPr>
              <w:pStyle w:val="ListParagraph"/>
              <w:numPr>
                <w:ilvl w:val="0"/>
                <w:numId w:val="2"/>
              </w:numPr>
              <w:spacing w:before="40" w:after="40"/>
            </w:pPr>
            <w:r>
              <w:rPr>
                <w:rFonts w:ascii="Arial" w:cs="Arial" w:eastAsia="Arial" w:hAnsi="Arial"/>
                <w:sz w:val="21"/>
                <w:szCs w:val="21"/>
              </w:rPr>
              <w:t xml:space="preserve">15-60s Erklärvideo (authentisch, keine Hochglanz-KI-Optik)</w:t>
            </w:r>
          </w:p>
          <w:p>
            <w:pPr>
              <w:pStyle w:val="ListParagraph"/>
              <w:numPr>
                <w:ilvl w:val="0"/>
                <w:numId w:val="2"/>
              </w:numPr>
              <w:spacing w:before="40" w:after="40"/>
            </w:pPr>
            <w:r>
              <w:rPr>
                <w:rFonts w:ascii="Arial" w:cs="Arial" w:eastAsia="Arial" w:hAnsi="Arial"/>
                <w:sz w:val="21"/>
                <w:szCs w:val="21"/>
              </w:rPr>
              <w:t xml:space="preserve">Vergleichs-Widget: Top-3-Affiliate-Produkte mit Bewertungs-Karten</w:t>
            </w:r>
          </w:p>
          <w:p>
            <w:pPr>
              <w:spacing w:before="100" w:after="60"/>
            </w:pPr>
            <w:r>
              <w:rPr>
                <w:rFonts w:ascii="Arial" w:cs="Arial" w:eastAsia="Arial" w:hAnsi="Arial"/>
                <w:b/>
                <w:bCs/>
                <w:color w:val="1B4F8C"/>
                <w:sz w:val="22"/>
                <w:szCs w:val="22"/>
              </w:rPr>
              <w:t xml:space="preserve">ABSCHNITT 4: FAQ &amp; GLOSSAR (GEO-Optimierung)</w:t>
            </w:r>
          </w:p>
          <w:p>
            <w:pPr>
              <w:pStyle w:val="ListParagraph"/>
              <w:numPr>
                <w:ilvl w:val="0"/>
                <w:numId w:val="2"/>
              </w:numPr>
              <w:spacing w:before="40" w:after="40"/>
            </w:pPr>
            <w:r>
              <w:rPr>
                <w:rFonts w:ascii="Arial" w:cs="Arial" w:eastAsia="Arial" w:hAnsi="Arial"/>
                <w:sz w:val="21"/>
                <w:szCs w:val="21"/>
              </w:rPr>
              <w:t xml:space="preserve">8-12 FAQs mit strukturierten, präzisen Antworten (Schema: FAQPage)</w:t>
            </w:r>
          </w:p>
          <w:p>
            <w:pPr>
              <w:pStyle w:val="ListParagraph"/>
              <w:numPr>
                <w:ilvl w:val="0"/>
                <w:numId w:val="2"/>
              </w:numPr>
              <w:spacing w:before="40" w:after="40"/>
            </w:pPr>
            <w:r>
              <w:rPr>
                <w:rFonts w:ascii="Arial" w:cs="Arial" w:eastAsia="Arial" w:hAnsi="Arial"/>
                <w:sz w:val="21"/>
                <w:szCs w:val="21"/>
              </w:rPr>
              <w:t xml:space="preserve">Glossar-Abschnitt: Definitionen wichtiger Fachbegriffe</w:t>
            </w:r>
          </w:p>
          <w:p>
            <w:pPr>
              <w:spacing w:before="100" w:after="60"/>
            </w:pPr>
            <w:r>
              <w:rPr>
                <w:rFonts w:ascii="Arial" w:cs="Arial" w:eastAsia="Arial" w:hAnsi="Arial"/>
                <w:b/>
                <w:bCs/>
                <w:color w:val="1B4F8C"/>
                <w:sz w:val="22"/>
                <w:szCs w:val="22"/>
              </w:rPr>
              <w:t xml:space="preserve">ABSCHNITT 5: CTA &amp; CONVERSION</w:t>
            </w:r>
          </w:p>
          <w:p>
            <w:pPr>
              <w:pStyle w:val="ListParagraph"/>
              <w:numPr>
                <w:ilvl w:val="0"/>
                <w:numId w:val="2"/>
              </w:numPr>
              <w:spacing w:before="40" w:after="40"/>
            </w:pPr>
            <w:r>
              <w:rPr>
                <w:rFonts w:ascii="Arial" w:cs="Arial" w:eastAsia="Arial" w:hAnsi="Arial"/>
                <w:sz w:val="21"/>
                <w:szCs w:val="21"/>
              </w:rPr>
              <w:t xml:space="preserve">Sticky CTA-Banner: Floating-Button mit Top-Affiliate-Angebot</w:t>
            </w:r>
          </w:p>
          <w:p>
            <w:pPr>
              <w:pStyle w:val="ListParagraph"/>
              <w:numPr>
                <w:ilvl w:val="0"/>
                <w:numId w:val="2"/>
              </w:numPr>
              <w:spacing w:before="40" w:after="40"/>
            </w:pPr>
            <w:r>
              <w:rPr>
                <w:rFonts w:ascii="Arial" w:cs="Arial" w:eastAsia="Arial" w:hAnsi="Arial"/>
                <w:sz w:val="21"/>
                <w:szCs w:val="21"/>
              </w:rPr>
              <w:t xml:space="preserve">Testimonials: 3-5 authentische Erfahrungsberichte (mit Schema: Review)</w:t>
            </w:r>
          </w:p>
          <w:p>
            <w:pPr>
              <w:pStyle w:val="ListParagraph"/>
              <w:numPr>
                <w:ilvl w:val="0"/>
                <w:numId w:val="2"/>
              </w:numPr>
              <w:spacing w:before="40" w:after="40"/>
            </w:pPr>
            <w:r>
              <w:rPr>
                <w:rFonts w:ascii="Arial" w:cs="Arial" w:eastAsia="Arial" w:hAnsi="Arial"/>
                <w:sz w:val="21"/>
                <w:szCs w:val="21"/>
              </w:rPr>
              <w:t xml:space="preserve">Newsletter-Opt-In: Lead-Magnet (z.B. 'Free Credit Score Checklist PDF')</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3.2 COMPARISON PAGE – Template (Beispiel: Best Credit Repair Companies)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SEITEN-ANATOMIE: COMPARISON PAGE (höchste Conversion-Seite)</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80" w:after="60"/>
            </w:pPr>
            <w:r>
              <w:rPr>
                <w:rFonts w:ascii="Arial" w:cs="Arial" w:eastAsia="Arial" w:hAnsi="Arial"/>
                <w:b/>
                <w:bCs/>
                <w:color w:val="1B4F8C"/>
                <w:sz w:val="22"/>
                <w:szCs w:val="22"/>
              </w:rPr>
              <w:t xml:space="preserve">ABSCHNITT 1: VERDICT-BOX (Above the Fold)</w:t>
            </w:r>
          </w:p>
          <w:p>
            <w:pPr>
              <w:pStyle w:val="ListParagraph"/>
              <w:numPr>
                <w:ilvl w:val="0"/>
                <w:numId w:val="2"/>
              </w:numPr>
              <w:spacing w:before="40" w:after="40"/>
            </w:pPr>
            <w:r>
              <w:rPr>
                <w:rFonts w:ascii="Arial" w:cs="Arial" w:eastAsia="Arial" w:hAnsi="Arial"/>
                <w:sz w:val="21"/>
                <w:szCs w:val="21"/>
              </w:rPr>
              <w:t xml:space="preserve">H1 + Editor's Verdict: 'Our #1 Pick for Credit Repair in 2026'</w:t>
            </w:r>
          </w:p>
          <w:p>
            <w:pPr>
              <w:pStyle w:val="ListParagraph"/>
              <w:numPr>
                <w:ilvl w:val="0"/>
                <w:numId w:val="2"/>
              </w:numPr>
              <w:spacing w:before="40" w:after="40"/>
            </w:pPr>
            <w:r>
              <w:rPr>
                <w:rFonts w:ascii="Arial" w:cs="Arial" w:eastAsia="Arial" w:hAnsi="Arial"/>
                <w:sz w:val="21"/>
                <w:szCs w:val="21"/>
              </w:rPr>
              <w:t xml:space="preserve">Winner-Card: Produkt-Logo, Bewertung (z.B. 4.8/5), 3 Bullet-USPs, CTA-Button</w:t>
            </w:r>
          </w:p>
          <w:p>
            <w:pPr>
              <w:pStyle w:val="ListParagraph"/>
              <w:numPr>
                <w:ilvl w:val="0"/>
                <w:numId w:val="2"/>
              </w:numPr>
              <w:spacing w:before="40" w:after="40"/>
            </w:pPr>
            <w:r>
              <w:rPr>
                <w:rFonts w:ascii="Arial" w:cs="Arial" w:eastAsia="Arial" w:hAnsi="Arial"/>
                <w:sz w:val="21"/>
                <w:szCs w:val="21"/>
              </w:rPr>
              <w:t xml:space="preserve">Methodik-Hinweis: 'Tested by [Autor]. Updated [Datum]. Independent research.'</w:t>
            </w:r>
          </w:p>
          <w:p>
            <w:pPr>
              <w:spacing w:before="100" w:after="60"/>
            </w:pPr>
            <w:r>
              <w:rPr>
                <w:rFonts w:ascii="Arial" w:cs="Arial" w:eastAsia="Arial" w:hAnsi="Arial"/>
                <w:b/>
                <w:bCs/>
                <w:color w:val="1B4F8C"/>
                <w:sz w:val="22"/>
                <w:szCs w:val="22"/>
              </w:rPr>
              <w:t xml:space="preserve">ABSCHNITT 2: COMPARISON TABLE</w:t>
            </w:r>
          </w:p>
          <w:p>
            <w:pPr>
              <w:pStyle w:val="ListParagraph"/>
              <w:numPr>
                <w:ilvl w:val="0"/>
                <w:numId w:val="2"/>
              </w:numPr>
              <w:spacing w:before="40" w:after="40"/>
            </w:pPr>
            <w:r>
              <w:rPr>
                <w:rFonts w:ascii="Arial" w:cs="Arial" w:eastAsia="Arial" w:hAnsi="Arial"/>
                <w:sz w:val="21"/>
                <w:szCs w:val="21"/>
              </w:rPr>
              <w:t xml:space="preserve">Vergleichstabelle: 5-8 Produkte × 6-8 Kriterien (Preis, Erfolgsquote, Garantie, etc.)</w:t>
            </w:r>
          </w:p>
          <w:p>
            <w:pPr>
              <w:pStyle w:val="ListParagraph"/>
              <w:numPr>
                <w:ilvl w:val="0"/>
                <w:numId w:val="2"/>
              </w:numPr>
              <w:spacing w:before="40" w:after="40"/>
            </w:pPr>
            <w:r>
              <w:rPr>
                <w:rFonts w:ascii="Arial" w:cs="Arial" w:eastAsia="Arial" w:hAnsi="Arial"/>
                <w:sz w:val="21"/>
                <w:szCs w:val="21"/>
              </w:rPr>
              <w:t xml:space="preserve">Farblich markiert: Beste Option je Kriterium</w:t>
            </w:r>
          </w:p>
          <w:p>
            <w:pPr>
              <w:spacing w:before="100" w:after="60"/>
            </w:pPr>
            <w:r>
              <w:rPr>
                <w:rFonts w:ascii="Arial" w:cs="Arial" w:eastAsia="Arial" w:hAnsi="Arial"/>
                <w:b/>
                <w:bCs/>
                <w:color w:val="1B4F8C"/>
                <w:sz w:val="22"/>
                <w:szCs w:val="22"/>
              </w:rPr>
              <w:t xml:space="preserve">ABSCHNITT 3: PRODUKT-KARTEN (Mini-Reviews)</w:t>
            </w:r>
          </w:p>
          <w:p>
            <w:pPr>
              <w:pStyle w:val="ListParagraph"/>
              <w:numPr>
                <w:ilvl w:val="0"/>
                <w:numId w:val="2"/>
              </w:numPr>
              <w:spacing w:before="40" w:after="40"/>
            </w:pPr>
            <w:r>
              <w:rPr>
                <w:rFonts w:ascii="Arial" w:cs="Arial" w:eastAsia="Arial" w:hAnsi="Arial"/>
                <w:sz w:val="21"/>
                <w:szCs w:val="21"/>
              </w:rPr>
              <w:t xml:space="preserve">Je Produkt: Logo, Gesamtbewertung, Pro/Contra-Liste, Für wen geeignet, CTA</w:t>
            </w:r>
          </w:p>
          <w:p>
            <w:pPr>
              <w:pStyle w:val="ListParagraph"/>
              <w:numPr>
                <w:ilvl w:val="0"/>
                <w:numId w:val="2"/>
              </w:numPr>
              <w:spacing w:before="40" w:after="40"/>
            </w:pPr>
            <w:r>
              <w:rPr>
                <w:rFonts w:ascii="Arial" w:cs="Arial" w:eastAsia="Arial" w:hAnsi="Arial"/>
                <w:sz w:val="21"/>
                <w:szCs w:val="21"/>
              </w:rPr>
              <w:t xml:space="preserve">Transparenz: Offenlegung der Affiliate-Beziehung bei jedem Produkt</w:t>
            </w:r>
          </w:p>
          <w:p>
            <w:pPr>
              <w:spacing w:before="100" w:after="60"/>
            </w:pPr>
            <w:r>
              <w:rPr>
                <w:rFonts w:ascii="Arial" w:cs="Arial" w:eastAsia="Arial" w:hAnsi="Arial"/>
                <w:b/>
                <w:bCs/>
                <w:color w:val="1B4F8C"/>
                <w:sz w:val="22"/>
                <w:szCs w:val="22"/>
              </w:rPr>
              <w:t xml:space="preserve">ABSCHNITT 4: BUYING GUIDE (Entscheidungshilfe)</w:t>
            </w:r>
          </w:p>
          <w:p>
            <w:pPr>
              <w:pStyle w:val="ListParagraph"/>
              <w:numPr>
                <w:ilvl w:val="0"/>
                <w:numId w:val="2"/>
              </w:numPr>
              <w:spacing w:before="40" w:after="40"/>
            </w:pPr>
            <w:r>
              <w:rPr>
                <w:rFonts w:ascii="Arial" w:cs="Arial" w:eastAsia="Arial" w:hAnsi="Arial"/>
                <w:sz w:val="21"/>
                <w:szCs w:val="21"/>
              </w:rPr>
              <w:t xml:space="preserve">Schritt-für-Schritt: Wie wähle ich das richtige Produkt? (Entscheidungsbaum)</w:t>
            </w:r>
          </w:p>
          <w:p>
            <w:pPr>
              <w:pStyle w:val="ListParagraph"/>
              <w:numPr>
                <w:ilvl w:val="0"/>
                <w:numId w:val="2"/>
              </w:numPr>
              <w:spacing w:before="40" w:after="40"/>
            </w:pPr>
            <w:r>
              <w:rPr>
                <w:rFonts w:ascii="Arial" w:cs="Arial" w:eastAsia="Arial" w:hAnsi="Arial"/>
                <w:sz w:val="21"/>
                <w:szCs w:val="21"/>
              </w:rPr>
              <w:t xml:space="preserve">Häufige Fehler beim Kauf: Vertrauensaufbau durch Ehrlichkeit</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3.3 PROBLEM-SOLUTION PAGE – Template (Beispiel: Fixed Rate Ending What to 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SEITEN-ANATOMIE: PROBLEM-SOLUTION PAGE (höchste Suchintention)</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80" w:after="60"/>
            </w:pPr>
            <w:r>
              <w:rPr>
                <w:rFonts w:ascii="Arial" w:cs="Arial" w:eastAsia="Arial" w:hAnsi="Arial"/>
                <w:b/>
                <w:bCs/>
                <w:color w:val="1B4F8C"/>
                <w:sz w:val="22"/>
                <w:szCs w:val="22"/>
              </w:rPr>
              <w:t xml:space="preserve">ABSCHNITT 1: EMPATHIE &amp; PROBLEM-VERSTÄNDNIS (Hook)</w:t>
            </w:r>
          </w:p>
          <w:p>
            <w:pPr>
              <w:pStyle w:val="ListParagraph"/>
              <w:numPr>
                <w:ilvl w:val="0"/>
                <w:numId w:val="2"/>
              </w:numPr>
              <w:spacing w:before="40" w:after="40"/>
            </w:pPr>
            <w:r>
              <w:rPr>
                <w:rFonts w:ascii="Arial" w:cs="Arial" w:eastAsia="Arial" w:hAnsi="Arial"/>
                <w:sz w:val="21"/>
                <w:szCs w:val="21"/>
              </w:rPr>
              <w:t xml:space="preserve">H1: Emotionale Headline ('Your fixed rate is ending – here's exactly what to do')</w:t>
            </w:r>
          </w:p>
          <w:p>
            <w:pPr>
              <w:pStyle w:val="ListParagraph"/>
              <w:numPr>
                <w:ilvl w:val="0"/>
                <w:numId w:val="2"/>
              </w:numPr>
              <w:spacing w:before="40" w:after="40"/>
            </w:pPr>
            <w:r>
              <w:rPr>
                <w:rFonts w:ascii="Arial" w:cs="Arial" w:eastAsia="Arial" w:hAnsi="Arial"/>
                <w:sz w:val="21"/>
                <w:szCs w:val="21"/>
              </w:rPr>
              <w:t xml:space="preserve">Pain-Acknowledgment: 'You could be paying £300+ more per month in 6 weeks'</w:t>
            </w:r>
          </w:p>
          <w:p>
            <w:pPr>
              <w:pStyle w:val="ListParagraph"/>
              <w:numPr>
                <w:ilvl w:val="0"/>
                <w:numId w:val="2"/>
              </w:numPr>
              <w:spacing w:before="40" w:after="40"/>
            </w:pPr>
            <w:r>
              <w:rPr>
                <w:rFonts w:ascii="Arial" w:cs="Arial" w:eastAsia="Arial" w:hAnsi="Arial"/>
                <w:sz w:val="21"/>
                <w:szCs w:val="21"/>
              </w:rPr>
              <w:t xml:space="preserve">Quick-Win-Box: '5 things to do RIGHT NOW' (Sofort-Handlung erzeugen)</w:t>
            </w:r>
          </w:p>
          <w:p>
            <w:pPr>
              <w:spacing w:before="100" w:after="60"/>
            </w:pPr>
            <w:r>
              <w:rPr>
                <w:rFonts w:ascii="Arial" w:cs="Arial" w:eastAsia="Arial" w:hAnsi="Arial"/>
                <w:b/>
                <w:bCs/>
                <w:color w:val="1B4F8C"/>
                <w:sz w:val="22"/>
                <w:szCs w:val="22"/>
              </w:rPr>
              <w:t xml:space="preserve">ABSCHNITT 2: SCHRITT-FÜR-SCHRITT LÖSUNG</w:t>
            </w:r>
          </w:p>
          <w:p>
            <w:pPr>
              <w:pStyle w:val="ListParagraph"/>
              <w:numPr>
                <w:ilvl w:val="0"/>
                <w:numId w:val="2"/>
              </w:numPr>
              <w:spacing w:before="40" w:after="40"/>
            </w:pPr>
            <w:r>
              <w:rPr>
                <w:rFonts w:ascii="Arial" w:cs="Arial" w:eastAsia="Arial" w:hAnsi="Arial"/>
                <w:sz w:val="21"/>
                <w:szCs w:val="21"/>
              </w:rPr>
              <w:t xml:space="preserve">Nummerierte Schritte mit Zeitangaben ('Step 1 (today): Check your current rate')</w:t>
            </w:r>
          </w:p>
          <w:p>
            <w:pPr>
              <w:pStyle w:val="ListParagraph"/>
              <w:numPr>
                <w:ilvl w:val="0"/>
                <w:numId w:val="2"/>
              </w:numPr>
              <w:spacing w:before="40" w:after="40"/>
            </w:pPr>
            <w:r>
              <w:rPr>
                <w:rFonts w:ascii="Arial" w:cs="Arial" w:eastAsia="Arial" w:hAnsi="Arial"/>
                <w:sz w:val="21"/>
                <w:szCs w:val="21"/>
              </w:rPr>
              <w:t xml:space="preserve">Eingebetteter Rechner: 'Calculate your new monthly payment'</w:t>
            </w:r>
          </w:p>
          <w:p>
            <w:pPr>
              <w:pStyle w:val="ListParagraph"/>
              <w:numPr>
                <w:ilvl w:val="0"/>
                <w:numId w:val="2"/>
              </w:numPr>
              <w:spacing w:before="40" w:after="40"/>
            </w:pPr>
            <w:r>
              <w:rPr>
                <w:rFonts w:ascii="Arial" w:cs="Arial" w:eastAsia="Arial" w:hAnsi="Arial"/>
                <w:sz w:val="21"/>
                <w:szCs w:val="21"/>
              </w:rPr>
              <w:t xml:space="preserve">Prozessdiagramm: Visueller Ablauf des Remortgage-Prozesses mit Habito</w:t>
            </w:r>
          </w:p>
          <w:p>
            <w:pPr>
              <w:spacing w:before="100" w:after="60"/>
            </w:pPr>
            <w:r>
              <w:rPr>
                <w:rFonts w:ascii="Arial" w:cs="Arial" w:eastAsia="Arial" w:hAnsi="Arial"/>
                <w:b/>
                <w:bCs/>
                <w:color w:val="1B4F8C"/>
                <w:sz w:val="22"/>
                <w:szCs w:val="22"/>
              </w:rPr>
              <w:t xml:space="preserve">ABSCHNITT 3: SOCIAL PROOF &amp; TRUST</w:t>
            </w:r>
          </w:p>
          <w:p>
            <w:pPr>
              <w:pStyle w:val="ListParagraph"/>
              <w:numPr>
                <w:ilvl w:val="0"/>
                <w:numId w:val="2"/>
              </w:numPr>
              <w:spacing w:before="40" w:after="40"/>
            </w:pPr>
            <w:r>
              <w:rPr>
                <w:rFonts w:ascii="Arial" w:cs="Arial" w:eastAsia="Arial" w:hAnsi="Arial"/>
                <w:sz w:val="21"/>
                <w:szCs w:val="21"/>
              </w:rPr>
              <w:t xml:space="preserve">Case Study: 'How Sarah saved £180/month by remortgaging with [Affiliate]'</w:t>
            </w:r>
          </w:p>
          <w:p>
            <w:pPr>
              <w:pStyle w:val="ListParagraph"/>
              <w:numPr>
                <w:ilvl w:val="0"/>
                <w:numId w:val="2"/>
              </w:numPr>
              <w:spacing w:before="40" w:after="40"/>
            </w:pPr>
            <w:r>
              <w:rPr>
                <w:rFonts w:ascii="Arial" w:cs="Arial" w:eastAsia="Arial" w:hAnsi="Arial"/>
                <w:sz w:val="21"/>
                <w:szCs w:val="21"/>
              </w:rPr>
              <w:t xml:space="preserve">Datenbelege: Aktuelle Marktdaten (z.B. BoE-Daten zu auslaufenden Hypotheken)</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4. Vertrauensarchitektur &amp; E-E-A-T 2.0 Implementierung</w:t>
      </w:r>
    </w:p>
    <w:p>
      <w:pPr>
        <w:spacing w:before="80" w:after="80"/>
      </w:pPr>
      <w:r>
        <w:t xml:space="preserve"/>
      </w:r>
    </w:p>
    <w:p>
      <w:pPr>
        <w:spacing w:before="100" w:after="120"/>
      </w:pPr>
      <w:r>
        <w:rPr>
          <w:rFonts w:ascii="Arial" w:cs="Arial" w:eastAsia="Arial" w:hAnsi="Arial"/>
          <w:color w:val="333333"/>
          <w:sz w:val="22"/>
          <w:szCs w:val="22"/>
        </w:rPr>
        <w:t xml:space="preserve">In der YMYL-Nische (Your Money or Your Life) ist Vertrauen die wichtigste Ranking- und Conversion-Variable. Folgende Elemente müssen auf jeder Seite und site-weit implementiert werden:</w:t>
      </w:r>
    </w:p>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4.1 Autoren-System &amp; Experten-Profile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Chefredakteur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Vollständiges Profil: Foto, Biografie, Zertifikate, LinkedIn, NMLS/FCA-Nummer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Fachautoren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Min. 2-3 Autoren mit echten Finanz-Qualifikationen (CFP, CFA, FCA-reguliert)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Fact-Checker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Unabhängige Prüfung kritischer Zahlen, Quellenangaben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Review-Datum</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Jede Seite: 'Last reviewed [Datum] by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Schema-Markup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Person-Schema für alle Autoren mit sameAs-Links zu LinkedIn/Twitter</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4.2 Transparenz-Elemente (Radical Transparency)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Affiliate Disclosure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Prominent am Seitenanfang, nicht versteckt im Footer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Produkttest-Methodik</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Eigene Seite: Wie wir testen, welche Kriterien, wie oft wir updaten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Datenquellen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Statistiken mit Originalquelle verlinkt (Gov-Daten, Studien)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Update-Log</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Versionsverlauf für wichtige Vergleichsseiten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Interessenskonflikte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Offen kommunizieren: 'We earn a commission if you use this link'</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4.3 Technisches Schema-Markup (Priorität)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Schema-Typ</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Seiten-Typ</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Zweck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FAQPage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Alle Pillar-Seiten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AI Overview / Snippet-Optimierung</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Review</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Alle Produkt-Reviews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Rich-Result Bewertungssterne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BreadcrumbList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Alle Seiten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Navigation in SERP</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Person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Alle Autoren-Seiten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E-E-A-T Signal für Google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Organization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Homepage + About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Knowledge Graph Eintrag</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HowTo</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Alle How-To-Artikel</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Rich-Result Step-Anzeige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FinancialProduct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Vergleichsseiten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Finanz-spezifisches Markup</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5. Affiliate-Monetarisierung &amp; Top-Partnerprogramme</w:t>
      </w:r>
    </w:p>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5.1 Primäre High-Ticket Affiliate-Programm pro Markt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Markt / Vertikal</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Empfohlenes Programm</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Vergütungsmodell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USA – Credit Repair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Credit People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CPA: $100–$200 / Kunde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 USA – Debt Relief</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National Debt Relief</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CPA: $150–$350 / Kunde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USA – Personal Loans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LendingTree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CPA: $30–$100 / Lead</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 UK – Remortgaging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Habito</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CPA: £50–£200 / Abschluss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UK – Savings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Raisin 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RevShare: up to £100</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 AU – Super</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Australian Super Comparison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CPA: AUD 50–150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AU – Gold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Perth Mint (GoldPass)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RevShare: 0.5–1% des Volumens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 CA – Investing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Wealthsimple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CPA: CAD 50–200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CA – Robo-Advisor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Questrade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CPA: CAD 50–100</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 Cross – ESG/ETF</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Interactive Brokers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RevShare: Handelsgebühren</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5.2 Conversion-Funnel-Architektur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3-STUFEN-FUNNEL (Top → Bottom)</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80" w:after="60"/>
            </w:pPr>
            <w:r>
              <w:rPr>
                <w:rFonts w:ascii="Arial" w:cs="Arial" w:eastAsia="Arial" w:hAnsi="Arial"/>
                <w:b/>
                <w:bCs/>
                <w:color w:val="1B4F8C"/>
                <w:sz w:val="22"/>
                <w:szCs w:val="22"/>
              </w:rPr>
              <w:t xml:space="preserve">TOP OF FUNNEL (TOFU) – Awareness</w:t>
            </w:r>
          </w:p>
          <w:p>
            <w:pPr>
              <w:pStyle w:val="ListParagraph"/>
              <w:numPr>
                <w:ilvl w:val="0"/>
                <w:numId w:val="2"/>
              </w:numPr>
              <w:spacing w:before="40" w:after="40"/>
            </w:pPr>
            <w:r>
              <w:rPr>
                <w:rFonts w:ascii="Arial" w:cs="Arial" w:eastAsia="Arial" w:hAnsi="Arial"/>
                <w:sz w:val="21"/>
                <w:szCs w:val="21"/>
              </w:rPr>
              <w:t xml:space="preserve">Pillar Pages + Informational Content → organischer Traffic durch Topical Authority</w:t>
            </w:r>
          </w:p>
          <w:p>
            <w:pPr>
              <w:pStyle w:val="ListParagraph"/>
              <w:numPr>
                <w:ilvl w:val="0"/>
                <w:numId w:val="2"/>
              </w:numPr>
              <w:spacing w:before="40" w:after="40"/>
            </w:pPr>
            <w:r>
              <w:rPr>
                <w:rFonts w:ascii="Arial" w:cs="Arial" w:eastAsia="Arial" w:hAnsi="Arial"/>
                <w:sz w:val="21"/>
                <w:szCs w:val="21"/>
              </w:rPr>
              <w:t xml:space="preserve">Ziel: E-Mail-Adresse sammeln (Lead-Magnet: Checklisten, Rechner-PDFs)</w:t>
            </w:r>
          </w:p>
          <w:p>
            <w:pPr>
              <w:spacing w:before="100" w:after="60"/>
            </w:pPr>
            <w:r>
              <w:rPr>
                <w:rFonts w:ascii="Arial" w:cs="Arial" w:eastAsia="Arial" w:hAnsi="Arial"/>
                <w:b/>
                <w:bCs/>
                <w:color w:val="1B4F8C"/>
                <w:sz w:val="22"/>
                <w:szCs w:val="22"/>
              </w:rPr>
              <w:t xml:space="preserve">MIDDLE OF FUNNEL (MOFU) – Consideration</w:t>
            </w:r>
          </w:p>
          <w:p>
            <w:pPr>
              <w:pStyle w:val="ListParagraph"/>
              <w:numPr>
                <w:ilvl w:val="0"/>
                <w:numId w:val="2"/>
              </w:numPr>
              <w:spacing w:before="40" w:after="40"/>
            </w:pPr>
            <w:r>
              <w:rPr>
                <w:rFonts w:ascii="Arial" w:cs="Arial" w:eastAsia="Arial" w:hAnsi="Arial"/>
                <w:sz w:val="21"/>
                <w:szCs w:val="21"/>
              </w:rPr>
              <w:t xml:space="preserve">Problem-Solution Content + A-vs-B Vergleiche → Nutzer nähern sich Entscheidung</w:t>
            </w:r>
          </w:p>
          <w:p>
            <w:pPr>
              <w:pStyle w:val="ListParagraph"/>
              <w:numPr>
                <w:ilvl w:val="0"/>
                <w:numId w:val="2"/>
              </w:numPr>
              <w:spacing w:before="40" w:after="40"/>
            </w:pPr>
            <w:r>
              <w:rPr>
                <w:rFonts w:ascii="Arial" w:cs="Arial" w:eastAsia="Arial" w:hAnsi="Arial"/>
                <w:sz w:val="21"/>
                <w:szCs w:val="21"/>
              </w:rPr>
              <w:t xml:space="preserve">E-Mail-Sequenz: 5-7 Nurturing-Mails mit Bildungs-Content</w:t>
            </w:r>
          </w:p>
          <w:p>
            <w:pPr>
              <w:spacing w:before="100" w:after="60"/>
            </w:pPr>
            <w:r>
              <w:rPr>
                <w:rFonts w:ascii="Arial" w:cs="Arial" w:eastAsia="Arial" w:hAnsi="Arial"/>
                <w:b/>
                <w:bCs/>
                <w:color w:val="1B4F8C"/>
                <w:sz w:val="22"/>
                <w:szCs w:val="22"/>
              </w:rPr>
              <w:t xml:space="preserve">BOTTOM OF FUNNEL (BOFU) – Decision</w:t>
            </w:r>
          </w:p>
          <w:p>
            <w:pPr>
              <w:pStyle w:val="ListParagraph"/>
              <w:numPr>
                <w:ilvl w:val="0"/>
                <w:numId w:val="2"/>
              </w:numPr>
              <w:spacing w:before="40" w:after="40"/>
            </w:pPr>
            <w:r>
              <w:rPr>
                <w:rFonts w:ascii="Arial" w:cs="Arial" w:eastAsia="Arial" w:hAnsi="Arial"/>
                <w:sz w:val="21"/>
                <w:szCs w:val="21"/>
              </w:rPr>
              <w:t xml:space="preserve">Comparison Pages + Product Reviews → Affiliate-Klick &amp; Conversion</w:t>
            </w:r>
          </w:p>
          <w:p>
            <w:pPr>
              <w:pStyle w:val="ListParagraph"/>
              <w:numPr>
                <w:ilvl w:val="0"/>
                <w:numId w:val="2"/>
              </w:numPr>
              <w:spacing w:before="40" w:after="40"/>
            </w:pPr>
            <w:r>
              <w:rPr>
                <w:rFonts w:ascii="Arial" w:cs="Arial" w:eastAsia="Arial" w:hAnsi="Arial"/>
                <w:sz w:val="21"/>
                <w:szCs w:val="21"/>
              </w:rPr>
              <w:t xml:space="preserve">Exit-Intent Popup: Letzter CTA vor Seitenverlassen</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6. Technische Implementierung &amp; Claude Code Plan</w:t>
      </w:r>
    </w:p>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6.1 Tech-Stack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6.x mit Thrive Suite (Thrive Architect + Thrive Leads)</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WP Engine oder Kinsta (Speed + YMYL-Sicherheit)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Entwicklung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WP für lokale Umgebung, Claude Code für Content-Automatisierung</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Datenbank</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Supabase für strukturierte Affiliate-Daten, Vergleichstabellen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Analytics 4 + Google Search Console + Rank Math SEO Pro</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Schema-Plugin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Rank Math Pro (integriertes Schema-Markup)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 Rocket + Cloudflare CDN (Core Web Vitals Optimierung)</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Sicherheit</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Wordfence + SSL + HTTPS everywhere (YMYL-Pflicht)</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6.2 Claude Code Implementierungs-Roadmap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Fokus</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Aufgaben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1 (Woche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Grundstruktur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WordPress Setup, Theme, Thrive Suite, URL-Struktur anlegen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Phase 2 (Woche 3-6)</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USA-Silo</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9 Artikel Credit Repair + Debt Relief, Comparison-Seiten,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3 (Woche 7-10)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UK-Silo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8 Artikel Remortgaging + Cost of Living, Habito-Affiliate-Integration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Phase 4 (Woche 11-14)</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AU + CA Silos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Je 8 Artikel, Perth Mint + Wealthsimple-Integration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Phase 5 (Woche 15-16)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Cross-Market Hubs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AI Coaching + ESG Hub, Tools-Seiten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Phase 6 (Woche 17-18)</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Supabase Backend</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Dynamische Vergleichstabellen, Echtzeit-Affiliate-Daten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Laufend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E-E-A-T Optimierung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Autoren-Profile, Schema-Markup, Update-Cycle</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7. Farb- &amp; Design-System (Brand Identity)</w:t>
      </w:r>
    </w:p>
    <w:p>
      <w:pPr>
        <w:spacing w:before="80" w:after="80"/>
      </w:pPr>
      <w:r>
        <w:t xml:space="preserve"/>
      </w:r>
    </w:p>
    <w:p>
      <w:pPr>
        <w:spacing w:before="100" w:after="120"/>
      </w:pPr>
      <w:r>
        <w:rPr>
          <w:rFonts w:ascii="Arial" w:cs="Arial" w:eastAsia="Arial" w:hAnsi="Arial"/>
          <w:color w:val="333333"/>
          <w:sz w:val="22"/>
          <w:szCs w:val="22"/>
        </w:rPr>
        <w:t xml:space="preserve">Das Farbsystem von SmartFinPro.com ist psychologisch auf Vertrauen, Seriosität und Konversion ausgelegt. Jede Farbe hat eine klare Funktion – willkürliche Farbwahl ist ausgeschlossen. Die Palette ist für YMYL-Seiten optimiert: Warme Farbtöne aktivieren emotionale Kaufentscheidungen, kühle Primärfarben signalisieren Stabilität und Expertenwissen.</w:t>
      </w:r>
    </w:p>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7.1 Primäre Farbpalette – Core Brand Colors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200"/>
        <w:gridCol w:w="4060"/>
      </w:tblGrid>
      <w:tr>
        <w:tc>
          <w:tcPr>
            <w:tcW w:type="dxa" w:w="15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16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Hex-Code</w:t>
            </w:r>
          </w:p>
        </w:tc>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Name / Rolle</w:t>
            </w:r>
          </w:p>
        </w:tc>
        <w:tc>
          <w:tcPr>
            <w:tcW w:type="dxa" w:w="40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Psychologie &amp; Einsatzbereich</w:t>
            </w:r>
          </w:p>
        </w:tc>
      </w:tr>
      <w:tr>
        <w:tc>
          <w:tcPr>
            <w:tcW w:type="dxa" w:w="15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color w:val="1B4F8C"/>
                <w:sz w:val="28"/>
                <w:szCs w:val="2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1"/>
                <w:szCs w:val="21"/>
              </w:rPr>
              <w:t xml:space="preserve">#1B4F8C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Trust Navy – Primärfarbe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Vertrauen, Expertise, Stabilität. Einsatz: Header, Navigation, H1-Hintergründe, primäre CTA-Buttons, Footer</w:t>
            </w:r>
          </w:p>
        </w:tc>
      </w:tr>
      <w:tr>
        <w:tc>
          <w:tcPr>
            <w:tcW w:type="dxa" w:w="1500"/>
            <w:tcBorders>
              <w:top w:val="single" w:color="CCCCCC" w:sz="1"/>
              <w:left w:val="single" w:color="CCCCCC" w:sz="1"/>
              <w:bottom w:val="single" w:color="CCCCCC" w:sz="1"/>
              <w:right w:val="single" w:color="CCCCCC" w:sz="1"/>
            </w:tcBorders>
            <w:shd w:fill="F5A623" w:val="clear"/>
            <w:tcMar>
              <w:top w:type="dxa" w:w="80"/>
              <w:left w:type="dxa" w:w="120"/>
              <w:bottom w:type="dxa" w:w="80"/>
              <w:right w:type="dxa" w:w="120"/>
            </w:tcMar>
          </w:tcPr>
          <w:p>
            <w:r>
              <w:rPr>
                <w:rFonts w:ascii="Arial" w:cs="Arial" w:eastAsia="Arial" w:hAnsi="Arial"/>
                <w:color w:val="F5A623"/>
                <w:sz w:val="28"/>
                <w:szCs w:val="28"/>
              </w:rPr>
              <w:t xml:space="preserv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b/>
                <w:bCs/>
                <w:sz w:val="21"/>
                <w:szCs w:val="21"/>
              </w:rPr>
              <w:t xml:space="preserve">#F5A623</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sz w:val="21"/>
                <w:szCs w:val="21"/>
              </w:rPr>
              <w:t xml:space="preserve">Conversion Gold – Akzentfarbe</w:t>
            </w:r>
          </w:p>
        </w:tc>
        <w:tc>
          <w:tcPr>
            <w:tcW w:type="dxa" w:w="4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Dringlichkeit, Wert, Konversion. Einsatz: ALLE sekundären CTA-Buttons, 'Best Pick'-Badges, Highlight-Boxen, Angebots-Banner</w:t>
            </w:r>
          </w:p>
        </w:tc>
      </w:tr>
      <w:tr>
        <w:tc>
          <w:tcPr>
            <w:tcW w:type="dxa" w:w="15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color w:val="1A6B3A"/>
                <w:sz w:val="28"/>
                <w:szCs w:val="2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1"/>
                <w:szCs w:val="21"/>
              </w:rPr>
              <w:t xml:space="preserve">#1A6B3A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Success Green – Positiv-Signale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Wachstum, Sicherheit, Bestätigung. Einsatz: Bewertungs-Sterne, Checkmarks (Pro-Listen), Positive KPI-Anzeigen, Trust-Badges</w:t>
            </w:r>
          </w:p>
        </w:tc>
      </w:tr>
      <w:tr>
        <w:tc>
          <w:tcPr>
            <w:tcW w:type="dxa" w:w="1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E8F0FB"/>
                <w:sz w:val="28"/>
                <w:szCs w:val="28"/>
              </w:rPr>
              <w:t xml:space="preserv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b/>
                <w:bCs/>
                <w:sz w:val="21"/>
                <w:szCs w:val="21"/>
              </w:rPr>
              <w:t xml:space="preserve">#E8F0FB</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sz w:val="21"/>
                <w:szCs w:val="21"/>
              </w:rPr>
              <w:t xml:space="preserve">Sky Tint – Hintergrund-Akzent</w:t>
            </w:r>
          </w:p>
        </w:tc>
        <w:tc>
          <w:tcPr>
            <w:tcW w:type="dxa" w:w="4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Luftigkeit, Lesbarkeit, Struktur. Einsatz: Info-Boxen, Quick-Answer-Blöcke, FAQ-Hintergründe, Tabellen-Alternierungen</w:t>
            </w:r>
          </w:p>
        </w:tc>
      </w:tr>
      <w:tr>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F2F4F8"/>
                <w:sz w:val="28"/>
                <w:szCs w:val="2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1"/>
                <w:szCs w:val="21"/>
              </w:rPr>
              <w:t xml:space="preserve">#F2F4F8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Cloud Gray – Seiten-Hintergrund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Neutraler Seiten-Hintergrund, Karten-Hintergründe, alternierte Tabellenzeilen. Verhindert hartes Weiß-Blenden</w:t>
            </w:r>
          </w:p>
        </w:tc>
      </w:tr>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1A1A2E"/>
                <w:sz w:val="28"/>
                <w:szCs w:val="28"/>
              </w:rPr>
              <w:t xml:space="preserv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b/>
                <w:bCs/>
                <w:sz w:val="21"/>
                <w:szCs w:val="21"/>
              </w:rPr>
              <w:t xml:space="preserve">#1A1A2E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sz w:val="21"/>
                <w:szCs w:val="21"/>
              </w:rPr>
              <w:t xml:space="preserve">Deep Ink – Primärer Fließtext</w:t>
            </w:r>
          </w:p>
        </w:tc>
        <w:tc>
          <w:tcPr>
            <w:tcW w:type="dxa" w:w="4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Maximale Lesbarkeit auf weißem/hellgrauen Hintergrund. Einsatz: Body-Text, H2/H3-Headlines, Meta-Informationen</w:t>
            </w:r>
          </w:p>
        </w:tc>
      </w:tr>
      <w:tr>
        <w:tc>
          <w:tcPr>
            <w:tcW w:type="dxa" w:w="15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color w:val="555555"/>
                <w:sz w:val="28"/>
                <w:szCs w:val="2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1"/>
                <w:szCs w:val="21"/>
              </w:rPr>
              <w:t xml:space="preserve">#555555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Slate – Sekundärtext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Weniger prominente Inhalte: Autor-Datumzeilen, Bild-Untertitel, Disclaimer-Texte, Footer-Navigationslinks</w:t>
            </w:r>
          </w:p>
        </w:tc>
      </w:tr>
      <w:tr>
        <w:tc>
          <w:tcPr>
            <w:tcW w:type="dxa" w:w="1500"/>
            <w:tcBorders>
              <w:top w:val="single" w:color="CCCCCC" w:sz="1"/>
              <w:left w:val="single" w:color="CCCCCC" w:sz="1"/>
              <w:bottom w:val="single" w:color="CCCCCC" w:sz="1"/>
              <w:right w:val="single" w:color="CCCCCC" w:sz="1"/>
            </w:tcBorders>
            <w:shd w:fill="D64045" w:val="clear"/>
            <w:tcMar>
              <w:top w:type="dxa" w:w="80"/>
              <w:left w:type="dxa" w:w="120"/>
              <w:bottom w:type="dxa" w:w="80"/>
              <w:right w:type="dxa" w:w="120"/>
            </w:tcMar>
          </w:tcPr>
          <w:p>
            <w:r>
              <w:rPr>
                <w:rFonts w:ascii="Arial" w:cs="Arial" w:eastAsia="Arial" w:hAnsi="Arial"/>
                <w:color w:val="D64045"/>
                <w:sz w:val="28"/>
                <w:szCs w:val="28"/>
              </w:rPr>
              <w:t xml:space="preserv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b/>
                <w:bCs/>
                <w:sz w:val="21"/>
                <w:szCs w:val="21"/>
              </w:rPr>
              <w:t xml:space="preserve">#D64045</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sz w:val="21"/>
                <w:szCs w:val="21"/>
              </w:rPr>
              <w:t xml:space="preserve">Alert Red – Risiko-Signale</w:t>
            </w:r>
          </w:p>
        </w:tc>
        <w:tc>
          <w:tcPr>
            <w:tcW w:type="dxa" w:w="4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SEHR SPARSAM einsetzen! Einsatz: Contra-Listen in Reviews, Risikohinweise, Disclaimer-Boxen. Nie für Design-Elemente!</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7.2 Länderspezifische Silo-Akzentfarben</w:t>
      </w:r>
    </w:p>
    <w:p>
      <w:pPr>
        <w:spacing w:before="80" w:after="80"/>
      </w:pPr>
      <w:r>
        <w:t xml:space="preserve"/>
      </w:r>
    </w:p>
    <w:p>
      <w:pPr>
        <w:spacing w:before="100" w:after="120"/>
      </w:pPr>
      <w:r>
        <w:rPr>
          <w:rFonts w:ascii="Arial" w:cs="Arial" w:eastAsia="Arial" w:hAnsi="Arial"/>
          <w:color w:val="333333"/>
          <w:sz w:val="22"/>
          <w:szCs w:val="22"/>
        </w:rPr>
        <w:t xml:space="preserve">Jedes Länder-Silo erhält einen eigenen, subtilen Akzent-Farbton als sekundären Hintergrund in Silo-Header-Bereichen und Country-Badges. Die Hauptfarben bleiben überall gleich – nur Nuancen differenzieren: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c>
          <w:tcPr>
            <w:tcW w:type="dxa" w:w="1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Markt</w:t>
            </w:r>
          </w:p>
        </w:tc>
        <w:tc>
          <w:tcPr>
            <w:tcW w:type="dxa" w:w="40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Einsatz &amp; Bedeutung</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D5E8F0"/>
                <w:sz w:val="28"/>
                <w:szCs w:val="2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#D5E8F0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C"/>
                <w:sz w:val="21"/>
                <w:szCs w:val="21"/>
              </w:rPr>
              <w:t xml:space="preserve">🇺🇸 USA-Silo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Kühles Stahlblau – subtile Reminiszenz an amerikanische Flagge. Country-Badges, Silo-Section-Hintergründe</w:t>
            </w:r>
          </w:p>
        </w:tc>
      </w:tr>
      <w:tr>
        <w:tc>
          <w:tcPr>
            <w:tcW w:type="dxa" w:w="1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color w:val="D5F0E0"/>
                <w:sz w:val="28"/>
                <w:szCs w:val="28"/>
              </w:rPr>
              <w:t xml:space="preserv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b/>
                <w:bCs/>
                <w:sz w:val="20"/>
                <w:szCs w:val="20"/>
              </w:rPr>
              <w:t xml:space="preserve">#D5F0E0</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6B3A"/>
                <w:sz w:val="21"/>
                <w:szCs w:val="21"/>
              </w:rPr>
              <w:t xml:space="preserve">🇬🇧 UK-Silo</w:t>
            </w:r>
          </w:p>
        </w:tc>
        <w:tc>
          <w:tcPr>
            <w:tcW w:type="dxa" w:w="4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Britisches Grün – verbindet sich mit Pfund-Währungsassoziationen und englischem Countryside-Vertrauen</w:t>
            </w:r>
          </w:p>
        </w:tc>
      </w:tr>
      <w:tr>
        <w:tc>
          <w:tcPr>
            <w:tcW w:type="dxa" w:w="1500"/>
            <w:tcBorders>
              <w:top w:val="single" w:color="CCCCCC" w:sz="1"/>
              <w:left w:val="single" w:color="CCCCCC" w:sz="1"/>
              <w:bottom w:val="single" w:color="CCCCCC" w:sz="1"/>
              <w:right w:val="single" w:color="CCCCCC" w:sz="1"/>
            </w:tcBorders>
            <w:shd w:fill="FFF3D5" w:val="clear"/>
            <w:tcMar>
              <w:top w:type="dxa" w:w="80"/>
              <w:left w:type="dxa" w:w="120"/>
              <w:bottom w:type="dxa" w:w="80"/>
              <w:right w:type="dxa" w:w="120"/>
            </w:tcMar>
          </w:tcPr>
          <w:p>
            <w:r>
              <w:rPr>
                <w:rFonts w:ascii="Arial" w:cs="Arial" w:eastAsia="Arial" w:hAnsi="Arial"/>
                <w:color w:val="FFF3D5"/>
                <w:sz w:val="28"/>
                <w:szCs w:val="2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#FFF3D5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47A00"/>
                <w:sz w:val="21"/>
                <w:szCs w:val="21"/>
              </w:rPr>
              <w:t xml:space="preserve">🇦🇺 Australien-Silo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Warmes Sandgold – Outback-Assoziation, Gold-Investing-Trust (Perth Mint), sonnige Energie</w:t>
            </w:r>
          </w:p>
        </w:tc>
      </w:tr>
      <w:tr>
        <w:tc>
          <w:tcPr>
            <w:tcW w:type="dxa" w:w="15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FFE5E5"/>
                <w:sz w:val="28"/>
                <w:szCs w:val="28"/>
              </w:rPr>
              <w:t xml:space="preserv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b/>
                <w:bCs/>
                <w:sz w:val="20"/>
                <w:szCs w:val="20"/>
              </w:rPr>
              <w:t xml:space="preserve">#FFE5E5</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B52222"/>
                <w:sz w:val="21"/>
                <w:szCs w:val="21"/>
              </w:rPr>
              <w:t xml:space="preserve">🇨🇦 Kanada-Silo</w:t>
            </w:r>
          </w:p>
        </w:tc>
        <w:tc>
          <w:tcPr>
            <w:tcW w:type="dxa" w:w="4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Sanftes Maple-Rot – subtile Anspielung auf Kanada, warm ohne aggressiv. Nie für CTAs verwenden</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7.3 Farb-Anwendungsregeln nach UI-Element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Primärer CTA-Button ('Get Started', 'Compare Now')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#F5A623 Gold – Hintergrund | #FFFFFF Weiß – Text | Hover: #D48B1A (10% dunkler)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Sekundärer Button ('Learn More', 'Read Review')</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#1B4F8C Navy – Hintergrund | #FFFFFF Weiß – Text | Hover: #163D6E (10% dunkler)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Ghost-Button (outline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#1B4F8C Navy – Rahmen &amp; Text | Transparent – Hintergrund | Hover: Navy-Füllung</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Header / Top-Navigation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#1B4F8C Navy – Hintergrund | #FFFFFF – Links | Aktiv-Link: #F5A623 Gold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#1A1A2E Deep Ink – Hintergrund | #FFFFFF – Links | Subtext: #AAAAAA</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H1-Seitenüberschriften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#1B4F8C Navy – Farbe (oder Weiß auf Navy-Hintergrund)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H2-Abschnitts-Headlines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#1B4F8C Navy – Farbe | Unterstreichung: #F5A623 Gold-Linie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H3-Unterüberschriften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#1A6B3A Success Green – Farbe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Body-Fließtext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#1A1A2E Deep Ink – Haupttext | #555555 Slate – Sekundärtext</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Interne Links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#1B4F8C Navy – Farbe | Hover: #F5A623 Gold (kein Underline im 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Externe Affiliate-Links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#F5A623 Gold + Pfeil-Icon → visuelle Unterscheidung zu internen Links</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Best-Pick-Badge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#F5A623 Gold – Hintergrund | #1A1A2E – Text | Schrift: Bold 14px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Pro-Liste (Checkmarks)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#1A6B3A Success Green – Icon-Farbe | #1A1A2E – Text</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Contra-Liste (X-Marks)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#D64045 Alert Red – Icon-Farbe | #555555 Slate –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Info-Box / Quick Answer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#E8F0FB Sky Tint – Hintergrund | #1B4F8C – Randlinie links 4px | #1A1A2E – Text</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Warning-Box (Disclaimer)</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#FFF8E1 Gelb-Tint – Hintergrund | #F5A623 Gold – Rand links 4px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Bewertungssterne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#F5A623 Gold – gefüllte Sterne | #CCCCCC – leere Sterne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Fortschrittsbalken / Score-Meter</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Gradient: #D64045 → #F5A623 → #1A6B3A (Rot zu Grün je nach Score)</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7.4 Typography-System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Primäre Schriftfamilie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(Google Fonts) – modern, technisch, maximal lesbar auf Screens</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Sekundäre Schriftfamilie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Georgia oder Lora (Serif) – für Zitate und Experten-Statements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Fallback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Arial, Helvetica, sans-serif</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H1 – Pillar Page Hero</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Inter Bold | 48–56px | #1B4F8C oder #FFFFFF auf Navy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H2 – Abschnitt-Headlines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SemiBold | 32–36px | #1B4F8C</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H3 – Unterabschnitte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Inter SemiBold | 24–28px | #1A6B3A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H4 – Produkt-Karten-Titel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Medium | 20–22px | #1A1A2E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Body-Text (Standard)</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Inter Regular | 16–18px | #1A1A2E | Zeilenhöhe: 1.7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Sekundärtext / Meta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Regular | 13–14px | #555555 | Zeilenhöhe: 1.5</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CTA-Button-Text</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Inter Bold | 16–18px | Uppercase oder Title Case | Letter-Spacing: 0.5px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Affiliate-Disclosure-Text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Regular | 11–12px | #888888 | Kursiv</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7.5 Design-Dos &amp; Don'ts für YMYL-Finanzseiten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DO: Reichlich Weißraum zwischen Sektionen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DON'T: Dichten, vollgepackten Content ohne Luft</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 DO: Kontrast-Ratio AA-Standard halten (4.5:1 min)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 DON'T: Hellgrauen Text auf weißem Hintergrund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DO: Navy + Gold als einzige Hauptfarb-Kombination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DON'T: Mehr als 4 verschiedene Farbtöne im Viewport</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 DO: Gold NUR für Handlungsaufforderungen &amp; Highlights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 DON'T: Gold als Hintergrundfarbe ganzer Sektionen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DO: Rote Farbe ausschließlich für echte Warnungen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DON'T: Rot für Preise, Sale-Badges oder Dekoration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 DO: Leicht unperfekte, handgemachte Designelemente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 DON'T: Sterile, makellose KI-Ästhetik-Optik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DO: Autoren-Foto mit blauem Rahmen = Trust-Signal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DON'T: Stock-Fotos oder KI-generierte Gesichter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 DO: Mobile-First: alle Farbentscheidungen auf 375px testen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 DON'T: Gradient-Overload (max. 1 Gradient pro Viewport)</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8. Claude als vollständiger Programmierer – Implementierungsstrategie</w:t>
      </w:r>
    </w:p>
    <w:p>
      <w:pPr>
        <w:spacing w:before="80" w:after="80"/>
      </w:pPr>
      <w:r>
        <w:t xml:space="preserve"/>
      </w:r>
    </w:p>
    <w:p>
      <w:pPr>
        <w:spacing w:before="100" w:after="120"/>
      </w:pPr>
      <w:r>
        <w:rPr>
          <w:rFonts w:ascii="Arial" w:cs="Arial" w:eastAsia="Arial" w:hAnsi="Arial"/>
          <w:color w:val="333333"/>
          <w:sz w:val="22"/>
          <w:szCs w:val="22"/>
        </w:rPr>
        <w:t xml:space="preserve">Claude Code übernimmt die gesamte technische Entwicklung von SmartFinPro.com – von der bestehenden Codebasis über das autarke Dashboard bis hin zur vollständigen Überarbeitung des Farb- und Linksystems. Kein externer Entwickler wird benötigt. Claude arbeitet als autonomer Full-Stack-Entwickler mit klaren Aufgabenpaketen, versioniertem Code und kontinuierlicher Qualitätskontrolle.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GRUNDPRINZIP: Claude als autonomer Tech-Lead</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40"/>
            </w:pPr>
            <w:r>
              <w:rPr>
                <w:rFonts w:ascii="Arial" w:cs="Arial" w:eastAsia="Arial" w:hAnsi="Arial"/>
                <w:sz w:val="22"/>
                <w:szCs w:val="22"/>
              </w:rPr>
              <w:t xml:space="preserve">Claude Code erhält vollständigen Zugriff auf die bestehende smartfinpro.com Codebasis und agiert als alleiniger Entwickler nach folgendem Prinzip:</w:t>
            </w:r>
          </w:p>
          <w:p>
            <w:pPr>
              <w:pStyle w:val="ListParagraph"/>
              <w:numPr>
                <w:ilvl w:val="0"/>
                <w:numId w:val="2"/>
              </w:numPr>
              <w:spacing w:before="40" w:after="40"/>
            </w:pPr>
            <w:r>
              <w:rPr>
                <w:rFonts w:ascii="Arial" w:cs="Arial" w:eastAsia="Arial" w:hAnsi="Arial"/>
                <w:sz w:val="21"/>
                <w:szCs w:val="21"/>
              </w:rPr>
              <w:t xml:space="preserve">Analyse zuerst: Claude liest und versteht die gesamte bestehende Struktur bevor Änderungen erfolgen</w:t>
            </w:r>
          </w:p>
          <w:p>
            <w:pPr>
              <w:pStyle w:val="ListParagraph"/>
              <w:numPr>
                <w:ilvl w:val="0"/>
                <w:numId w:val="2"/>
              </w:numPr>
              <w:spacing w:before="40" w:after="40"/>
            </w:pPr>
            <w:r>
              <w:rPr>
                <w:rFonts w:ascii="Arial" w:cs="Arial" w:eastAsia="Arial" w:hAnsi="Arial"/>
                <w:sz w:val="21"/>
                <w:szCs w:val="21"/>
              </w:rPr>
              <w:t xml:space="preserve">Iterativ und sicher: Änderungen werden in kleinen, testbaren Schritten durchgeführt – nie alles auf einmal</w:t>
            </w:r>
          </w:p>
          <w:p>
            <w:pPr>
              <w:pStyle w:val="ListParagraph"/>
              <w:numPr>
                <w:ilvl w:val="0"/>
                <w:numId w:val="2"/>
              </w:numPr>
              <w:spacing w:before="40" w:after="40"/>
            </w:pPr>
            <w:r>
              <w:rPr>
                <w:rFonts w:ascii="Arial" w:cs="Arial" w:eastAsia="Arial" w:hAnsi="Arial"/>
                <w:sz w:val="21"/>
                <w:szCs w:val="21"/>
              </w:rPr>
              <w:t xml:space="preserve">Rückwärtskompatibel: Bestehendes Dashboard und alle Funktionen bleiben während der Migration erhalten</w:t>
            </w:r>
          </w:p>
          <w:p>
            <w:pPr>
              <w:pStyle w:val="ListParagraph"/>
              <w:numPr>
                <w:ilvl w:val="0"/>
                <w:numId w:val="2"/>
              </w:numPr>
              <w:spacing w:before="40" w:after="40"/>
            </w:pPr>
            <w:r>
              <w:rPr>
                <w:rFonts w:ascii="Arial" w:cs="Arial" w:eastAsia="Arial" w:hAnsi="Arial"/>
                <w:sz w:val="21"/>
                <w:szCs w:val="21"/>
              </w:rPr>
              <w:t xml:space="preserve">Dokumentiert: Claude kommentiert jeden Code-Abschnitt und pflegt eine fortlaufende CHANGELOG.md</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8.1 Bestandsaufnahme &amp; Analyse der bestehenden smartfinpro.com</w:t>
      </w:r>
    </w:p>
    <w:p>
      <w:pPr>
        <w:spacing w:before="80" w:after="80"/>
      </w:pPr>
      <w:r>
        <w:t xml:space="preserve"/>
      </w:r>
    </w:p>
    <w:p>
      <w:pPr>
        <w:spacing w:before="100" w:after="120"/>
      </w:pPr>
      <w:r>
        <w:rPr>
          <w:rFonts w:ascii="Arial" w:cs="Arial" w:eastAsia="Arial" w:hAnsi="Arial"/>
          <w:color w:val="333333"/>
          <w:sz w:val="22"/>
          <w:szCs w:val="22"/>
        </w:rPr>
        <w:t xml:space="preserve">Bevor Claude eine einzige Zeile Code ändert, wird die gesamte bestehende Seite systematisch erfasst und dokumentiert. Dies ist der kritischste Schritt des gesamten Projekts.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Schritt</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Aufgabe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Claude-Aktion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Schritt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Vollständiger Site-Audit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Claude analysiert alle vorhandenen Seiten, URLs, Templates, Custom Post Types, Widgets, installierten Plugins und Theme-Dateien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Schritt 2</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Dashboard-Analyse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Vollständige Dokumentation des autarken Dashboards: alle Module, Datenquellen, API-Verbindungen, Datenbankstrukturen (Supabase), User-Rollen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Schritt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Code-Qualitätsprüfung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Analyse auf: deprecated Functions, Sicherheitslücken, Performance-Bottlenecks, CSS-Konflikte, JavaScript-Fehler in Browser-Konsole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Schritt 4</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Farb-Inventar</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Extraktion aller aktuell verwendeten Hex-Codes, CSS-Variablen, Inline-Styles – Identifikation aller Inkonsistenzen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Schritt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Link-Inventar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Crawl aller internen und externen Links: 404-Fehler, fehlende Affiliate-Tracking-Parameter, broken Redirects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Schritt 6</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Migrations-Risikoplan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Priorisierung nach Risiko: Was kann sofort geändert werden? Was braucht Staging? Was erfordert Backup?</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8.2 Überarbeitung des bestehenden autarken Dashboards</w:t>
      </w:r>
    </w:p>
    <w:p>
      <w:pPr>
        <w:spacing w:before="80" w:after="80"/>
      </w:pPr>
      <w:r>
        <w:t xml:space="preserve"/>
      </w:r>
    </w:p>
    <w:p>
      <w:pPr>
        <w:spacing w:before="100" w:after="120"/>
      </w:pPr>
      <w:r>
        <w:rPr>
          <w:rFonts w:ascii="Arial" w:cs="Arial" w:eastAsia="Arial" w:hAnsi="Arial"/>
          <w:color w:val="333333"/>
          <w:sz w:val="22"/>
          <w:szCs w:val="22"/>
        </w:rPr>
        <w:t xml:space="preserve">Das vorhandene Dashboard bleibt als vollständig autarke Einheit erhalten und wird von Claude technisch modernisiert, visuell an das neue Brand-System angepasst und funktional erweitert.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DASHBOARD-UPGRADE – Scope of Work für Claude</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80" w:after="60"/>
            </w:pPr>
            <w:r>
              <w:rPr>
                <w:rFonts w:ascii="Arial" w:cs="Arial" w:eastAsia="Arial" w:hAnsi="Arial"/>
                <w:b/>
                <w:bCs/>
                <w:color w:val="1B4F8C"/>
                <w:sz w:val="22"/>
                <w:szCs w:val="22"/>
              </w:rPr>
              <w:t xml:space="preserve">MODUL A: Visuelles Redesign (Farb- &amp; Design-Anpassung)</w:t>
            </w:r>
          </w:p>
          <w:p>
            <w:pPr>
              <w:pStyle w:val="ListParagraph"/>
              <w:numPr>
                <w:ilvl w:val="0"/>
                <w:numId w:val="2"/>
              </w:numPr>
              <w:spacing w:before="40" w:after="40"/>
            </w:pPr>
            <w:r>
              <w:rPr>
                <w:rFonts w:ascii="Arial" w:cs="Arial" w:eastAsia="Arial" w:hAnsi="Arial"/>
                <w:sz w:val="21"/>
                <w:szCs w:val="21"/>
              </w:rPr>
              <w:t xml:space="preserve">Alle Dashboard-Farben auf neues Brand-System migrieren: Trust Navy #1B4F8C, Gold #F5A623, Success Green #1A6B3A</w:t>
            </w:r>
          </w:p>
          <w:p>
            <w:pPr>
              <w:pStyle w:val="ListParagraph"/>
              <w:numPr>
                <w:ilvl w:val="0"/>
                <w:numId w:val="2"/>
              </w:numPr>
              <w:spacing w:before="40" w:after="40"/>
            </w:pPr>
            <w:r>
              <w:rPr>
                <w:rFonts w:ascii="Arial" w:cs="Arial" w:eastAsia="Arial" w:hAnsi="Arial"/>
                <w:sz w:val="21"/>
                <w:szCs w:val="21"/>
              </w:rPr>
              <w:t xml:space="preserve">CSS-Variablen-System einführen: :root { --color-primary: #1B4F8C; --color-accent: #F5A623; ... } – einmalige Änderung = site-weiter Effekt</w:t>
            </w:r>
          </w:p>
          <w:p>
            <w:pPr>
              <w:pStyle w:val="ListParagraph"/>
              <w:numPr>
                <w:ilvl w:val="0"/>
                <w:numId w:val="2"/>
              </w:numPr>
              <w:spacing w:before="40" w:after="40"/>
            </w:pPr>
            <w:r>
              <w:rPr>
                <w:rFonts w:ascii="Arial" w:cs="Arial" w:eastAsia="Arial" w:hAnsi="Arial"/>
                <w:sz w:val="21"/>
                <w:szCs w:val="21"/>
              </w:rPr>
              <w:t xml:space="preserve">Inter-Schriftfamilie via Google Fonts einbinden und alle Dashboard-Fonts vereinheitlichen</w:t>
            </w:r>
          </w:p>
          <w:p>
            <w:pPr>
              <w:pStyle w:val="ListParagraph"/>
              <w:numPr>
                <w:ilvl w:val="0"/>
                <w:numId w:val="2"/>
              </w:numPr>
              <w:spacing w:before="40" w:after="40"/>
            </w:pPr>
            <w:r>
              <w:rPr>
                <w:rFonts w:ascii="Arial" w:cs="Arial" w:eastAsia="Arial" w:hAnsi="Arial"/>
                <w:sz w:val="21"/>
                <w:szCs w:val="21"/>
              </w:rPr>
              <w:t xml:space="preserve">Responsive Breakpoints prüfen und Dashboard vollständig Mobile-First ausrichten</w:t>
            </w:r>
          </w:p>
          <w:p>
            <w:pPr>
              <w:spacing w:before="100" w:after="60"/>
            </w:pPr>
            <w:r>
              <w:rPr>
                <w:rFonts w:ascii="Arial" w:cs="Arial" w:eastAsia="Arial" w:hAnsi="Arial"/>
                <w:b/>
                <w:bCs/>
                <w:color w:val="1B4F8C"/>
                <w:sz w:val="22"/>
                <w:szCs w:val="22"/>
              </w:rPr>
              <w:t xml:space="preserve">MODUL B: Funktionale Erweiterungen</w:t>
            </w:r>
          </w:p>
          <w:p>
            <w:pPr>
              <w:pStyle w:val="ListParagraph"/>
              <w:numPr>
                <w:ilvl w:val="0"/>
                <w:numId w:val="2"/>
              </w:numPr>
              <w:spacing w:before="40" w:after="40"/>
            </w:pPr>
            <w:r>
              <w:rPr>
                <w:rFonts w:ascii="Arial" w:cs="Arial" w:eastAsia="Arial" w:hAnsi="Arial"/>
                <w:sz w:val="21"/>
                <w:szCs w:val="21"/>
              </w:rPr>
              <w:t xml:space="preserve">Affiliate-Performance-Übersicht: Echtzeit-Klicks, Conversions und Umsatz pro Silo und Land</w:t>
            </w:r>
          </w:p>
          <w:p>
            <w:pPr>
              <w:pStyle w:val="ListParagraph"/>
              <w:numPr>
                <w:ilvl w:val="0"/>
                <w:numId w:val="2"/>
              </w:numPr>
              <w:spacing w:before="40" w:after="40"/>
            </w:pPr>
            <w:r>
              <w:rPr>
                <w:rFonts w:ascii="Arial" w:cs="Arial" w:eastAsia="Arial" w:hAnsi="Arial"/>
                <w:sz w:val="21"/>
                <w:szCs w:val="21"/>
              </w:rPr>
              <w:t xml:space="preserve">Content-Status-Board: Welche Seiten sind live, welche in Bearbeitung, welche brauchen Update?</w:t>
            </w:r>
          </w:p>
          <w:p>
            <w:pPr>
              <w:pStyle w:val="ListParagraph"/>
              <w:numPr>
                <w:ilvl w:val="0"/>
                <w:numId w:val="2"/>
              </w:numPr>
              <w:spacing w:before="40" w:after="40"/>
            </w:pPr>
            <w:r>
              <w:rPr>
                <w:rFonts w:ascii="Arial" w:cs="Arial" w:eastAsia="Arial" w:hAnsi="Arial"/>
                <w:sz w:val="21"/>
                <w:szCs w:val="21"/>
              </w:rPr>
              <w:t xml:space="preserve">Link-Health-Monitor: Automatische Überprüfung aller Affiliate-Links auf Verfügbarkeit und korrekte Tracking-Parameter</w:t>
            </w:r>
          </w:p>
          <w:p>
            <w:pPr>
              <w:pStyle w:val="ListParagraph"/>
              <w:numPr>
                <w:ilvl w:val="0"/>
                <w:numId w:val="2"/>
              </w:numPr>
              <w:spacing w:before="40" w:after="40"/>
            </w:pPr>
            <w:r>
              <w:rPr>
                <w:rFonts w:ascii="Arial" w:cs="Arial" w:eastAsia="Arial" w:hAnsi="Arial"/>
                <w:sz w:val="21"/>
                <w:szCs w:val="21"/>
              </w:rPr>
              <w:t xml:space="preserve">SEO-KPI-Widget: GSC-Daten direkt im Dashboard – Impressionen, Clicks, CTR per Silo</w:t>
            </w:r>
          </w:p>
          <w:p>
            <w:pPr>
              <w:spacing w:before="100" w:after="60"/>
            </w:pPr>
            <w:r>
              <w:rPr>
                <w:rFonts w:ascii="Arial" w:cs="Arial" w:eastAsia="Arial" w:hAnsi="Arial"/>
                <w:b/>
                <w:bCs/>
                <w:color w:val="1B4F8C"/>
                <w:sz w:val="22"/>
                <w:szCs w:val="22"/>
              </w:rPr>
              <w:t xml:space="preserve">MODUL C: Sicherheit &amp; Performance</w:t>
            </w:r>
          </w:p>
          <w:p>
            <w:pPr>
              <w:pStyle w:val="ListParagraph"/>
              <w:numPr>
                <w:ilvl w:val="0"/>
                <w:numId w:val="2"/>
              </w:numPr>
              <w:spacing w:before="40" w:after="40"/>
            </w:pPr>
            <w:r>
              <w:rPr>
                <w:rFonts w:ascii="Arial" w:cs="Arial" w:eastAsia="Arial" w:hAnsi="Arial"/>
                <w:sz w:val="21"/>
                <w:szCs w:val="21"/>
              </w:rPr>
              <w:t xml:space="preserve">Dashboard-Authentifizierung: Login-Schutz mit 2FA, Session-Timeout, IP-Whitelist-Option</w:t>
            </w:r>
          </w:p>
          <w:p>
            <w:pPr>
              <w:pStyle w:val="ListParagraph"/>
              <w:numPr>
                <w:ilvl w:val="0"/>
                <w:numId w:val="2"/>
              </w:numPr>
              <w:spacing w:before="40" w:after="40"/>
            </w:pPr>
            <w:r>
              <w:rPr>
                <w:rFonts w:ascii="Arial" w:cs="Arial" w:eastAsia="Arial" w:hAnsi="Arial"/>
                <w:sz w:val="21"/>
                <w:szCs w:val="21"/>
              </w:rPr>
              <w:t xml:space="preserve">Datenbankabfragen optimieren: Supabase-Queries mit Caching-Schicht (30s TTL für Echtzeit-Daten)</w:t>
            </w:r>
          </w:p>
          <w:p>
            <w:pPr>
              <w:pStyle w:val="ListParagraph"/>
              <w:numPr>
                <w:ilvl w:val="0"/>
                <w:numId w:val="2"/>
              </w:numPr>
              <w:spacing w:before="40" w:after="40"/>
            </w:pPr>
            <w:r>
              <w:rPr>
                <w:rFonts w:ascii="Arial" w:cs="Arial" w:eastAsia="Arial" w:hAnsi="Arial"/>
                <w:sz w:val="21"/>
                <w:szCs w:val="21"/>
              </w:rPr>
              <w:t xml:space="preserve">Error-Logging: Fehler werden geloggt und per E-Mail-Alert gemeldet (kein stilles Versagen)</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8.3 Vollständige Überarbeitung des Farb-Systems im Code</w:t>
      </w:r>
    </w:p>
    <w:p>
      <w:pPr>
        <w:spacing w:before="80" w:after="80"/>
      </w:pPr>
      <w:r>
        <w:t xml:space="preserve"/>
      </w:r>
    </w:p>
    <w:p>
      <w:pPr>
        <w:spacing w:before="100" w:after="120"/>
      </w:pPr>
      <w:r>
        <w:rPr>
          <w:rFonts w:ascii="Arial" w:cs="Arial" w:eastAsia="Arial" w:hAnsi="Arial"/>
          <w:color w:val="333333"/>
          <w:sz w:val="22"/>
          <w:szCs w:val="22"/>
        </w:rPr>
        <w:t xml:space="preserve">Claude führt die Farb-Migration systematisch durch. Keine manuelle Suche &amp; Ersetze – stattdessen ein professionelles CSS-Variablen-System als Single Source of Truth.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CLAUDE CODE AUFGABE: CSS-Variablen-Migration</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40"/>
            </w:pPr>
            <w:r>
              <w:rPr>
                <w:rFonts w:ascii="Arial" w:cs="Arial" w:eastAsia="Arial" w:hAnsi="Arial"/>
                <w:b/>
                <w:bCs/>
                <w:color w:val="1B4F8C"/>
                <w:sz w:val="21"/>
                <w:szCs w:val="21"/>
              </w:rPr>
              <w:t xml:space="preserve">SCHRITT 1 – Globale CSS-Variablen definieren (style.css oder custom-properties.css):</w:t>
            </w:r>
          </w:p>
          <w:p>
            <w:pPr>
              <w:spacing w:before="40" w:after="40"/>
            </w:pPr>
            <w:r>
              <w:rPr>
                <w:rFonts w:ascii="Courier New" w:cs="Courier New" w:eastAsia="Courier New" w:hAnsi="Courier New"/>
                <w:color w:val="1A1A2E"/>
                <w:sz w:val="20"/>
                <w:szCs w:val="20"/>
              </w:rPr>
              <w:t xml:space="preserve">:root {</w:t>
            </w:r>
          </w:p>
          <w:p>
            <w:pPr>
              <w:spacing w:before="0" w:after="0"/>
            </w:pPr>
            <w:r>
              <w:rPr>
                <w:rFonts w:ascii="Courier New" w:cs="Courier New" w:eastAsia="Courier New" w:hAnsi="Courier New"/>
                <w:color w:val="555555"/>
                <w:sz w:val="20"/>
                <w:szCs w:val="20"/>
              </w:rPr>
              <w:t xml:space="preserve">  /* === SmartFinPro Brand Colors === */</w:t>
            </w:r>
          </w:p>
          <w:p>
            <w:pPr>
              <w:spacing w:before="0" w:after="0"/>
            </w:pPr>
            <w:r>
              <w:rPr>
                <w:rFonts w:ascii="Courier New" w:cs="Courier New" w:eastAsia="Courier New" w:hAnsi="Courier New"/>
                <w:color w:val="1A1A2E"/>
                <w:sz w:val="20"/>
                <w:szCs w:val="20"/>
              </w:rPr>
              <w:t xml:space="preserve">  --sfp-navy:       #1B4F8C;   /* Trust Navy – Primärfarbe */</w:t>
            </w:r>
          </w:p>
          <w:p>
            <w:pPr>
              <w:spacing w:before="0" w:after="0"/>
            </w:pPr>
            <w:r>
              <w:rPr>
                <w:rFonts w:ascii="Courier New" w:cs="Courier New" w:eastAsia="Courier New" w:hAnsi="Courier New"/>
                <w:color w:val="1A1A2E"/>
                <w:sz w:val="20"/>
                <w:szCs w:val="20"/>
              </w:rPr>
              <w:t xml:space="preserve">  --sfp-navy-dark:  #163D6E;   /* Hover-Zustand Navy */</w:t>
            </w:r>
          </w:p>
          <w:p>
            <w:pPr>
              <w:spacing w:before="0" w:after="0"/>
            </w:pPr>
            <w:r>
              <w:rPr>
                <w:rFonts w:ascii="Courier New" w:cs="Courier New" w:eastAsia="Courier New" w:hAnsi="Courier New"/>
                <w:color w:val="1A1A2E"/>
                <w:sz w:val="20"/>
                <w:szCs w:val="20"/>
              </w:rPr>
              <w:t xml:space="preserve">  --sfp-gold:       #F5A623;   /* Conversion Gold – alle CTAs */</w:t>
            </w:r>
          </w:p>
          <w:p>
            <w:pPr>
              <w:spacing w:before="0" w:after="0"/>
            </w:pPr>
            <w:r>
              <w:rPr>
                <w:rFonts w:ascii="Courier New" w:cs="Courier New" w:eastAsia="Courier New" w:hAnsi="Courier New"/>
                <w:color w:val="1A1A2E"/>
                <w:sz w:val="20"/>
                <w:szCs w:val="20"/>
              </w:rPr>
              <w:t xml:space="preserve">  --sfp-gold-dark:  #D48B1A;   /* Hover-Zustand Gold */</w:t>
            </w:r>
          </w:p>
          <w:p>
            <w:pPr>
              <w:spacing w:before="0" w:after="0"/>
            </w:pPr>
            <w:r>
              <w:rPr>
                <w:rFonts w:ascii="Courier New" w:cs="Courier New" w:eastAsia="Courier New" w:hAnsi="Courier New"/>
                <w:color w:val="1A1A2E"/>
                <w:sz w:val="20"/>
                <w:szCs w:val="20"/>
              </w:rPr>
              <w:t xml:space="preserve">  --sfp-green:      #1A6B3A;   /* Success Green */</w:t>
            </w:r>
          </w:p>
          <w:p>
            <w:pPr>
              <w:spacing w:before="0" w:after="0"/>
            </w:pPr>
            <w:r>
              <w:rPr>
                <w:rFonts w:ascii="Courier New" w:cs="Courier New" w:eastAsia="Courier New" w:hAnsi="Courier New"/>
                <w:color w:val="1A1A2E"/>
                <w:sz w:val="20"/>
                <w:szCs w:val="20"/>
              </w:rPr>
              <w:t xml:space="preserve">  --sfp-red:        #D64045;   /* Alert Red – nur Warnungen */</w:t>
            </w:r>
          </w:p>
          <w:p>
            <w:pPr>
              <w:spacing w:before="0" w:after="0"/>
            </w:pPr>
            <w:r>
              <w:rPr>
                <w:rFonts w:ascii="Courier New" w:cs="Courier New" w:eastAsia="Courier New" w:hAnsi="Courier New"/>
                <w:color w:val="1A1A2E"/>
                <w:sz w:val="20"/>
                <w:szCs w:val="20"/>
              </w:rPr>
              <w:t xml:space="preserve">  --sfp-sky:        #E8F0FB;   /* Sky Tint – Info-Boxen */</w:t>
            </w:r>
          </w:p>
          <w:p>
            <w:pPr>
              <w:spacing w:before="0" w:after="0"/>
            </w:pPr>
            <w:r>
              <w:rPr>
                <w:rFonts w:ascii="Courier New" w:cs="Courier New" w:eastAsia="Courier New" w:hAnsi="Courier New"/>
                <w:color w:val="1A1A2E"/>
                <w:sz w:val="20"/>
                <w:szCs w:val="20"/>
              </w:rPr>
              <w:t xml:space="preserve">  --sfp-gray:       #F2F4F8;   /* Cloud Gray – Hintergründe */</w:t>
            </w:r>
          </w:p>
          <w:p>
            <w:pPr>
              <w:spacing w:before="0" w:after="0"/>
            </w:pPr>
            <w:r>
              <w:rPr>
                <w:rFonts w:ascii="Courier New" w:cs="Courier New" w:eastAsia="Courier New" w:hAnsi="Courier New"/>
                <w:color w:val="1A1A2E"/>
                <w:sz w:val="20"/>
                <w:szCs w:val="20"/>
              </w:rPr>
              <w:t xml:space="preserve">  --sfp-ink:        #1A1A2E;   /* Deep Ink – Primärtext */</w:t>
            </w:r>
          </w:p>
          <w:p>
            <w:pPr>
              <w:spacing w:before="0" w:after="0"/>
            </w:pPr>
            <w:r>
              <w:rPr>
                <w:rFonts w:ascii="Courier New" w:cs="Courier New" w:eastAsia="Courier New" w:hAnsi="Courier New"/>
                <w:color w:val="1A1A2E"/>
                <w:sz w:val="20"/>
                <w:szCs w:val="20"/>
              </w:rPr>
              <w:t xml:space="preserve">  --sfp-slate:      #555555;   /* Slate – Sekundärtext */</w:t>
            </w:r>
          </w:p>
          <w:p>
            <w:pPr>
              <w:spacing w:before="0" w:after="20"/>
            </w:pPr>
            <w:r>
              <w:rPr>
                <w:rFonts w:ascii="Courier New" w:cs="Courier New" w:eastAsia="Courier New" w:hAnsi="Courier New"/>
                <w:color w:val="1A1A2E"/>
                <w:sz w:val="20"/>
                <w:szCs w:val="20"/>
              </w:rPr>
              <w:t xml:space="preserve">}</w:t>
            </w:r>
          </w:p>
          <w:p>
            <w:pPr>
              <w:spacing w:before="60" w:after="40"/>
            </w:pPr>
            <w:r>
              <w:rPr>
                <w:rFonts w:ascii="Arial" w:cs="Arial" w:eastAsia="Arial" w:hAnsi="Arial"/>
                <w:b/>
                <w:bCs/>
                <w:color w:val="1B4F8C"/>
                <w:sz w:val="21"/>
                <w:szCs w:val="21"/>
              </w:rPr>
              <w:t xml:space="preserve">SCHRITT 2 – Silo-spezifische Variablen (werden per body-class aktiviert):</w:t>
            </w:r>
          </w:p>
          <w:p>
            <w:pPr>
              <w:spacing w:before="0" w:after="0"/>
            </w:pPr>
            <w:r>
              <w:rPr>
                <w:rFonts w:ascii="Courier New" w:cs="Courier New" w:eastAsia="Courier New" w:hAnsi="Courier New"/>
                <w:sz w:val="20"/>
                <w:szCs w:val="20"/>
              </w:rPr>
              <w:t xml:space="preserve">body.silo-us { --sfp-silo-tint: #D5E8F0; }</w:t>
            </w:r>
          </w:p>
          <w:p>
            <w:pPr>
              <w:spacing w:before="0" w:after="0"/>
            </w:pPr>
            <w:r>
              <w:rPr>
                <w:rFonts w:ascii="Courier New" w:cs="Courier New" w:eastAsia="Courier New" w:hAnsi="Courier New"/>
                <w:sz w:val="20"/>
                <w:szCs w:val="20"/>
              </w:rPr>
              <w:t xml:space="preserve">body.silo-uk { --sfp-silo-tint: #D5F0E0; }</w:t>
            </w:r>
          </w:p>
          <w:p>
            <w:pPr>
              <w:spacing w:before="0" w:after="0"/>
            </w:pPr>
            <w:r>
              <w:rPr>
                <w:rFonts w:ascii="Courier New" w:cs="Courier New" w:eastAsia="Courier New" w:hAnsi="Courier New"/>
                <w:sz w:val="20"/>
                <w:szCs w:val="20"/>
              </w:rPr>
              <w:t xml:space="preserve">body.silo-au { --sfp-silo-tint: #FFF3D5; }</w:t>
            </w:r>
          </w:p>
          <w:p>
            <w:pPr>
              <w:spacing w:before="0" w:after="20"/>
            </w:pPr>
            <w:r>
              <w:rPr>
                <w:rFonts w:ascii="Courier New" w:cs="Courier New" w:eastAsia="Courier New" w:hAnsi="Courier New"/>
                <w:sz w:val="20"/>
                <w:szCs w:val="20"/>
              </w:rPr>
              <w:t xml:space="preserve">body.silo-ca { --sfp-silo-tint: #FFE5E5; }</w:t>
            </w:r>
          </w:p>
          <w:p>
            <w:pPr>
              <w:spacing w:before="60" w:after="40"/>
            </w:pPr>
            <w:r>
              <w:rPr>
                <w:rFonts w:ascii="Arial" w:cs="Arial" w:eastAsia="Arial" w:hAnsi="Arial"/>
                <w:b/>
                <w:bCs/>
                <w:color w:val="1B4F8C"/>
                <w:sz w:val="21"/>
                <w:szCs w:val="21"/>
              </w:rPr>
              <w:t xml:space="preserve">SCHRITT 3 – Alle alten Hex-Codes ersetzen (Claude führt globale Suche durch):</w:t>
            </w:r>
          </w:p>
          <w:p>
            <w:pPr>
              <w:spacing w:before="40" w:after="20"/>
            </w:pPr>
            <w:r>
              <w:rPr>
                <w:rFonts w:ascii="Arial" w:cs="Arial" w:eastAsia="Arial" w:hAnsi="Arial"/>
                <w:sz w:val="20"/>
                <w:szCs w:val="20"/>
              </w:rPr>
              <w:t xml:space="preserve">Claude scannt alle .css, .php, .js, .json Dateien nach hardgecodeten Farbwerten und ersetzt diese durch die entsprechenden CSS-Variablen. Inline-Styles in Thrive-Page-Builder-Elementen werden via WP-Datenbank-Query bereinigt.</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8.4 Vollständige Überarbeitung des Link-Systems</w:t>
      </w:r>
    </w:p>
    <w:p>
      <w:pPr>
        <w:spacing w:before="80" w:after="80"/>
      </w:pPr>
      <w:r>
        <w:t xml:space="preserve"/>
      </w:r>
    </w:p>
    <w:p>
      <w:pPr>
        <w:spacing w:before="100" w:after="120"/>
      </w:pPr>
      <w:r>
        <w:rPr>
          <w:rFonts w:ascii="Arial" w:cs="Arial" w:eastAsia="Arial" w:hAnsi="Arial"/>
          <w:color w:val="333333"/>
          <w:sz w:val="22"/>
          <w:szCs w:val="22"/>
        </w:rPr>
        <w:t xml:space="preserve">Das bestehende Linksystem wird von Claude von Grund auf neu strukturiert. Ziel: Jeder Link – intern, extern, Affiliate – folgt einer klaren Strategie mit korrektem Tracking, Styling und SEO-Attributen.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Link-Typ</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Technische Attribute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Visuell &amp; Strategie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Interne Content-Links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Keine nofollow, kein target_blank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Farbe: var(--sfp-navy), Hover: var(--sfp-gold). Anchor-Text muss beschreibend sein (kein 'hier klicken')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Affiliate-Links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rel='nofollow sponsored', target='_blank'</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Farbe: var(--sfp-gold) + Pfeil-Icon (→). Alle Links via Pretty Links Plugin verschlüsselt: /go/produktname/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Externe Quellen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rel='nofollow', target='_blank'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Farbe: var(--sfp-navy), kein Icon. Nur Autoritäts-Quellen (.gov, .edu, Studien)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Silo-Navigationlinks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Interne Links zwischen Cluster-Seiten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Breadcrumb + Related-Articles-Box am Seitenende. Jede Pillar-Seite verlinkt alle Cluster-Seiten des Silos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CTA-Buttons (primär)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Affiliate + Conversion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Hintergrund: var(--sfp-gold), Text: weiß, Hover: var(--sfp-gold-dark). rel='sponsored nofollow'</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CTA-Buttons (sekundär)</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Interne Navigation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Hintergrund: var(--sfp-navy), Text: weiß, Hover: var(--sfp-navy-dark). Standard-Link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Footer-Links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Legal + Navigation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Farbe: #AAAAAA, Hover: #FFFFFF auf dunklem Footer-Hintergrund. Keine Affiliate-Links im Footer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CLAUDE CODE AUFGABE: Pretty Links &amp; Tracking-Setup</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40"/>
            </w:pPr>
            <w:r>
              <w:rPr>
                <w:rFonts w:ascii="Arial" w:cs="Arial" w:eastAsia="Arial" w:hAnsi="Arial"/>
                <w:sz w:val="22"/>
                <w:szCs w:val="22"/>
              </w:rPr>
              <w:t xml:space="preserve">Claude implementiert folgende Affiliate-Link-Tracking-Architektur:</w:t>
            </w:r>
          </w:p>
          <w:p>
            <w:pPr>
              <w:pStyle w:val="ListParagraph"/>
              <w:numPr>
                <w:ilvl w:val="0"/>
                <w:numId w:val="3"/>
              </w:numPr>
              <w:spacing w:before="60" w:after="40"/>
            </w:pPr>
            <w:r>
              <w:rPr>
                <w:rFonts w:ascii="Arial" w:cs="Arial" w:eastAsia="Arial" w:hAnsi="Arial"/>
                <w:sz w:val="21"/>
                <w:szCs w:val="21"/>
              </w:rPr>
              <w:t xml:space="preserve">Pretty Links Plugin konfigurieren: Alle Affiliate-URLs werden unter /go/[produktname]/ verschleiert. Beispiel: smartfinpro.com/go/the-credit-people/ → Affiliate-URL</w:t>
            </w:r>
          </w:p>
          <w:p>
            <w:pPr>
              <w:pStyle w:val="ListParagraph"/>
              <w:numPr>
                <w:ilvl w:val="0"/>
                <w:numId w:val="3"/>
              </w:numPr>
              <w:spacing w:before="40" w:after="40"/>
            </w:pPr>
            <w:r>
              <w:rPr>
                <w:rFonts w:ascii="Arial" w:cs="Arial" w:eastAsia="Arial" w:hAnsi="Arial"/>
                <w:sz w:val="21"/>
                <w:szCs w:val="21"/>
              </w:rPr>
              <w:t xml:space="preserve">UTM-Parameter automatisch anhängen: Jeder Link trägt ?utm_source=smartfinpro&amp;utm_medium=affiliate&amp;utm_campaign=[silo]&amp;utm_content=[seitenname]</w:t>
            </w:r>
          </w:p>
          <w:p>
            <w:pPr>
              <w:pStyle w:val="ListParagraph"/>
              <w:numPr>
                <w:ilvl w:val="0"/>
                <w:numId w:val="3"/>
              </w:numPr>
              <w:spacing w:before="40" w:after="40"/>
            </w:pPr>
            <w:r>
              <w:rPr>
                <w:rFonts w:ascii="Arial" w:cs="Arial" w:eastAsia="Arial" w:hAnsi="Arial"/>
                <w:sz w:val="21"/>
                <w:szCs w:val="21"/>
              </w:rPr>
              <w:t xml:space="preserve">Click-Tracking ins Dashboard: Jeder /go/-Klick wird in Supabase gespeichert (Timestamp, Seite, User-Agent, Land)</w:t>
            </w:r>
          </w:p>
          <w:p>
            <w:pPr>
              <w:pStyle w:val="ListParagraph"/>
              <w:numPr>
                <w:ilvl w:val="0"/>
                <w:numId w:val="3"/>
              </w:numPr>
              <w:spacing w:before="40" w:after="40"/>
            </w:pPr>
            <w:r>
              <w:rPr>
                <w:rFonts w:ascii="Arial" w:cs="Arial" w:eastAsia="Arial" w:hAnsi="Arial"/>
                <w:sz w:val="21"/>
                <w:szCs w:val="21"/>
              </w:rPr>
              <w:t xml:space="preserve">GA4-Event beim Affiliate-Klick: gtag('event', 'affiliate_click', { link_name: 'the-credit-people', silo: 'us-credit-repair' })</w:t>
            </w:r>
          </w:p>
          <w:p>
            <w:pPr>
              <w:pStyle w:val="ListParagraph"/>
              <w:numPr>
                <w:ilvl w:val="0"/>
                <w:numId w:val="3"/>
              </w:numPr>
              <w:spacing w:before="40" w:after="60"/>
            </w:pPr>
            <w:r>
              <w:rPr>
                <w:rFonts w:ascii="Arial" w:cs="Arial" w:eastAsia="Arial" w:hAnsi="Arial"/>
                <w:sz w:val="21"/>
                <w:szCs w:val="21"/>
              </w:rPr>
              <w:t xml:space="preserve">Automatisches Link-Health-Monitoring: Claude schreibt einen Cron-Job (täglich 2 Uhr nachts), der alle /go/-Links auf HTTP 200 prüft und bei Fehler sofort E-Mail-Alert sendet</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8.5 Claude Code – Vollständiger Entwicklungsplan</w:t>
      </w:r>
    </w:p>
    <w:p>
      <w:pPr>
        <w:spacing w:before="80" w:after="80"/>
      </w:pPr>
      <w:r>
        <w:t xml:space="preserve"/>
      </w:r>
    </w:p>
    <w:p>
      <w:pPr>
        <w:spacing w:before="100" w:after="120"/>
      </w:pPr>
      <w:r>
        <w:rPr>
          <w:rFonts w:ascii="Arial" w:cs="Arial" w:eastAsia="Arial" w:hAnsi="Arial"/>
          <w:color w:val="333333"/>
          <w:sz w:val="22"/>
          <w:szCs w:val="22"/>
        </w:rPr>
        <w:t xml:space="preserve">Alle Entwicklungsaufgaben werden von Claude Code in klar definierten Arbeitspaketen abgearbeitet. Jedes Paket endet mit einem funktionierenden, getesteten Zwischenzustand – kein Paket wird angefangen ohne das vorherige abzuschließen.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Paket</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Bezeichnung</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Claude-Aufgabe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AP-01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Bestandsaufnahme &amp; Audit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Claude analysiert gesamte Codebasis, Dashboard, alle URLs, Farben, Links. Output: AUDIT.md mit Befunden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AP-02</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Backup &amp; Git-Setup</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Git-Repository initialisieren, komplettes Backup auf Staging, CHANGELOG.md anlegen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AP-03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CSS-Variablen-System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Alle CSS-Dateien migrieren, :root-Variablen einführen, Silo-Body-Classes implementieren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AP-04</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Typografie-Migration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Inter-Schrift einbinden, alle Font-Definitionen auf neues Typography-System umstellen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AP-05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Dashboard-Redesign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Farben, Fonts, Layout des Dashboards auf Brand-System anpassen, Mobile-Responsiveness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AP-06</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Dashboard-Funktionen</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Affiliate-Performance-Widget, Content-Status-Board, Link-Monitor, SEO-KPI-Widget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AP-07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Dashboard-Sicherheit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2FA-Login, Session-Management, IP-Whitelist, Error-Logging-System</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AP-08</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Link-System Überarbeitung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Pretty Links Setup, alle Affiliate-Links migrieren, nofollow/sponsored-Attribute, Styling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AP-09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UTM &amp; Click-Tracking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UTM-Parameter, GA4-Events, Supabase-Click-Log, Cron-Job Link-Health-Check</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AP-10</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Silo-Struktur WordPress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URL-Struktur anlegen, Custom Post Types, Kategorien, Breadcrumbs, interne Verlinkung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AP-11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Content-Templates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Thrive Architect Templates für Pillar/Comparison/Problem-Solution Seiten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AP-12</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Schema-Markup Global</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Rank Math Pro konfigurieren, Organization/Person/FAQPage-Schemas, BreadcrumbList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AP-13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Performance-Optimierung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WP Rocket Config, Cloudflare CDN, Bild-Optimierung, Core Web Vitals Audit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AP-14</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Qualitätstest &amp; Go-Live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Staging → Production Deploy, Full-Site-Test, 404-Check, GA4-Test, Dashboard-Funktionstest</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8.6 Kommunikationsprotokoll mit Claude Code</w:t>
      </w:r>
    </w:p>
    <w:p>
      <w:pPr>
        <w:spacing w:before="80" w:after="80"/>
      </w:pPr>
      <w:r>
        <w:t xml:space="preserve"/>
      </w:r>
    </w:p>
    <w:p>
      <w:pPr>
        <w:spacing w:before="100" w:after="120"/>
      </w:pPr>
      <w:r>
        <w:rPr>
          <w:rFonts w:ascii="Arial" w:cs="Arial" w:eastAsia="Arial" w:hAnsi="Arial"/>
          <w:color w:val="333333"/>
          <w:sz w:val="22"/>
          <w:szCs w:val="22"/>
        </w:rPr>
        <w:t xml:space="preserve">Um maximale Effizienz zu gewährleisten, wird jede Claude-Session nach einem definierten Protokoll gestartet. So versteht Claude sofort den Kontext ohne lange Einarbeitung: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TEMPLATE: Wie jede Claude-Session starten</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40"/>
            </w:pPr>
            <w:r>
              <w:rPr>
                <w:rFonts w:ascii="Arial" w:cs="Arial" w:eastAsia="Arial" w:hAnsi="Arial"/>
                <w:b/>
                <w:bCs/>
                <w:color w:val="1B4F8C"/>
                <w:sz w:val="22"/>
                <w:szCs w:val="22"/>
              </w:rPr>
              <w:t xml:space="preserve">PROMPT-VORLAGE für Claude Code (zu Beginn jeder Entwicklungs-Session):</w:t>
            </w:r>
          </w:p>
          <w:p>
            <w:pPr>
              <w:spacing w:before="20" w:after="10"/>
            </w:pPr>
            <w:r>
              <w:rPr>
                <w:rFonts w:ascii="Courier New" w:cs="Courier New" w:eastAsia="Courier New" w:hAnsi="Courier New"/>
                <w:color w:val="CCCCCC"/>
                <w:sz w:val="20"/>
                <w:szCs w:val="20"/>
              </w:rPr>
              <w:t xml:space="preserve">──────────────────────────────────────────────</w:t>
            </w:r>
          </w:p>
          <w:p>
            <w:pPr>
              <w:spacing w:before="10" w:after="10"/>
            </w:pPr>
            <w:r>
              <w:rPr>
                <w:rFonts w:ascii="Courier New" w:cs="Courier New" w:eastAsia="Courier New" w:hAnsi="Courier New"/>
                <w:color w:val="1A1A2E"/>
                <w:sz w:val="21"/>
                <w:szCs w:val="21"/>
              </w:rPr>
              <w:t xml:space="preserve">Du arbeitest an smartfinpro.com als autonomer Full-Stack-Entwickler.</w:t>
            </w:r>
          </w:p>
          <w:p>
            <w:pPr>
              <w:spacing w:before="10" w:after="10"/>
            </w:pPr>
            <w:r>
              <w:rPr>
                <w:rFonts w:ascii="Courier New" w:cs="Courier New" w:eastAsia="Courier New" w:hAnsi="Courier New"/>
                <w:color w:val="1B4F8C"/>
                <w:sz w:val="21"/>
                <w:szCs w:val="21"/>
              </w:rPr>
              <w:t xml:space="preserve">Aktuelles Arbeitspaket: [AP-0X – Bezeichnung]</w:t>
            </w:r>
          </w:p>
          <w:p>
            <w:pPr>
              <w:spacing w:before="10" w:after="10"/>
            </w:pPr>
            <w:r>
              <w:rPr>
                <w:rFonts w:ascii="Courier New" w:cs="Courier New" w:eastAsia="Courier New" w:hAnsi="Courier New"/>
                <w:color w:val="1A1A2E"/>
                <w:sz w:val="21"/>
                <w:szCs w:val="21"/>
              </w:rPr>
              <w:t xml:space="preserve">Status vorheriger Pakete: AP-01 bis AP-0X-1 abgeschlossen.</w:t>
            </w:r>
          </w:p>
          <w:p>
            <w:pPr>
              <w:spacing w:before="10" w:after="10"/>
            </w:pPr>
            <w:r>
              <w:rPr>
                <w:rFonts w:ascii="Courier New" w:cs="Courier New" w:eastAsia="Courier New" w:hAnsi="Courier New"/>
                <w:color w:val="1A1A2E"/>
                <w:sz w:val="21"/>
                <w:szCs w:val="21"/>
              </w:rPr>
              <w:t xml:space="preserve">Tech-Stack: WordPress + Thrive Suite + Supabase + Rank Math Pro</w:t>
            </w:r>
          </w:p>
          <w:p>
            <w:pPr>
              <w:spacing w:before="10" w:after="10"/>
            </w:pPr>
            <w:r>
              <w:rPr>
                <w:rFonts w:ascii="Courier New" w:cs="Courier New" w:eastAsia="Courier New" w:hAnsi="Courier New"/>
                <w:color w:val="1A1A2E"/>
                <w:sz w:val="21"/>
                <w:szCs w:val="21"/>
              </w:rPr>
              <w:t xml:space="preserve">Brand-Farben: #1B4F8C (Navy), #F5A623 (Gold), #1A6B3A (Green), #D64045 (Red)</w:t>
            </w:r>
          </w:p>
          <w:p>
            <w:pPr>
              <w:spacing w:before="10" w:after="10"/>
            </w:pPr>
            <w:r>
              <w:rPr>
                <w:rFonts w:ascii="Courier New" w:cs="Courier New" w:eastAsia="Courier New" w:hAnsi="Courier New"/>
                <w:color w:val="1A1A2E"/>
                <w:sz w:val="21"/>
                <w:szCs w:val="21"/>
              </w:rPr>
              <w:t xml:space="preserve">Heute: [konkrete Aufgabe beschreiben]</w:t>
            </w:r>
          </w:p>
          <w:p>
            <w:pPr>
              <w:spacing w:before="10" w:after="10"/>
            </w:pPr>
            <w:r>
              <w:rPr>
                <w:rFonts w:ascii="Courier New" w:cs="Courier New" w:eastAsia="Courier New" w:hAnsi="Courier New"/>
                <w:color w:val="1A6B3A"/>
                <w:sz w:val="21"/>
                <w:szCs w:val="21"/>
              </w:rPr>
              <w:t xml:space="preserve">Wichtig: Schreibe vollständige, produktionsreife Dateien.</w:t>
            </w:r>
          </w:p>
          <w:p>
            <w:pPr>
              <w:spacing w:before="10" w:after="20"/>
            </w:pPr>
            <w:r>
              <w:rPr>
                <w:rFonts w:ascii="Courier New" w:cs="Courier New" w:eastAsia="Courier New" w:hAnsi="Courier New"/>
                <w:color w:val="CCCCCC"/>
                <w:sz w:val="20"/>
                <w:szCs w:val="20"/>
              </w:rPr>
              <w:t xml:space="preserve">──────────────────────────────────────────────</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9. Makroökonomische Marktanalyse &amp; Strategischer Kontext 2026</w:t>
      </w:r>
    </w:p>
    <w:p>
      <w:pPr>
        <w:spacing w:before="80" w:after="80"/>
      </w:pPr>
      <w:r>
        <w:t xml:space="preserve"/>
      </w:r>
    </w:p>
    <w:p>
      <w:pPr>
        <w:spacing w:before="100" w:after="120"/>
      </w:pPr>
      <w:r>
        <w:rPr>
          <w:rFonts w:ascii="Arial" w:cs="Arial" w:eastAsia="Arial" w:hAnsi="Arial"/>
          <w:color w:val="333333"/>
          <w:sz w:val="22"/>
          <w:szCs w:val="22"/>
        </w:rPr>
        <w:t xml:space="preserve">Das Jahr 2026 markiert einen entscheidenden Wendepunkt in der globalen Wirtschaftsgeschichte. Die Weltwirtschaft hat die volatilen Inflationszyklen der Jahre 2022–2024 überwunden und stabilisiert sich bei einem globalen Wachstum von ca. 3,3 Prozent. Diese oberflächliche Stabilität verbirgt jedoch tiefere, divergierende Kräfte, die die Landschaft für Finanzdienstleistungen grundlegend neu geformt haben – und SmartFinPro.com exakt in die richtige strategische Position bringen.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KERNTHESE: Warum 2026 das ideale Gründungsjahr für SmartFinPro ist</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40"/>
            </w:pPr>
            <w:r>
              <w:rPr>
                <w:rFonts w:ascii="Arial" w:cs="Arial" w:eastAsia="Arial" w:hAnsi="Arial"/>
                <w:sz w:val="22"/>
                <w:szCs w:val="22"/>
              </w:rPr>
              <w:t xml:space="preserve">Drei strukturelle Megatrends schaffen simultane Nachfragespitzen in allen vier Zielmärkten:</w:t>
            </w:r>
          </w:p>
          <w:p>
            <w:pPr>
              <w:pStyle w:val="ListParagraph"/>
              <w:numPr>
                <w:ilvl w:val="0"/>
                <w:numId w:val="2"/>
              </w:numPr>
              <w:spacing w:before="40" w:after="40"/>
            </w:pPr>
            <w:r>
              <w:rPr>
                <w:rFonts w:ascii="Arial" w:cs="Arial" w:eastAsia="Arial" w:hAnsi="Arial"/>
                <w:sz w:val="21"/>
                <w:szCs w:val="21"/>
              </w:rPr>
              <w:t xml:space="preserve">"Higher-for-Longer" Zinsen: Rekordverschuldung trifft hohe Zinslast → massiver Bedarf nach Umschuldung, Credit Repair und Hypotheken-Optimierung</w:t>
            </w:r>
          </w:p>
          <w:p>
            <w:pPr>
              <w:pStyle w:val="ListParagraph"/>
              <w:numPr>
                <w:ilvl w:val="0"/>
                <w:numId w:val="2"/>
              </w:numPr>
              <w:spacing w:before="40" w:after="40"/>
            </w:pPr>
            <w:r>
              <w:rPr>
                <w:rFonts w:ascii="Arial" w:cs="Arial" w:eastAsia="Arial" w:hAnsi="Arial"/>
                <w:sz w:val="21"/>
                <w:szCs w:val="21"/>
              </w:rPr>
              <w:t xml:space="preserve">Ende der "10 blauen Links": KI-gestützte Suchmaschinen belohnen Seiten mit echter Topical Authority und strukturierten Daten – genau das baut SmartFinPro auf</w:t>
            </w:r>
          </w:p>
          <w:p>
            <w:pPr>
              <w:pStyle w:val="ListParagraph"/>
              <w:numPr>
                <w:ilvl w:val="0"/>
                <w:numId w:val="2"/>
              </w:numPr>
              <w:spacing w:before="40" w:after="40"/>
            </w:pPr>
            <w:r>
              <w:rPr>
                <w:rFonts w:ascii="Arial" w:cs="Arial" w:eastAsia="Arial" w:hAnsi="Arial"/>
                <w:sz w:val="21"/>
                <w:szCs w:val="21"/>
              </w:rPr>
              <w:t xml:space="preserve">"Savvy Consumer" Klasse: Technologieversierte, extrem preisbewusste Haushalte suchen aktiv nach Vergleichen und Optimierungslösungen – der Kernnutzer von SmartFinPro</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9.1 Länderspezifische Marktdaten &amp; Wirtschaftsprognosen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2200"/>
        <w:gridCol w:w="2160"/>
      </w:tblGrid>
      <w:tr>
        <w:tc>
          <w:tcPr>
            <w:tcW w:type="dxa" w:w="160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Markt</w:t>
            </w:r>
          </w:p>
        </w:tc>
        <w:tc>
          <w:tcPr>
            <w:tcW w:type="dxa" w:w="170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BIP-Wachstum 2026</w:t>
            </w:r>
          </w:p>
        </w:tc>
        <w:tc>
          <w:tcPr>
            <w:tcW w:type="dxa" w:w="170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Inflation (Headline)</w:t>
            </w:r>
          </w:p>
        </w:tc>
        <w:tc>
          <w:tcPr>
            <w:tcW w:type="dxa" w:w="220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Primäre fiskale Treiber</w:t>
            </w:r>
          </w:p>
        </w:tc>
        <w:tc>
          <w:tcPr>
            <w:tcW w:type="dxa" w:w="216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Konsumentenfokus</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B4F8C"/>
                <w:sz w:val="20"/>
                <w:szCs w:val="20"/>
              </w:rPr>
              <w:t xml:space="preserve">🇺🇸 USA</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2,1% – 4,3%</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~3,0% (tarifabhängig)</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Fiskalexpansion, Technologieinvestitionen</w:t>
            </w:r>
          </w:p>
        </w:tc>
        <w:tc>
          <w:tcPr>
            <w:tcW w:type="dxa" w:w="21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19"/>
                <w:szCs w:val="19"/>
              </w:rPr>
              <w:t xml:space="preserve">Kreditreparatur, Schuldenabbau</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b/>
                <w:bCs/>
                <w:color w:val="1B4F8C"/>
                <w:sz w:val="20"/>
                <w:szCs w:val="20"/>
              </w:rPr>
              <w:t xml:space="preserve">🇬🇧 UK</w:t>
            </w:r>
          </w:p>
        </w:tc>
        <w:tc>
          <w:tcPr>
            <w:tcW w:type="dxa" w:w="17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Moderat/Stabil</w:t>
            </w:r>
          </w:p>
        </w:tc>
        <w:tc>
          <w:tcPr>
            <w:tcW w:type="dxa" w:w="17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Graduell → Zielwert</w:t>
            </w:r>
          </w:p>
        </w:tc>
        <w:tc>
          <w:tcPr>
            <w:tcW w:type="dxa" w:w="22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Deleveraging, Dienstleistungen</w:t>
            </w:r>
          </w:p>
        </w:tc>
        <w:tc>
          <w:tcPr>
            <w:tcW w:type="dxa" w:w="216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r>
              <w:rPr>
                <w:rFonts w:ascii="Arial" w:cs="Arial" w:eastAsia="Arial" w:hAnsi="Arial"/>
                <w:b/>
                <w:bCs/>
                <w:sz w:val="19"/>
                <w:szCs w:val="19"/>
              </w:rPr>
              <w:t xml:space="preserve">Hypotheken-Refinanzierung</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B4F8C"/>
                <w:sz w:val="20"/>
                <w:szCs w:val="20"/>
              </w:rPr>
              <w:t xml:space="preserve">🇨🇦 Kanada</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1,5% – 1,7%</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~2,0% (Zielkorridor)</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Staatsausgaben Wohnungsbau &amp; Infrastruktur</w:t>
            </w:r>
          </w:p>
        </w:tc>
        <w:tc>
          <w:tcPr>
            <w:tcW w:type="dxa" w:w="2160"/>
            <w:tcBorders>
              <w:top w:val="single" w:color="CCCCCC" w:sz="1"/>
              <w:left w:val="single" w:color="CCCCCC" w:sz="1"/>
              <w:bottom w:val="single" w:color="CCCCCC" w:sz="1"/>
              <w:right w:val="single" w:color="CCCCCC" w:sz="1"/>
            </w:tcBorders>
            <w:shd w:fill="FFE5E5" w:val="clear"/>
            <w:tcMar>
              <w:top w:type="dxa" w:w="80"/>
              <w:left w:type="dxa" w:w="100"/>
              <w:bottom w:type="dxa" w:w="80"/>
              <w:right w:type="dxa" w:w="100"/>
            </w:tcMar>
          </w:tcPr>
          <w:p>
            <w:r>
              <w:rPr>
                <w:rFonts w:ascii="Arial" w:cs="Arial" w:eastAsia="Arial" w:hAnsi="Arial"/>
                <w:b/>
                <w:bCs/>
                <w:sz w:val="19"/>
                <w:szCs w:val="19"/>
              </w:rPr>
              <w:t xml:space="preserve">Immobilien-Erschwinglichkeit</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b/>
                <w:bCs/>
                <w:color w:val="1B4F8C"/>
                <w:sz w:val="20"/>
                <w:szCs w:val="20"/>
              </w:rPr>
              <w:t xml:space="preserve">🇦🇺 Australien</w:t>
            </w:r>
          </w:p>
        </w:tc>
        <w:tc>
          <w:tcPr>
            <w:tcW w:type="dxa" w:w="17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Resilient</w:t>
            </w:r>
          </w:p>
        </w:tc>
        <w:tc>
          <w:tcPr>
            <w:tcW w:type="dxa" w:w="17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Rückläufig</w:t>
            </w:r>
          </w:p>
        </w:tc>
        <w:tc>
          <w:tcPr>
            <w:tcW w:type="dxa" w:w="22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Rohstoffexporte, stabile Binnennachfrage</w:t>
            </w:r>
          </w:p>
        </w:tc>
        <w:tc>
          <w:tcPr>
            <w:tcW w:type="dxa" w:w="2160"/>
            <w:tcBorders>
              <w:top w:val="single" w:color="CCCCCC" w:sz="1"/>
              <w:left w:val="single" w:color="CCCCCC" w:sz="1"/>
              <w:bottom w:val="single" w:color="CCCCCC" w:sz="1"/>
              <w:right w:val="single" w:color="CCCCCC" w:sz="1"/>
            </w:tcBorders>
            <w:shd w:fill="FFF3D5" w:val="clear"/>
            <w:tcMar>
              <w:top w:type="dxa" w:w="80"/>
              <w:left w:type="dxa" w:w="100"/>
              <w:bottom w:type="dxa" w:w="80"/>
              <w:right w:type="dxa" w:w="100"/>
            </w:tcMar>
          </w:tcPr>
          <w:p>
            <w:r>
              <w:rPr>
                <w:rFonts w:ascii="Arial" w:cs="Arial" w:eastAsia="Arial" w:hAnsi="Arial"/>
                <w:b/>
                <w:bCs/>
                <w:sz w:val="19"/>
                <w:szCs w:val="19"/>
              </w:rPr>
              <w:t xml:space="preserve">Altersvorsorge-Optimierung</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9.2 Von SEO zu GEO – Die neue Suchlandschaft 2026</w:t>
      </w:r>
    </w:p>
    <w:p>
      <w:pPr>
        <w:spacing w:before="80" w:after="80"/>
      </w:pPr>
      <w:r>
        <w:t xml:space="preserve"/>
      </w:r>
    </w:p>
    <w:p>
      <w:pPr>
        <w:spacing w:before="100" w:after="120"/>
      </w:pPr>
      <w:r>
        <w:rPr>
          <w:rFonts w:ascii="Arial" w:cs="Arial" w:eastAsia="Arial" w:hAnsi="Arial"/>
          <w:color w:val="333333"/>
          <w:sz w:val="22"/>
          <w:szCs w:val="22"/>
        </w:rPr>
        <w:t xml:space="preserve">Die Ära der zehn blauen Links ist beendet. An ihre Stelle sind KI-gestützte Generative Search Experiences (GSE) getreten, die Informationen synthetisieren und direkt in der Suchoberfläche präsentieren. Für SmartFinPro bedeutet das: Wer nicht in den KI-Antworten von Google AI Overview oder ChatGPT als vertrauenswürdige Quelle zitiert wird, verliert massiv an Reichweite – unabhängig vom klassischen Ranking.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FRÜHER: SEO (Search Engine Optimization)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HEUTE: GEO (Generative Engine Optimization)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Ziel: Ranking auf Seite 1 für Keywords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Ziel: Als Quellenreferenz in KI-Antworten zitiert werden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Taktik: Backlinks, Keyword-Dichte, Meta-Tags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Taktik: Strukturierte Daten, modularer Content, E-E-A-T</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Traffic-Quelle: Organische Klicks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Traffic-Quelle: Brand Mentions + direkte KI-Referenzen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Content-Format: Lange Fließtextartikel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Content-Format: Prägnante Antwort-Blöcke, FAQs, Tabellen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Autorität: Domainautorität (DA)</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Autorität: Personen-Expertise + Zertifikate + reguläre Quellen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SmartFinPro GEO-Strategie: 5 Hebel für KI-Sichtbarkeit</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pStyle w:val="ListParagraph"/>
              <w:numPr>
                <w:ilvl w:val="0"/>
                <w:numId w:val="3"/>
              </w:numPr>
              <w:spacing w:before="60" w:after="40"/>
            </w:pPr>
            <w:r>
              <w:rPr>
                <w:rFonts w:ascii="Arial" w:cs="Arial" w:eastAsia="Arial" w:hAnsi="Arial"/>
                <w:sz w:val="21"/>
                <w:szCs w:val="21"/>
              </w:rPr>
              <w:t xml:space="preserve">Strukturierte Daten (Schema.org): FAQPage, HowTo, FinancialProduct, Person – ermöglicht KI-Crawlern präzise Faktenextraktion aus SmartFinPro-Inhalten</w:t>
            </w:r>
          </w:p>
          <w:p>
            <w:pPr>
              <w:pStyle w:val="ListParagraph"/>
              <w:numPr>
                <w:ilvl w:val="0"/>
                <w:numId w:val="3"/>
              </w:numPr>
              <w:spacing w:before="40" w:after="40"/>
            </w:pPr>
            <w:r>
              <w:rPr>
                <w:rFonts w:ascii="Arial" w:cs="Arial" w:eastAsia="Arial" w:hAnsi="Arial"/>
                <w:sz w:val="21"/>
                <w:szCs w:val="21"/>
              </w:rPr>
              <w:t xml:space="preserve">Autoritäre Markennennungen: Aufbau von SmartFinPro-Erwähnungen auf Reddit, Quora, Trustpilot und Nischen-Foren – KI-Modelle gewichten Nennungen auf solchen Plattformen als Vertrauenssignal</w:t>
            </w:r>
          </w:p>
          <w:p>
            <w:pPr>
              <w:pStyle w:val="ListParagraph"/>
              <w:numPr>
                <w:ilvl w:val="0"/>
                <w:numId w:val="3"/>
              </w:numPr>
              <w:spacing w:before="40" w:after="40"/>
            </w:pPr>
            <w:r>
              <w:rPr>
                <w:rFonts w:ascii="Arial" w:cs="Arial" w:eastAsia="Arial" w:hAnsi="Arial"/>
                <w:sz w:val="21"/>
                <w:szCs w:val="21"/>
              </w:rPr>
              <w:t xml:space="preserve">E-E-A-T 2.0: Jeder Artikel hat einen namentlich genannten Experten mit Zertifikat, LinkedIn-Profil und nachweisbarer Branchen-Erfahrung – kein anonymer Content</w:t>
            </w:r>
          </w:p>
          <w:p>
            <w:pPr>
              <w:pStyle w:val="ListParagraph"/>
              <w:numPr>
                <w:ilvl w:val="0"/>
                <w:numId w:val="3"/>
              </w:numPr>
              <w:spacing w:before="40" w:after="40"/>
            </w:pPr>
            <w:r>
              <w:rPr>
                <w:rFonts w:ascii="Arial" w:cs="Arial" w:eastAsia="Arial" w:hAnsi="Arial"/>
                <w:sz w:val="21"/>
                <w:szCs w:val="21"/>
              </w:rPr>
              <w:t xml:space="preserve">Modularer Content-Aufbau: Jede Pillar-Seite enthält eigenständige, zitierbare Antwort-Einheiten (Answer Blocks) – kurze, faktendichte Abschnitte die KI-Modelle direkt übernehmen können</w:t>
            </w:r>
          </w:p>
          <w:p>
            <w:pPr>
              <w:pStyle w:val="ListParagraph"/>
              <w:numPr>
                <w:ilvl w:val="0"/>
                <w:numId w:val="3"/>
              </w:numPr>
              <w:spacing w:before="40" w:after="60"/>
            </w:pPr>
            <w:r>
              <w:rPr>
                <w:rFonts w:ascii="Arial" w:cs="Arial" w:eastAsia="Arial" w:hAnsi="Arial"/>
                <w:sz w:val="21"/>
                <w:szCs w:val="21"/>
              </w:rPr>
              <w:t xml:space="preserve">BoFu-First-Strategie: Da ToFu-Content durch KI-Overviews entwertet wird, konzentriert SmartFinPro seinen Kern auf hochspezifische, transaktionale Bottom-of-Funnel-Keywords mit direkter Affiliate-Konversion</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9.3 Erweiterte Affiliate-Programm-Analyse 2026</w:t>
      </w:r>
    </w:p>
    <w:p>
      <w:pPr>
        <w:spacing w:before="80" w:after="80"/>
      </w:pPr>
      <w:r>
        <w:t xml:space="preserve"/>
      </w:r>
    </w:p>
    <w:p>
      <w:pPr>
        <w:spacing w:before="100" w:after="120"/>
      </w:pPr>
      <w:r>
        <w:rPr>
          <w:rFonts w:ascii="Arial" w:cs="Arial" w:eastAsia="Arial" w:hAnsi="Arial"/>
          <w:color w:val="333333"/>
          <w:sz w:val="22"/>
          <w:szCs w:val="22"/>
        </w:rPr>
        <w:t xml:space="preserve">Der globale Affiliate-Markt nähert sich 2026 einer Bewertung von 20 Milliarden US-Dollar. Im Fintech-Sektor verschiebt sich der Fokus auf High-Ticket-CPA-Programme, die durch die Zinswende besonders profitabel sind. Ergänzend zu den primären Affiliate-Partnern aus Kapitel 5 bieten folgende Programme strategische Wachstumschancen: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60"/>
        <w:gridCol w:w="3200"/>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Programm</w:t>
            </w:r>
          </w:p>
        </w:tc>
        <w:tc>
          <w:tcPr>
            <w:tcW w:type="dxa" w:w="180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Fokusmarkt</w:t>
            </w:r>
          </w:p>
        </w:tc>
        <w:tc>
          <w:tcPr>
            <w:tcW w:type="dxa" w:w="236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Modell / Provision</w:t>
            </w:r>
          </w:p>
        </w:tc>
        <w:tc>
          <w:tcPr>
            <w:tcW w:type="dxa" w:w="320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19"/>
                <w:szCs w:val="19"/>
              </w:rPr>
              <w:t xml:space="preserve">Strategischer Vorteil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Binance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Global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Bis zu 50% Lifetime-RevShare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Reife des Krypto-Marktes, Cross-Market</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b/>
                <w:bCs/>
                <w:sz w:val="19"/>
                <w:szCs w:val="19"/>
              </w:rPr>
              <w:t xml:space="preserve">Robinhood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 USA</w:t>
            </w:r>
          </w:p>
        </w:tc>
        <w:tc>
          <w:tcPr>
            <w:tcW w:type="dxa" w:w="236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$5/Lead + $20/Funded Account</w:t>
            </w:r>
          </w:p>
        </w:tc>
        <w:tc>
          <w:tcPr>
            <w:tcW w:type="dxa" w:w="32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Gen-Z Investment-Trend, niedrige Einstiegshürde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Empower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USA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High-Ticket CPA Wealth Mgmt.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Starke Nachfrage nach Finanzplanung</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b/>
                <w:bCs/>
                <w:sz w:val="19"/>
                <w:szCs w:val="19"/>
              </w:rPr>
              <w:t xml:space="preserve">Wise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Global / 🇬🇧 UK</w:t>
            </w:r>
          </w:p>
        </w:tc>
        <w:tc>
          <w:tcPr>
            <w:tcW w:type="dxa" w:w="236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Per Referral CPA</w:t>
            </w:r>
          </w:p>
        </w:tc>
        <w:tc>
          <w:tcPr>
            <w:tcW w:type="dxa" w:w="32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Grenzüberschreitende Mobilität, Expats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Experian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USA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Credit Monitoring / Repair CPA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Rekordverschuldung bei Kreditkarten</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b/>
                <w:bCs/>
                <w:sz w:val="19"/>
                <w:szCs w:val="19"/>
              </w:rPr>
              <w:t xml:space="preserve">Ally Invest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 USA</w:t>
            </w:r>
          </w:p>
        </w:tc>
        <w:tc>
          <w:tcPr>
            <w:tcW w:type="dxa" w:w="236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Low-Cost Brokerage CPA</w:t>
            </w:r>
          </w:p>
        </w:tc>
        <w:tc>
          <w:tcPr>
            <w:tcW w:type="dxa" w:w="32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Kostenbewusste Anleger post-Inflation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M1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USA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Hybrid Robo-Advisor CPA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Automatisierte Portfolio-Optimierung</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b/>
                <w:bCs/>
                <w:sz w:val="19"/>
                <w:szCs w:val="19"/>
              </w:rPr>
              <w:t xml:space="preserve">eToro</w:t>
            </w:r>
          </w:p>
        </w:tc>
        <w:tc>
          <w:tcPr>
            <w:tcW w:type="dxa" w:w="18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 UK / Global</w:t>
            </w:r>
          </w:p>
        </w:tc>
        <w:tc>
          <w:tcPr>
            <w:tcW w:type="dxa" w:w="236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Social Trading CPA</w:t>
            </w:r>
          </w:p>
        </w:tc>
        <w:tc>
          <w:tcPr>
            <w:tcW w:type="dxa" w:w="320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19"/>
                <w:szCs w:val="19"/>
              </w:rPr>
              <w:t xml:space="preserve">Community-gestützte Investments</w:t>
            </w:r>
          </w:p>
        </w:tc>
      </w:tr>
    </w:tbl>
    <w:p>
      <w:pPr>
        <w:spacing w:before="80" w:after="80"/>
      </w:pPr>
      <w:r>
        <w:t xml:space="preserve"/>
      </w:r>
    </w:p>
    <w:p>
      <w:r>
        <w:br w:type="page"/>
      </w:r>
    </w:p>
    <w:p>
      <w:pPr>
        <w:pStyle w:val="Heading2"/>
        <w:pBdr>
          <w:bottom w:val="single" w:color="1B4F8C" w:sz="4"/>
        </w:pBdr>
        <w:spacing w:before="300" w:after="150"/>
      </w:pPr>
      <w:r>
        <w:rPr>
          <w:rFonts w:ascii="Arial" w:cs="Arial" w:eastAsia="Arial" w:hAnsi="Arial"/>
          <w:b/>
          <w:bCs/>
          <w:color w:val="1B4F8C"/>
          <w:sz w:val="28"/>
          <w:szCs w:val="28"/>
        </w:rPr>
        <w:t xml:space="preserve">9.4 Regulatorische Rahmenbedingungen – Compliance als Wettbewerbsvorteil</w:t>
      </w:r>
    </w:p>
    <w:p>
      <w:pPr>
        <w:spacing w:before="80" w:after="80"/>
      </w:pPr>
      <w:r>
        <w:t xml:space="preserve"/>
      </w:r>
    </w:p>
    <w:p>
      <w:pPr>
        <w:spacing w:before="100" w:after="120"/>
      </w:pPr>
      <w:r>
        <w:rPr>
          <w:rFonts w:ascii="Arial" w:cs="Arial" w:eastAsia="Arial" w:hAnsi="Arial"/>
          <w:color w:val="333333"/>
          <w:sz w:val="22"/>
          <w:szCs w:val="22"/>
        </w:rPr>
        <w:t xml:space="preserve">Regulierung ist 2026 kein Kostenfaktor, sondern ein strategischer Differenzierungsfaktor. Wer Compliance proaktiv kommuniziert, gewinnt Vertrauen in einem Markt, der von synthetischen Inhalten und dubioser Beratung überschwemmt wird. SmartFinPro positioniert sich als Compliance-First-Plattform.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 UK: FCA-Regulierung 2026 – Priorität Nr. 1 für SmartFinPro UK-Silo</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40"/>
            </w:pPr>
            <w:r>
              <w:rPr>
                <w:rFonts w:ascii="Arial" w:cs="Arial" w:eastAsia="Arial" w:hAnsi="Arial"/>
                <w:sz w:val="22"/>
                <w:szCs w:val="22"/>
              </w:rPr>
              <w:t xml:space="preserve">Die britische Financial Conduct Authority (FCA) setzt 2026 globale Standards – und trifft direkt den SmartFinPro UK-Silo:</w:t>
            </w:r>
          </w:p>
          <w:p>
            <w:pPr>
              <w:pStyle w:val="ListParagraph"/>
              <w:numPr>
                <w:ilvl w:val="0"/>
                <w:numId w:val="2"/>
              </w:numPr>
              <w:spacing w:before="40" w:after="40"/>
            </w:pPr>
            <w:r>
              <w:rPr>
                <w:rFonts w:ascii="Arial" w:cs="Arial" w:eastAsia="Arial" w:hAnsi="Arial"/>
                <w:sz w:val="21"/>
                <w:szCs w:val="21"/>
              </w:rPr>
              <w:t xml:space="preserve">Consumer Composite Investments (CCI) Regime (April 2026): Ersetzt veraltete PRIIPs-Regeln. Ermöglicht flexiblere Kundenkommunikation bei strikter Ausrichtung am Consumer Duty. SmartFinPro muss alle UK-Inhalte auf CCI-Konformität prüfen.</w:t>
            </w:r>
          </w:p>
          <w:p>
            <w:pPr>
              <w:pStyle w:val="ListParagraph"/>
              <w:numPr>
                <w:ilvl w:val="0"/>
                <w:numId w:val="2"/>
              </w:numPr>
              <w:spacing w:before="40" w:after="40"/>
            </w:pPr>
            <w:r>
              <w:rPr>
                <w:rFonts w:ascii="Arial" w:cs="Arial" w:eastAsia="Arial" w:hAnsi="Arial"/>
                <w:sz w:val="21"/>
                <w:szCs w:val="21"/>
              </w:rPr>
              <w:t xml:space="preserve">Targeted Support (April 2026): Schließt die Lücke zwischen allgemeiner Information und individueller Beratung. SmartFinPro-Content muss klar als "Information, keine Beratung" gekennzeichnet sein.</w:t>
            </w:r>
          </w:p>
          <w:p>
            <w:pPr>
              <w:pStyle w:val="ListParagraph"/>
              <w:numPr>
                <w:ilvl w:val="0"/>
                <w:numId w:val="2"/>
              </w:numPr>
              <w:spacing w:before="40" w:after="40"/>
            </w:pPr>
            <w:r>
              <w:rPr>
                <w:rFonts w:ascii="Arial" w:cs="Arial" w:eastAsia="Arial" w:hAnsi="Arial"/>
                <w:sz w:val="21"/>
                <w:szCs w:val="21"/>
              </w:rPr>
              <w:t xml:space="preserve">BNPL-Regulierung (Juli 2026): Buy-Now-Pay-Later-Anbieter brauchen obligatorische Erschwinglichkeitsprüfungen. Relevant für UK-Vergleichsseiten zu Konsumentenkrediten.</w:t>
            </w:r>
          </w:p>
          <w:p>
            <w:pPr>
              <w:pStyle w:val="ListParagraph"/>
              <w:numPr>
                <w:ilvl w:val="0"/>
                <w:numId w:val="2"/>
              </w:numPr>
              <w:spacing w:before="40" w:after="60"/>
            </w:pPr>
            <w:r>
              <w:rPr>
                <w:rFonts w:ascii="Arial" w:cs="Arial" w:eastAsia="Arial" w:hAnsi="Arial"/>
                <w:sz w:val="21"/>
                <w:szCs w:val="21"/>
              </w:rPr>
              <w:t xml:space="preserve">Affiliate-Haftung: Die FCA nimmt Publisher stärker in die Verantwortung für die Kommunikation ihrer Affiliate-Partner. Jede Produktaussage auf SmartFinPro UK muss faktisch korrekt und nicht irreführend sein.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USA – CFPB &amp; FTC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Financial Protection Bureau: Klare Affiliate-Disclosure-Pflicht (FTC Guidelines). Alle gesponsorten Inhalte müssen als solche erkennbar sein. Truth in Advertising gilt auch für Content-Seiten.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 Australien – ASIC</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Australian Securities and Investments Commission: Comparison-Seiten zu Finanzprodukten unterliegen dem Australian Financial Services (AFS) Licensing. SmartFinPro muss AU-Inhalte als "General Advice" klassifizieren.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Kanada – OSC / FCAC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Ontario Securities Commission &amp; Financial Consumer Agency: TFSA/RRSP-Vergleichscontent gilt als Finanzinformation. Keine Empfehlungen ohne klaren Disclaimer.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 EU / Global – EU AI Act</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Für KI-generierte Inhalte (Claude Code) gilt ab 2026 verschärfte Transparenzpflicht. SmartFinPro muss KI-assistierten Content kennzeichnen und Qualitätskontrolle durch menschliche Redakteure dokumentieren.</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9.5 Bedrohungslage: Synthetischer Betrug &amp; Cybersicherheit</w:t>
      </w:r>
    </w:p>
    <w:p>
      <w:pPr>
        <w:spacing w:before="80" w:after="80"/>
      </w:pPr>
      <w:r>
        <w:t xml:space="preserve"/>
      </w:r>
    </w:p>
    <w:p>
      <w:pPr>
        <w:spacing w:before="100" w:after="120"/>
      </w:pPr>
      <w:r>
        <w:rPr>
          <w:rFonts w:ascii="Arial" w:cs="Arial" w:eastAsia="Arial" w:hAnsi="Arial"/>
          <w:color w:val="333333"/>
          <w:sz w:val="22"/>
          <w:szCs w:val="22"/>
        </w:rPr>
        <w:t xml:space="preserve">Betrug ist 2026 eine hochgradig koordinierte, industrielle Operation. Für SmartFinPro ist das relevant auf zwei Ebenen: Schutz der eigenen Plattform und des Dashboards, sowie Vertrauensaufbau durch klare Anti-Fraud-Kommunikation gegenüber Nutzern.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4"/>
                <w:szCs w:val="24"/>
              </w:rPr>
              <w:t xml:space="preserve">Bedrohungsbild 2026 &amp; SmartFinPro-Schutzmaßnahmen</w:t>
            </w:r>
          </w:p>
        </w:tc>
      </w:tr>
      <w:tr>
        <w:tc>
          <w:tcPr>
            <w:tcW w:type="dxa" w:w="9360"/>
            <w:tcBorders>
              <w:top w:val="single" w:color="CCCCCC" w:sz="1"/>
              <w:left w:val="single" w:color="CCCCCC" w:sz="1"/>
              <w:bottom w:val="single" w:color="CCCCCC" w:sz="1"/>
              <w:right w:val="single" w:color="CCCCCC" w:sz="1"/>
            </w:tcBorders>
            <w:shd w:fill="F2F4F8" w:val="clear"/>
            <w:tcMar>
              <w:top w:type="dxa" w:w="120"/>
              <w:left w:type="dxa" w:w="160"/>
              <w:bottom w:type="dxa" w:w="120"/>
              <w:right w:type="dxa" w:w="160"/>
            </w:tcMar>
          </w:tcPr>
          <w:p>
            <w:pPr>
              <w:spacing w:before="60" w:after="40"/>
            </w:pPr>
            <w:r>
              <w:rPr>
                <w:rFonts w:ascii="Arial" w:cs="Arial" w:eastAsia="Arial" w:hAnsi="Arial"/>
                <w:b/>
                <w:bCs/>
                <w:color w:val="D64045"/>
                <w:sz w:val="22"/>
                <w:szCs w:val="22"/>
              </w:rPr>
              <w:t xml:space="preserve">BEDROHUNG 1: Synthetische Identitäten ("All-Green"-Problem)</w:t>
            </w:r>
          </w:p>
          <w:p>
            <w:pPr>
              <w:spacing w:before="40" w:after="40"/>
            </w:pPr>
            <w:r>
              <w:rPr>
                <w:rFonts w:ascii="Arial" w:cs="Arial" w:eastAsia="Arial" w:hAnsi="Arial"/>
                <w:sz w:val="21"/>
                <w:szCs w:val="21"/>
              </w:rPr>
              <w:t xml:space="preserve">Mithilfe generativer KI erstellen Betrüger Identitätskits, die herkömmliche Onboarding-Checks umgehen. Legitime Kontoinhaber werden durch KI-gestützte Überzeugungstechniken manipuliert, Transaktionen selbst zu tätigen. Für SmartFinPro bedeutet das: Affiliate-Betrug durch gefakte Conversions ist ein reales Risiko.</w:t>
            </w:r>
          </w:p>
          <w:p>
            <w:pPr>
              <w:spacing w:before="40" w:after="60"/>
            </w:pPr>
            <w:r>
              <w:rPr>
                <w:rFonts w:ascii="Arial" w:cs="Arial" w:eastAsia="Arial" w:hAnsi="Arial"/>
                <w:color w:val="1A6B3A"/>
                <w:sz w:val="21"/>
                <w:szCs w:val="21"/>
              </w:rPr>
              <w:t xml:space="preserve">Schutzmaßnahme (Claude implementiert): Click-Fraud-Detection im Dashboard – ungewöhnliche Klickraten, geografische Anomalien und Bot-Traffic werden automatisch gefiltert und gemeldet.</w:t>
            </w:r>
          </w:p>
          <w:p>
            <w:pPr>
              <w:spacing w:before="60" w:after="40"/>
            </w:pPr>
            <w:r>
              <w:rPr>
                <w:rFonts w:ascii="Arial" w:cs="Arial" w:eastAsia="Arial" w:hAnsi="Arial"/>
                <w:b/>
                <w:bCs/>
                <w:color w:val="D64045"/>
                <w:sz w:val="22"/>
                <w:szCs w:val="22"/>
              </w:rPr>
              <w:t xml:space="preserve">BEDROHUNG 2: Content-Piraterie &amp; Brand-Hijacking</w:t>
            </w:r>
          </w:p>
          <w:p>
            <w:pPr>
              <w:spacing w:before="40" w:after="40"/>
            </w:pPr>
            <w:r>
              <w:rPr>
                <w:rFonts w:ascii="Arial" w:cs="Arial" w:eastAsia="Arial" w:hAnsi="Arial"/>
                <w:sz w:val="21"/>
                <w:szCs w:val="21"/>
              </w:rPr>
              <w:t xml:space="preserve">Konkurrenten scrapen SmartFinPro-Inhalte und republizieren diese. Duplicate-Content schadet dem Ranking und verwirrt Affiliate-Netzwerke über die wahre Traffic-Quelle.</w:t>
            </w:r>
          </w:p>
          <w:p>
            <w:pPr>
              <w:spacing w:before="40" w:after="60"/>
            </w:pPr>
            <w:r>
              <w:rPr>
                <w:rFonts w:ascii="Arial" w:cs="Arial" w:eastAsia="Arial" w:hAnsi="Arial"/>
                <w:color w:val="1A6B3A"/>
                <w:sz w:val="21"/>
                <w:szCs w:val="21"/>
              </w:rPr>
              <w:t xml:space="preserve">Schutzmaßnahme: Alle Artikel enthalten strukturierte Autorendaten mit Datum (Schema: Article). Copyscape-Monitoring wöchentlich. DMCA-Takedown-Prozess dokumentiert.</w:t>
            </w:r>
          </w:p>
          <w:p>
            <w:pPr>
              <w:spacing w:before="60" w:after="40"/>
            </w:pPr>
            <w:r>
              <w:rPr>
                <w:rFonts w:ascii="Arial" w:cs="Arial" w:eastAsia="Arial" w:hAnsi="Arial"/>
                <w:b/>
                <w:bCs/>
                <w:color w:val="D64045"/>
                <w:sz w:val="22"/>
                <w:szCs w:val="22"/>
              </w:rPr>
              <w:t xml:space="preserve">BEDROHUNG 3: Dashboard-Sicherheit</w:t>
            </w:r>
          </w:p>
          <w:p>
            <w:pPr>
              <w:spacing w:before="40" w:after="40"/>
            </w:pPr>
            <w:r>
              <w:rPr>
                <w:rFonts w:ascii="Arial" w:cs="Arial" w:eastAsia="Arial" w:hAnsi="Arial"/>
                <w:sz w:val="21"/>
                <w:szCs w:val="21"/>
              </w:rPr>
              <w:t xml:space="preserve">Das autarke Dashboard enthält sensible Affiliate-Umsatzdaten und Supabase-Verbindungen. Unbefugter Zugriff würde Einnahmen gefährden und Affiliate-Beziehungen beschädigen.</w:t>
            </w:r>
          </w:p>
          <w:p>
            <w:pPr>
              <w:spacing w:before="40" w:after="40"/>
            </w:pPr>
            <w:r>
              <w:rPr>
                <w:rFonts w:ascii="Arial" w:cs="Arial" w:eastAsia="Arial" w:hAnsi="Arial"/>
                <w:color w:val="1A6B3A"/>
                <w:sz w:val="21"/>
                <w:szCs w:val="21"/>
              </w:rPr>
              <w:t xml:space="preserve">Schutzmaßnahme (Claude implementiert in AP-07): 2FA-Login, verschlüsselte API-Keys via .env-Variablen (nie im Code), automatisches Session-Timeout nach 30 Minuten Inaktivität, tägliches Sicherheitsaudit-Log.</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9.6 Technologische Transformation – Agentische KI im Finanzmarketing</w:t>
      </w:r>
    </w:p>
    <w:p>
      <w:pPr>
        <w:spacing w:before="80" w:after="80"/>
      </w:pPr>
      <w:r>
        <w:t xml:space="preserve"/>
      </w:r>
    </w:p>
    <w:p>
      <w:pPr>
        <w:spacing w:before="100" w:after="120"/>
      </w:pPr>
      <w:r>
        <w:rPr>
          <w:rFonts w:ascii="Arial" w:cs="Arial" w:eastAsia="Arial" w:hAnsi="Arial"/>
          <w:color w:val="333333"/>
          <w:sz w:val="22"/>
          <w:szCs w:val="22"/>
        </w:rPr>
        <w:t xml:space="preserve">2026 markiert den Übergang von der assistierenden zur agentischen KI. Für SmartFinPro bedeutet das: Claude übernimmt nicht nur Programmierung und Content-Erstellung, sondern wird als autonomer Marketing-Agent eingesetzt, der Workflows eigenständig orchestriert.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Content-Produktion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generiert, optimiert und aktualisiert Artikel eigenständig auf Basis von GSC-Signalen und Ranking-Veränderungen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Affiliate-Monitoring</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Claude-Agent prüft täglich alle Links, meldet Änderungen in Affiliate-Konditionen und schlägt neue Programme vor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Wettbewerbs-Intelligence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Wöchentlicher automatischer Scan der 5 wichtigsten Konkurrenzseiten pro Silo – Lücken und neue Keywords werden gemeldet</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Hyper-Personalisierung</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Auf Basis von Nutzersignalen (Land, Gerät, Verhaltensmuster) werden passende Affiliate-Produkte in der Sidebar und CTAs dynamisch ausgesteuert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Prädiktives Content-Timing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analysiert Suchvolumen-Trends und published aktualisierte Vergleichsseiten genau dann, wenn Nachfrage-Peaks bevorstehen (z.B. Hypotheken-Vergleiche vor BoE-Zinsentscheid)</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UGC-Integration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Authentische Nutzer-Bewertungen und Erfahrungsberichte werden automatisch auf Qualität geprüft, formatiert und in Comparison-Seiten integriert</w:t>
            </w:r>
          </w:p>
        </w:tc>
      </w:tr>
    </w:tbl>
    <w:p>
      <w:pPr>
        <w:spacing w:before="80" w:after="80"/>
      </w:pPr>
      <w:r>
        <w:t xml:space="preserve"/>
      </w:r>
    </w:p>
    <w:p>
      <w:r>
        <w:br w:type="page"/>
      </w:r>
    </w:p>
    <w:p>
      <w:pPr>
        <w:pStyle w:val="Heading1"/>
        <w:shd w:fill="1B4F8C" w:val="clear"/>
        <w:spacing w:before="400" w:after="200"/>
        <w:ind w:left="200" w:right="200"/>
      </w:pPr>
      <w:r>
        <w:rPr>
          <w:rFonts w:ascii="Arial" w:cs="Arial" w:eastAsia="Arial" w:hAnsi="Arial"/>
          <w:b/>
          <w:bCs/>
          <w:color w:val="FFFFFF"/>
          <w:sz w:val="36"/>
          <w:szCs w:val="36"/>
        </w:rPr>
        <w:t xml:space="preserve">10. KPIs, Umsatzziele &amp; 18-Monats-Projektion</w:t>
      </w:r>
    </w:p>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10.1 Monatliche Umsatzprojektionen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Zeitraum</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Umsatzziel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Monat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Content-Aufbau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USD 0 (Investitionsphase)</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Monat 4-6</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Erste Rankings</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USD 500–2.000 / Monat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Monat 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Topical Authority wächst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USD 3.000–8.000 / Monat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Monat 10-12</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Vollständige Silos live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USD 10.000–18.000 / Monat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Monat 13-15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Skalierung + E-Mail-Funnel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USD 20.000–26.000 / Monat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Monat 16-18</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Ziel-Erreichung</w:t>
            </w:r>
          </w:p>
        </w:tc>
        <w:tc>
          <w:tcPr>
            <w:tcW w:type="dxa" w:w="3120"/>
            <w:tcBorders>
              <w:top w:val="single" w:color="CCCCCC" w:sz="1"/>
              <w:left w:val="single" w:color="CCCCCC" w:sz="1"/>
              <w:bottom w:val="single" w:color="CCCCCC" w:sz="1"/>
              <w:right w:val="single" w:color="CCCCCC" w:sz="1"/>
            </w:tcBorders>
            <w:shd w:fill="F2F4F8" w:val="clear"/>
            <w:tcMar>
              <w:top w:type="dxa" w:w="80"/>
              <w:left w:type="dxa" w:w="100"/>
              <w:bottom w:type="dxa" w:w="80"/>
              <w:right w:type="dxa" w:w="100"/>
            </w:tcMar>
          </w:tcPr>
          <w:p>
            <w:r>
              <w:rPr>
                <w:rFonts w:ascii="Arial" w:cs="Arial" w:eastAsia="Arial" w:hAnsi="Arial"/>
                <w:sz w:val="20"/>
                <w:szCs w:val="20"/>
              </w:rPr>
              <w:t xml:space="preserve">USD 31.000+ / Monat</w:t>
            </w:r>
          </w:p>
        </w:tc>
      </w:tr>
    </w:tbl>
    <w:p>
      <w:pPr>
        <w:spacing w:before="80" w:after="80"/>
      </w:pPr>
      <w:r>
        <w:t xml:space="preserve"/>
      </w:r>
    </w:p>
    <w:p>
      <w:pPr>
        <w:pStyle w:val="Heading2"/>
        <w:pBdr>
          <w:bottom w:val="single" w:color="1B4F8C" w:sz="4"/>
        </w:pBdr>
        <w:spacing w:before="300" w:after="150"/>
      </w:pPr>
      <w:r>
        <w:rPr>
          <w:rFonts w:ascii="Arial" w:cs="Arial" w:eastAsia="Arial" w:hAnsi="Arial"/>
          <w:b/>
          <w:bCs/>
          <w:color w:val="1B4F8C"/>
          <w:sz w:val="28"/>
          <w:szCs w:val="28"/>
        </w:rPr>
        <w:t xml:space="preserve">10.2 Tracking-KPIs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defaul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Organischer Traffic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Wachstum um 15-25% MoM in Phasen 1-3</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Topical Authority Score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Ahrefs/SEMrush: Ziel &gt;50 in Kernthemen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Affiliate-Conversion-Rate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Pages: Ziel 3-6%</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E-Mail-Liste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Ziel: 10.000 Subscriber bis Monat 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Durchschn. CPA-Wert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Ziel: USD 80+ pro generierter Conversion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sz w:val="20"/>
                <w:szCs w:val="20"/>
              </w:rPr>
              <w:t xml:space="preserve">Core Web Vitals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LCP &lt;2.5s, CLS &lt;0.1, FID &lt;100ms (Google-Pflicht)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C" w:val="clear"/>
            <w:tcMar>
              <w:top w:type="dxa" w:w="200"/>
              <w:left w:type="dxa" w:w="300"/>
              <w:bottom w:type="dxa" w:w="200"/>
              <w:right w:type="dxa" w:w="300"/>
            </w:tcMar>
          </w:tcPr>
          <w:p>
            <w:pPr>
              <w:spacing w:before="80" w:after="80"/>
              <w:jc w:val="center"/>
            </w:pPr>
            <w:r>
              <w:rPr>
                <w:rFonts w:ascii="Arial" w:cs="Arial" w:eastAsia="Arial" w:hAnsi="Arial"/>
                <w:color w:val="FFFFFF"/>
                <w:sz w:val="20"/>
                <w:szCs w:val="20"/>
              </w:rPr>
              <w:t xml:space="preserve">SmartFinPro.com | Konzeptdokument v4.0 | Februar 2026</w:t>
            </w:r>
          </w:p>
          <w:p>
            <w:pPr>
              <w:spacing w:before="40" w:after="40"/>
              <w:jc w:val="center"/>
            </w:pPr>
            <w:r>
              <w:rPr>
                <w:rFonts w:ascii="Arial" w:cs="Arial" w:eastAsia="Arial" w:hAnsi="Arial"/>
                <w:color w:val="AACCEE"/>
                <w:sz w:val="18"/>
                <w:szCs w:val="18"/>
              </w:rPr>
              <w:t xml:space="preserve">Erstellt mit Claude Code · Vertraulich · Alle Rechte vorbehalten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4F8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2026-02-20T16:30:49.720Z</dcterms:created>
  <dcterms:modified xsi:type="dcterms:W3CDTF">2026-02-20T16:30:49.721Z</dcterms:modified>
</cp:coreProperties>
</file>

<file path=docProps/custom.xml><?xml version="1.0" encoding="utf-8"?>
<Properties xmlns="http://schemas.openxmlformats.org/officeDocument/2006/custom-properties" xmlns:vt="http://schemas.openxmlformats.org/officeDocument/2006/docPropsVTypes"/>
</file>