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13300" w:hRule="exact"/>
        </w:trPr>
        <w:tc>
          <w:tcPr>
            <w:tcW w:w="12240" w:type="dxa"/>
            <w:shd w:val="clear" w:color="auto" w:fill="0B3D2B"/>
            <w:tcMar>
              <w:top w:w="1500" w:type="dxa"/>
              <w:left w:w="1180" w:type="dxa"/>
              <w:bottom w:w="0" w:type="dxa"/>
              <w:right w:w="1180" w:type="dxa"/>
            </w:tcMar>
            <w:vAlign w:val="top"/>
          </w:tcPr>
          <w:p>
            <w:pPr>
              <w:spacing w:before="0" w:after="2600" w:line="288" w:lineRule="auto"/>
            </w:pPr>
            <w:r>
              <w:drawing>
                <wp:inline distT="0" distB="0" distL="0" distR="0">
                  <wp:extent cx="3000000" cy="628820"/>
                  <wp:docPr id="101" name="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1" name="Log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0000" cy="628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anchor distT="0" distB="0" distL="0" distR="0" simplePos="0" relativeHeight="1" behindDoc="0" locked="0" layoutInCell="0" allowOverlap="1">
                  <wp:simplePos x="0" y="0"/>
                  <wp:positionH relativeFrom="page">
                    <wp:posOffset>4050000</wp:posOffset>
                  </wp:positionH>
                  <wp:positionV relativeFrom="page">
                    <wp:posOffset>2350000</wp:posOffset>
                  </wp:positionV>
                  <wp:extent cx="4300000" cy="5495937"/>
                  <wp:effectExtent l="0" t="0" r="0" b="0"/>
                  <wp:wrapNone/>
                  <wp:docPr id="102" name="Marca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2" name="Marca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0000" cy="5495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spacing w:before="0" w:after="160" w:line="288" w:lineRule="auto"/>
            </w:pPr>
            <w:r>
              <w:rPr>
                <w:b/>
                <w:bCs/>
                <w:caps/>
                <w:color w:val="F2B632"/>
                <w:spacing w:val="50"/>
                <w:sz w:val="17"/>
                <w:szCs w:val="17"/>
              </w:rPr>
              <w:t xml:space="preserve">Auditoría Técnica y QA</w:t>
            </w:r>
          </w:p>
          <w:p>
            <w:pPr>
              <w:spacing w:before="0" w:after="12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68"/>
                <w:szCs w:val="68"/>
              </w:rPr>
              <w:t xml:space="preserve">Auditoría de Calidad y Pruebas Comparativas A/B</w:t>
            </w:r>
          </w:p>
          <w:p>
            <w:pPr>
              <w:spacing w:before="0" w:after="360" w:line="264" w:lineRule="auto"/>
            </w:pPr>
            <w:r>
              <w:rPr>
                <w:rFonts w:ascii="Century Gothic" w:hAnsi="Century Gothic" w:eastAsia="Century Gothic" w:cs="Century Gothic"/>
                <w:i/>
                <w:iCs/>
                <w:color w:val="DDF5EA"/>
                <w:sz w:val="32"/>
                <w:szCs w:val="32"/>
              </w:rPr>
              <w:t xml:space="preserve">Validación de la migración de arquitectura y contratos hacia la Demo BETA</w:t>
            </w:r>
          </w:p>
          <w:p>
            <w:pPr>
              <w:ind w:right="3900"/>
              <w:spacing w:before="0" w:after="0" w:line="300" w:lineRule="auto"/>
            </w:pPr>
            <w:r>
              <w:rPr>
                <w:color w:val="7FDBB0"/>
                <w:sz w:val="21"/>
                <w:szCs w:val="21"/>
              </w:rPr>
              <w:t xml:space="preserve">Comparación exhaustiva funcional, no funcional y de seguridad entre la Demo Estable (Spring Boot + MongoDB + Redis + Mosquitto + React + Python) y la Demo BETA de nueva generación (Go + PostgreSQL/TimescaleDB + Valkey + EMQX + SolidJS + Rust).</w:t>
            </w:r>
          </w:p>
        </w:tc>
      </w:tr>
    </w:tbl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2540" w:hRule="exact"/>
        </w:trPr>
        <w:tc>
          <w:tcPr>
            <w:tcW w:w="12240" w:type="dxa"/>
            <w:tcBorders>
              <w:top w:val="single" w:sz="18" w:space="0" w:color="00B074"/>
            </w:tcBorders>
            <w:shd w:val="clear" w:color="auto" w:fill="06281C"/>
            <w:tcMar>
              <w:top w:w="0" w:type="dxa"/>
              <w:left w:w="1180" w:type="dxa"/>
              <w:bottom w:w="0" w:type="dxa"/>
              <w:right w:w="1180" w:type="dxa"/>
            </w:tcMar>
            <w:vAlign w:val="center"/>
          </w:tcPr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60" w:line="240" w:lineRule="auto"/>
            </w:pP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DOCUMENTO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VERSIÓN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EQUIPO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PROYECTO</w:t>
            </w:r>
          </w:p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0" w:line="24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Auditoría de Calidad A/B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1.0 · octubre 2026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SmartPotTech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smartpot.app</w:t>
            </w:r>
          </w:p>
        </w:tc>
      </w:tr>
    </w:tbl>
    <w:p>
      <w:pPr>
        <w:spacing w:after="0" w:line="240" w:lineRule="auto"/>
        <w:rPr>
          <w:sz w:val="2"/>
        </w:rPr>
        <w:sectPr>
          <w:pgSz w:w="12240" w:h="15840"/>
          <w:pgMar w:top="0" w:right="0" w:bottom="0" w:left="0" w:header="0" w:footer="0" w:gutter="0"/>
          <w:cols w:space="720"/>
        </w:sect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DOCUMENTO</w:t>
      </w:r>
    </w:p>
    <w:p>
      <w:pPr>
        <w:pStyle w:val="Heading1"/>
      </w:pPr>
      <w:bookmarkStart w:id="103" w:name="sec_103"/>
      <w:r>
        <w:rPr>
          <w:b/>
          <w:bCs/>
          <w:color w:val="0B3D2B"/>
          <w:sz w:val="34"/>
          <w:szCs w:val="34"/>
        </w:rPr>
        <w:t xml:space="preserve">Ficha del documento</w:t>
      </w:r>
      <w:bookmarkEnd w:id="103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702"/>
        <w:gridCol w:w="7658"/>
      </w:tblGrid>
      <w:tr>
        <w:trPr>
          <w:cantSplit/>
          <w:tblHeader/>
        </w:trPr>
        <w:tc>
          <w:tcPr>
            <w:tcW w:w="170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CAMPO</w:t>
            </w:r>
          </w:p>
        </w:tc>
        <w:tc>
          <w:tcPr>
            <w:tcW w:w="765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VALOR</w:t>
            </w:r>
          </w:p>
        </w:tc>
      </w:tr>
      <w:tr>
        <w:trPr>
          <w:cantSplit/>
        </w:trPr>
        <w:tc>
          <w:tcPr>
            <w:tcW w:w="17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Proyecto</w:t>
            </w:r>
          </w:p>
        </w:tc>
        <w:tc>
          <w:tcPr>
            <w:tcW w:w="76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 · </w:t>
            </w:r>
            <w:hyperlink r:id="rIdLink3">
              <w:r>
                <w:rPr>
                  <w:color w:val="1F6FA0"/>
                  <w:sz w:val="17"/>
                  <w:szCs w:val="17"/>
                  <w:u w:val="single"/>
                </w:rPr>
                <w:t xml:space="preserve">smartpot.app</w:t>
              </w:r>
            </w:hyperlink>
          </w:p>
        </w:tc>
      </w:tr>
      <w:tr>
        <w:trPr>
          <w:cantSplit/>
        </w:trPr>
        <w:tc>
          <w:tcPr>
            <w:tcW w:w="17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Organización</w:t>
            </w:r>
          </w:p>
        </w:tc>
        <w:tc>
          <w:tcPr>
            <w:tcW w:w="76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SmartPotTech</w:t>
            </w:r>
          </w:p>
        </w:tc>
      </w:tr>
      <w:tr>
        <w:trPr>
          <w:cantSplit/>
        </w:trPr>
        <w:tc>
          <w:tcPr>
            <w:tcW w:w="17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Documento</w:t>
            </w:r>
          </w:p>
        </w:tc>
        <w:tc>
          <w:tcPr>
            <w:tcW w:w="76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Auditoría de Calidad y Pruebas Comparativas A/B (Estable vs. BETA)</w:t>
            </w:r>
          </w:p>
        </w:tc>
      </w:tr>
      <w:tr>
        <w:trPr>
          <w:cantSplit/>
        </w:trPr>
        <w:tc>
          <w:tcPr>
            <w:tcW w:w="17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Versión</w:t>
            </w:r>
          </w:p>
        </w:tc>
        <w:tc>
          <w:tcPr>
            <w:tcW w:w="76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1.0 · octubre 2026</w:t>
            </w:r>
          </w:p>
        </w:tc>
      </w:tr>
      <w:tr>
        <w:trPr>
          <w:cantSplit/>
        </w:trPr>
        <w:tc>
          <w:tcPr>
            <w:tcW w:w="17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Alcance</w:t>
            </w:r>
          </w:p>
        </w:tc>
        <w:tc>
          <w:tcPr>
            <w:tcW w:w="76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Validación funcional y no funcional de los 8 componentes, paridad de contratos REST y MQTT, huella de recursos, resiliencia IoT, seguridad AppSec y matriz de Quality Gates</w:t>
            </w:r>
          </w:p>
        </w:tc>
      </w:tr>
      <w:tr>
        <w:trPr>
          <w:cantSplit/>
        </w:trPr>
        <w:tc>
          <w:tcPr>
            <w:tcW w:w="17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Fuente de verdad</w:t>
            </w:r>
          </w:p>
        </w:tc>
        <w:tc>
          <w:tcPr>
            <w:tcW w:w="76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 especificación OpenAPI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/docs</w:t>
            </w:r>
            <w:r>
              <w:rPr>
                <w:color w:val="17261F"/>
                <w:sz w:val="17"/>
                <w:szCs w:val="17"/>
              </w:rPr>
              <w:t xml:space="preserve">), los esquemas SQL/BSON y la suite automatizada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.github/docker/demo-beta/test.py</w:t>
            </w:r>
            <w:r>
              <w:rPr>
                <w:color w:val="17261F"/>
                <w:sz w:val="17"/>
                <w:szCs w:val="17"/>
              </w:rPr>
              <w:t xml:space="preserve"> prevalecen sobre este documento si hay divergencias</w:t>
            </w:r>
          </w:p>
        </w:tc>
      </w:tr>
      <w:tr>
        <w:trPr>
          <w:cantSplit/>
        </w:trPr>
        <w:tc>
          <w:tcPr>
            <w:tcW w:w="17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Mantenimiento</w:t>
            </w:r>
          </w:p>
        </w:tc>
        <w:tc>
          <w:tcPr>
            <w:tcW w:w="765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Este documento se genera desde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docs/SmartPot_QA_Audit_AB.md</w:t>
            </w:r>
            <w:r>
              <w:rPr>
                <w:color w:val="17261F"/>
                <w:sz w:val="17"/>
                <w:szCs w:val="17"/>
              </w:rPr>
              <w:t xml:space="preserve">; se compila a DOCX y PDF mediante las herramientas documentales de SmartPot</w:t>
            </w:r>
          </w:p>
        </w:tc>
      </w:tr>
      <w:tr>
        <w:trPr>
          <w:cantSplit/>
        </w:trPr>
        <w:tc>
          <w:tcPr>
            <w:tcW w:w="17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Documento hermano</w:t>
            </w:r>
          </w:p>
        </w:tc>
        <w:tc>
          <w:tcPr>
            <w:tcW w:w="765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F6FA0"/>
                <w:sz w:val="17"/>
                <w:szCs w:val="17"/>
              </w:rPr>
              <w:t xml:space="preserve">Documentación técnica</w:t>
            </w:r>
            <w:r>
              <w:rPr>
                <w:color w:val="17261F"/>
                <w:sz w:val="17"/>
                <w:szCs w:val="17"/>
              </w:rPr>
              <w:t xml:space="preserve"> y </w:t>
            </w:r>
            <w:r>
              <w:rPr>
                <w:color w:val="1F6FA0"/>
                <w:sz w:val="17"/>
                <w:szCs w:val="17"/>
              </w:rPr>
              <w:t xml:space="preserve">Plan de Migración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CONTENIDO</w:t>
      </w:r>
    </w:p>
    <w:p>
      <w:pPr>
        <w:pStyle w:val="Heading1"/>
      </w:pPr>
      <w:r>
        <w:rPr>
          <w:b/>
          <w:bCs/>
          <w:color w:val="0B3D2B"/>
          <w:sz w:val="34"/>
          <w:szCs w:val="34"/>
        </w:rPr>
        <w:t xml:space="preserve">Contenido</w:t>
      </w:r>
    </w:p>
    <w:p>
      <w:pPr>
        <w:ind w:left="0"/>
        <w:spacing w:before="100" w:after="30" w:line="252" w:lineRule="auto"/>
      </w:pPr>
      <w:hyperlink w:anchor="sec_104" w:history="1">
        <w:r>
          <w:rPr>
            <w:b/>
            <w:bCs/>
            <w:color w:val="0B3D2B"/>
            <w:sz w:val="21"/>
            <w:szCs w:val="21"/>
          </w:rPr>
          <w:t xml:space="preserve">1. Introducción y Premisa de Auditoría</w:t>
        </w:r>
      </w:hyperlink>
    </w:p>
    <w:p>
      <w:pPr>
        <w:ind w:left="0"/>
        <w:spacing w:before="100" w:after="30" w:line="252" w:lineRule="auto"/>
      </w:pPr>
      <w:hyperlink w:anchor="sec_108" w:history="1">
        <w:r>
          <w:rPr>
            <w:b/>
            <w:bCs/>
            <w:color w:val="0B3D2B"/>
            <w:sz w:val="21"/>
            <w:szCs w:val="21"/>
          </w:rPr>
          <w:t xml:space="preserve">2. Fase 1: Pruebas de Humo e Infraestructura</w:t>
        </w:r>
      </w:hyperlink>
    </w:p>
    <w:p>
      <w:pPr>
        <w:ind w:left="420"/>
        <w:spacing w:before="0" w:after="30" w:line="252" w:lineRule="auto"/>
      </w:pPr>
      <w:hyperlink w:anchor="sec_109" w:history="1">
        <w:r>
          <w:rPr>
            <w:color w:val="17261F"/>
            <w:sz w:val="18"/>
            <w:szCs w:val="18"/>
          </w:rPr>
          <w:t xml:space="preserve">2.1. Métricas de Arranque en Frío (*Cold Start*)</w:t>
        </w:r>
      </w:hyperlink>
    </w:p>
    <w:p>
      <w:pPr>
        <w:ind w:left="420"/>
        <w:spacing w:before="0" w:after="30" w:line="252" w:lineRule="auto"/>
      </w:pPr>
      <w:hyperlink w:anchor="sec_110" w:history="1">
        <w:r>
          <w:rPr>
            <w:color w:val="17261F"/>
            <w:sz w:val="18"/>
            <w:szCs w:val="18"/>
          </w:rPr>
          <w:t xml:space="preserve">2.2. Semillas Iniciales y Telemetría</w:t>
        </w:r>
      </w:hyperlink>
    </w:p>
    <w:p>
      <w:pPr>
        <w:ind w:left="0"/>
        <w:spacing w:before="100" w:after="30" w:line="252" w:lineRule="auto"/>
      </w:pPr>
      <w:hyperlink w:anchor="sec_112" w:history="1">
        <w:r>
          <w:rPr>
            <w:b/>
            <w:bCs/>
            <w:color w:val="0B3D2B"/>
            <w:sz w:val="21"/>
            <w:szCs w:val="21"/>
          </w:rPr>
          <w:t xml:space="preserve">3. Fase 2: Paridad por Nivel de Visibilidad</w:t>
        </w:r>
      </w:hyperlink>
    </w:p>
    <w:p>
      <w:pPr>
        <w:ind w:left="420"/>
        <w:spacing w:before="0" w:after="30" w:line="252" w:lineRule="auto"/>
      </w:pPr>
      <w:hyperlink w:anchor="sec_113" w:history="1">
        <w:r>
          <w:rPr>
            <w:color w:val="17261F"/>
            <w:sz w:val="18"/>
            <w:szCs w:val="18"/>
          </w:rPr>
          <w:t xml:space="preserve">3.1. Caja Negra: Paridad Estricta de la API</w:t>
        </w:r>
      </w:hyperlink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Contexto y Estrategia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01</w:t>
      </w:r>
    </w:p>
    <w:p>
      <w:pPr>
        <w:pStyle w:val="Heading1"/>
      </w:pPr>
      <w:bookmarkStart w:id="104" w:name="sec_104"/>
      <w:r>
        <w:rPr>
          <w:b/>
          <w:bCs/>
          <w:color w:val="0B3D2B"/>
          <w:sz w:val="34"/>
          <w:szCs w:val="34"/>
        </w:rPr>
        <w:t xml:space="preserve">Introducción y Premisa de Auditoría</w:t>
      </w:r>
      <w:bookmarkEnd w:id="104"/>
    </w:p>
    <w:p>
      <w:pPr>
        <w:pStyle w:val="Heading2"/>
      </w:pPr>
      <w:bookmarkStart w:id="105" w:name="sec_105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0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SmartPot está renovando el motor que hace funcionar toda la plataforma. Pasamos de un sistema basado en tecnologías pesadas de servidor (Java con Spring Boot, bases de datos MongoDB y simuladores en Python) a tecnologías modernas de alto rendimiento escritas en </w:t>
      </w:r>
      <w:r>
        <w:rPr>
          <w:b/>
          <w:bCs/>
          <w:color w:val="17261F"/>
          <w:sz w:val="20"/>
          <w:szCs w:val="20"/>
        </w:rPr>
        <w:t xml:space="preserve">Go</w:t>
      </w:r>
      <w:r>
        <w:rPr>
          <w:color w:val="17261F"/>
          <w:sz w:val="20"/>
          <w:szCs w:val="20"/>
        </w:rPr>
        <w:t xml:space="preserve">, </w:t>
      </w:r>
      <w:r>
        <w:rPr>
          <w:b/>
          <w:bCs/>
          <w:color w:val="17261F"/>
          <w:sz w:val="20"/>
          <w:szCs w:val="20"/>
        </w:rPr>
        <w:t xml:space="preserve">Rust</w:t>
      </w:r>
      <w:r>
        <w:rPr>
          <w:color w:val="17261F"/>
          <w:sz w:val="20"/>
          <w:szCs w:val="20"/>
        </w:rPr>
        <w:t xml:space="preserve">, </w:t>
      </w:r>
      <w:r>
        <w:rPr>
          <w:b/>
          <w:bCs/>
          <w:color w:val="17261F"/>
          <w:sz w:val="20"/>
          <w:szCs w:val="20"/>
        </w:rPr>
        <w:t xml:space="preserve">SolidJS</w:t>
      </w:r>
      <w:r>
        <w:rPr>
          <w:color w:val="17261F"/>
          <w:sz w:val="20"/>
          <w:szCs w:val="20"/>
        </w:rPr>
        <w:t xml:space="preserve"> y </w:t>
      </w:r>
      <w:r>
        <w:rPr>
          <w:b/>
          <w:bCs/>
          <w:color w:val="17261F"/>
          <w:sz w:val="20"/>
          <w:szCs w:val="20"/>
        </w:rPr>
        <w:t xml:space="preserve">PostgreSQL con TimescaleDB</w:t>
      </w:r>
      <w:r>
        <w:rPr>
          <w:color w:val="17261F"/>
          <w:sz w:val="20"/>
          <w:szCs w:val="20"/>
        </w:rPr>
        <w:t xml:space="preserve">.</w:t>
      </w: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Para que este cambio sea seguro para los usuarios y los cultivos reales, se diseñó una auditoría comparativa A/B. La regla de oro innegociable es: </w:t>
      </w:r>
      <w:r>
        <w:rPr>
          <w:b/>
          <w:bCs/>
          <w:color w:val="17261F"/>
          <w:sz w:val="20"/>
          <w:szCs w:val="20"/>
        </w:rPr>
        <w:t xml:space="preserve">"La migración es transparente y no cambia ningún contrato"</w:t>
      </w:r>
      <w:r>
        <w:rPr>
          <w:color w:val="17261F"/>
          <w:sz w:val="20"/>
          <w:szCs w:val="20"/>
        </w:rPr>
        <w:t xml:space="preserve">. Los dispositivos físicos (ESP32), las aplicaciones web y el asistente de inteligencia artificial deben seguir comunicándose exactamente igual, recibiendo las mismas respuestas y formatos, pero con una plataforma cuatro veces más rápida y que consume menos de la mitad de memoria.</w:t>
      </w:r>
    </w:p>
    <w:p>
      <w:pPr>
        <w:pStyle w:val="Heading2"/>
      </w:pPr>
      <w:bookmarkStart w:id="106" w:name="sec_106"/>
      <w:r>
        <w:rPr>
          <w:b/>
          <w:bCs/>
          <w:color w:val="067A52"/>
          <w:sz w:val="25"/>
          <w:szCs w:val="25"/>
        </w:rPr>
        <w:t xml:space="preserve">Alcance de la Comparación A/B</w:t>
      </w:r>
      <w:bookmarkEnd w:id="106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Se comparan dos entornos completos desplegados localmente sobre Docker en la dirección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127.0.0.1</w:t>
      </w:r>
      <w:r>
        <w:rPr>
          <w:color w:val="17261F"/>
          <w:sz w:val="20"/>
          <w:szCs w:val="20"/>
        </w:rPr>
        <w:t xml:space="preserve">: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Entorno A — Demo Estable (Stack Actual):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Web: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smartpot-web</w:t>
      </w:r>
      <w:r>
        <w:rPr>
          <w:color w:val="17261F"/>
          <w:sz w:val="20"/>
          <w:szCs w:val="20"/>
        </w:rPr>
        <w:t xml:space="preserve"> (React 19 + TypeScript + Tailwind, servida por Nginx).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API: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smartpot-api</w:t>
      </w:r>
      <w:r>
        <w:rPr>
          <w:color w:val="17261F"/>
          <w:sz w:val="20"/>
          <w:szCs w:val="20"/>
        </w:rPr>
        <w:t xml:space="preserve"> (Spring Boot 4 / Java 21).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Base de datos: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smartpot-db</w:t>
      </w:r>
      <w:r>
        <w:rPr>
          <w:color w:val="17261F"/>
          <w:sz w:val="20"/>
          <w:szCs w:val="20"/>
        </w:rPr>
        <w:t xml:space="preserve"> (MongoDB 8).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Caché: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smartpot-cache</w:t>
      </w:r>
      <w:r>
        <w:rPr>
          <w:color w:val="17261F"/>
          <w:sz w:val="20"/>
          <w:szCs w:val="20"/>
        </w:rPr>
        <w:t xml:space="preserve"> (Redis 8).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Broker MQTT: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smartpot-broker</w:t>
      </w:r>
      <w:r>
        <w:rPr>
          <w:color w:val="17261F"/>
          <w:sz w:val="20"/>
          <w:szCs w:val="20"/>
        </w:rPr>
        <w:t xml:space="preserve"> (Eclipse Mosquitto 2.1).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Simulador: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smartpot-datagenerator</w:t>
      </w:r>
      <w:r>
        <w:rPr>
          <w:color w:val="17261F"/>
          <w:sz w:val="20"/>
          <w:szCs w:val="20"/>
        </w:rPr>
        <w:t xml:space="preserve"> (Python 3.13 con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paho-mqtt</w:t>
      </w:r>
      <w:r>
        <w:rPr>
          <w:color w:val="17261F"/>
          <w:sz w:val="20"/>
          <w:szCs w:val="20"/>
        </w:rPr>
        <w:t xml:space="preserve">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asyncio</w:t>
      </w:r>
      <w:r>
        <w:rPr>
          <w:color w:val="17261F"/>
          <w:sz w:val="20"/>
          <w:szCs w:val="20"/>
        </w:rPr>
        <w:t xml:space="preserve">).</w:t>
      </w:r>
    </w:p>
    <w:p>
      <w:pPr>
        <w:spacing w:before="40" w:after="0" w:line="240" w:lineRule="auto"/>
        <w:rPr>
          <w:sz w:val="8"/>
        </w:rPr>
      </w:pP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Entorno B — Demo BETA (Stack Next-Gen):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Web: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smartpot-web-solid</w:t>
      </w:r>
      <w:r>
        <w:rPr>
          <w:color w:val="17261F"/>
          <w:sz w:val="20"/>
          <w:szCs w:val="20"/>
        </w:rPr>
        <w:t xml:space="preserve"> (SolidJS 1.9 + TypeScript + SVG nativo, servida por Nginx).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API: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smartpot-api-go</w:t>
      </w:r>
      <w:r>
        <w:rPr>
          <w:color w:val="17261F"/>
          <w:sz w:val="20"/>
          <w:szCs w:val="20"/>
        </w:rPr>
        <w:t xml:space="preserve"> (Go 1.26 + Echo v4, compilada en contenedor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scratch</w:t>
      </w:r>
      <w:r>
        <w:rPr>
          <w:color w:val="17261F"/>
          <w:sz w:val="20"/>
          <w:szCs w:val="20"/>
        </w:rPr>
        <w:t xml:space="preserve">).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Base de datos: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smartpot-db-postgre</w:t>
      </w:r>
      <w:r>
        <w:rPr>
          <w:color w:val="17261F"/>
          <w:sz w:val="20"/>
          <w:szCs w:val="20"/>
        </w:rPr>
        <w:t xml:space="preserve"> (PostgreSQL 17 + TimescaleDB 2.17).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Caché: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smartpot-cache-valkey</w:t>
      </w:r>
      <w:r>
        <w:rPr>
          <w:color w:val="17261F"/>
          <w:sz w:val="20"/>
          <w:szCs w:val="20"/>
        </w:rPr>
        <w:t xml:space="preserve"> (Valkey 9.1).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Broker MQTT: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smartpot-broker-emqx</w:t>
      </w:r>
      <w:r>
        <w:rPr>
          <w:color w:val="17261F"/>
          <w:sz w:val="20"/>
          <w:szCs w:val="20"/>
        </w:rPr>
        <w:t xml:space="preserve"> (EMQX 5.8 con autenticación delegada por HTTP).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Simulador: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smartpot-datagenerator-rust</w:t>
      </w:r>
      <w:r>
        <w:rPr>
          <w:color w:val="17261F"/>
          <w:sz w:val="20"/>
          <w:szCs w:val="20"/>
        </w:rPr>
        <w:t xml:space="preserve"> (Rust 2.0 + Tokio + Axum 0.8).</w:t>
      </w:r>
    </w:p>
    <w:p>
      <w:pPr>
        <w:spacing w:before="40" w:after="0" w:line="240" w:lineRule="auto"/>
        <w:rPr>
          <w:sz w:val="8"/>
        </w:rPr>
      </w:pP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Componentes Compartidos (Invariables):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Asistente de IA: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smartpot-ai</w:t>
      </w:r>
      <w:r>
        <w:rPr>
          <w:color w:val="17261F"/>
          <w:sz w:val="20"/>
          <w:szCs w:val="20"/>
        </w:rPr>
        <w:t xml:space="preserve"> (FastAPI +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scikit-learn</w:t>
      </w:r>
      <w:r>
        <w:rPr>
          <w:color w:val="17261F"/>
          <w:sz w:val="20"/>
          <w:szCs w:val="20"/>
        </w:rPr>
        <w:t xml:space="preserve"> + lógica difusa Sugeno).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Servidor de correo: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smartpot-mail</w:t>
      </w:r>
      <w:r>
        <w:rPr>
          <w:color w:val="17261F"/>
          <w:sz w:val="20"/>
          <w:szCs w:val="20"/>
        </w:rPr>
        <w:t xml:space="preserve"> (Mailpit con SMTP autenticado).</w:t>
      </w:r>
    </w:p>
    <w:p>
      <w:pPr>
        <w:spacing w:before="40" w:after="0" w:line="240" w:lineRule="auto"/>
        <w:rPr>
          <w:sz w:val="8"/>
        </w:rPr>
      </w:pPr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1299765"/>
            <wp:docPr id="107" name="SmartPot_46_AB_Architecture_Comparis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7" name="SmartPot_46_AB_Architecture_Comparison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1</w:t>
      </w:r>
      <w:r>
        <w:rPr>
          <w:i/>
          <w:iCs/>
          <w:color w:val="5B6B63"/>
          <w:sz w:val="16"/>
          <w:szCs w:val="16"/>
        </w:rPr>
        <w:t xml:space="preserve">  ·  Comparación arquitectónica entre la Demo Estable y la Demo BETA</w:t>
      </w: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Pruebas de Humo y Exploración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02</w:t>
      </w:r>
    </w:p>
    <w:p>
      <w:pPr>
        <w:pStyle w:val="Heading1"/>
      </w:pPr>
      <w:bookmarkStart w:id="108" w:name="sec_108"/>
      <w:r>
        <w:rPr>
          <w:b/>
          <w:bCs/>
          <w:color w:val="0B3D2B"/>
          <w:sz w:val="34"/>
          <w:szCs w:val="34"/>
        </w:rPr>
        <w:t xml:space="preserve">Fase 1: Pruebas de Humo e Infraestructura</w:t>
      </w:r>
      <w:bookmarkEnd w:id="108"/>
    </w:p>
    <w:p>
      <w:pPr>
        <w:pStyle w:val="Heading2"/>
      </w:pPr>
      <w:bookmarkStart w:id="109" w:name="sec_109"/>
      <w:r>
        <w:rPr>
          <w:b/>
          <w:bCs/>
          <w:color w:val="067A52"/>
          <w:sz w:val="25"/>
          <w:szCs w:val="25"/>
        </w:rPr>
        <w:t xml:space="preserve">2.1. Métricas de Arranque en Frío (</w:t>
      </w:r>
      <w:r>
        <w:rPr>
          <w:b/>
          <w:bCs/>
          <w:i/>
          <w:iCs/>
          <w:color w:val="067A52"/>
          <w:sz w:val="25"/>
          <w:szCs w:val="25"/>
        </w:rPr>
        <w:t xml:space="preserve">Cold Start</w:t>
      </w:r>
      <w:r>
        <w:rPr>
          <w:b/>
          <w:bCs/>
          <w:color w:val="067A52"/>
          <w:sz w:val="25"/>
          <w:szCs w:val="25"/>
        </w:rPr>
        <w:t xml:space="preserve">)</w:t>
      </w:r>
      <w:bookmarkEnd w:id="109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Se midió el tiempo transcurrido desde el comando de inicio hasta que todos los contenedores alcanzaron el estado saludable según su directiva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HEALTHCHECK</w:t>
      </w:r>
      <w:r>
        <w:rPr>
          <w:color w:val="17261F"/>
          <w:sz w:val="20"/>
          <w:szCs w:val="20"/>
        </w:rPr>
        <w:t xml:space="preserve">: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839"/>
        <w:gridCol w:w="2428"/>
        <w:gridCol w:w="2664"/>
        <w:gridCol w:w="2429"/>
      </w:tblGrid>
      <w:tr>
        <w:trPr>
          <w:cantSplit/>
          <w:tblHeader/>
        </w:trPr>
        <w:tc>
          <w:tcPr>
            <w:tcW w:w="183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SERVICIO</w:t>
            </w:r>
          </w:p>
        </w:tc>
        <w:tc>
          <w:tcPr>
            <w:tcW w:w="242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ENTORNO A (ESTABLE)</w:t>
            </w:r>
          </w:p>
        </w:tc>
        <w:tc>
          <w:tcPr>
            <w:tcW w:w="266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ENTORNO B (BETA)</w:t>
            </w:r>
          </w:p>
        </w:tc>
        <w:tc>
          <w:tcPr>
            <w:tcW w:w="242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REDUCCIÓN DE LATENCIA</w:t>
            </w:r>
          </w:p>
        </w:tc>
      </w:tr>
      <w:tr>
        <w:trPr>
          <w:cantSplit/>
        </w:trPr>
        <w:tc>
          <w:tcPr>
            <w:tcW w:w="183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API REST</w:t>
            </w:r>
          </w:p>
        </w:tc>
        <w:tc>
          <w:tcPr>
            <w:tcW w:w="242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12.80 s (JVM)</w:t>
            </w:r>
          </w:p>
        </w:tc>
        <w:tc>
          <w:tcPr>
            <w:tcW w:w="26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0.45 s</w:t>
            </w:r>
            <w:r>
              <w:rPr>
                <w:color w:val="17261F"/>
                <w:sz w:val="17"/>
                <w:szCs w:val="17"/>
              </w:rPr>
              <w:t xml:space="preserve"> (Go estático)</w:t>
            </w:r>
          </w:p>
        </w:tc>
        <w:tc>
          <w:tcPr>
            <w:tcW w:w="24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-96.5%</w:t>
            </w:r>
          </w:p>
        </w:tc>
      </w:tr>
      <w:tr>
        <w:trPr>
          <w:cantSplit/>
        </w:trPr>
        <w:tc>
          <w:tcPr>
            <w:tcW w:w="183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Base de Datos</w:t>
            </w:r>
          </w:p>
        </w:tc>
        <w:tc>
          <w:tcPr>
            <w:tcW w:w="242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4.20 s (MongoDB)</w:t>
            </w:r>
          </w:p>
        </w:tc>
        <w:tc>
          <w:tcPr>
            <w:tcW w:w="266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2.80 s</w:t>
            </w:r>
            <w:r>
              <w:rPr>
                <w:color w:val="17261F"/>
                <w:sz w:val="17"/>
                <w:szCs w:val="17"/>
              </w:rPr>
              <w:t xml:space="preserve"> (PostgreSQL)</w:t>
            </w:r>
          </w:p>
        </w:tc>
        <w:tc>
          <w:tcPr>
            <w:tcW w:w="24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-33.3%</w:t>
            </w:r>
          </w:p>
        </w:tc>
      </w:tr>
      <w:tr>
        <w:trPr>
          <w:cantSplit/>
        </w:trPr>
        <w:tc>
          <w:tcPr>
            <w:tcW w:w="183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Broker MQTT</w:t>
            </w:r>
          </w:p>
        </w:tc>
        <w:tc>
          <w:tcPr>
            <w:tcW w:w="242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0.80 s (Mosquitto)</w:t>
            </w:r>
          </w:p>
        </w:tc>
        <w:tc>
          <w:tcPr>
            <w:tcW w:w="26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5.20 s</w:t>
            </w:r>
            <w:r>
              <w:rPr>
                <w:color w:val="17261F"/>
                <w:sz w:val="17"/>
                <w:szCs w:val="17"/>
              </w:rPr>
              <w:t xml:space="preserve"> (EMQX BEAM)</w:t>
            </w:r>
          </w:p>
        </w:tc>
        <w:tc>
          <w:tcPr>
            <w:tcW w:w="24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+550% (Erlang VM)*</w:t>
            </w:r>
          </w:p>
        </w:tc>
      </w:tr>
      <w:tr>
        <w:trPr>
          <w:cantSplit/>
        </w:trPr>
        <w:tc>
          <w:tcPr>
            <w:tcW w:w="183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Caché</w:t>
            </w:r>
          </w:p>
        </w:tc>
        <w:tc>
          <w:tcPr>
            <w:tcW w:w="242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0.40 s (Redis)</w:t>
            </w:r>
          </w:p>
        </w:tc>
        <w:tc>
          <w:tcPr>
            <w:tcW w:w="266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0.40 s</w:t>
            </w:r>
            <w:r>
              <w:rPr>
                <w:color w:val="17261F"/>
                <w:sz w:val="17"/>
                <w:szCs w:val="17"/>
              </w:rPr>
              <w:t xml:space="preserve"> (Valkey)</w:t>
            </w:r>
          </w:p>
        </w:tc>
        <w:tc>
          <w:tcPr>
            <w:tcW w:w="24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Paridad 1:1</w:t>
            </w:r>
          </w:p>
        </w:tc>
      </w:tr>
      <w:tr>
        <w:trPr>
          <w:cantSplit/>
        </w:trPr>
        <w:tc>
          <w:tcPr>
            <w:tcW w:w="183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Simulador IoT</w:t>
            </w:r>
          </w:p>
        </w:tc>
        <w:tc>
          <w:tcPr>
            <w:tcW w:w="242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2.10 s (Python)</w:t>
            </w:r>
          </w:p>
        </w:tc>
        <w:tc>
          <w:tcPr>
            <w:tcW w:w="26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0.15 s</w:t>
            </w:r>
            <w:r>
              <w:rPr>
                <w:color w:val="17261F"/>
                <w:sz w:val="17"/>
                <w:szCs w:val="17"/>
              </w:rPr>
              <w:t xml:space="preserve"> (Rust nativo)</w:t>
            </w:r>
          </w:p>
        </w:tc>
        <w:tc>
          <w:tcPr>
            <w:tcW w:w="24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-92.8%</w:t>
            </w:r>
          </w:p>
        </w:tc>
      </w:tr>
      <w:tr>
        <w:trPr>
          <w:cantSplit/>
        </w:trPr>
        <w:tc>
          <w:tcPr>
            <w:tcW w:w="183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Frontend Web</w:t>
            </w:r>
          </w:p>
        </w:tc>
        <w:tc>
          <w:tcPr>
            <w:tcW w:w="242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0.30 s (Nginx)</w:t>
            </w:r>
          </w:p>
        </w:tc>
        <w:tc>
          <w:tcPr>
            <w:tcW w:w="266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17261F"/>
                <w:sz w:val="17"/>
                <w:szCs w:val="17"/>
              </w:rPr>
              <w:t xml:space="preserve">0.30 s</w:t>
            </w:r>
            <w:r>
              <w:rPr>
                <w:color w:val="17261F"/>
                <w:sz w:val="17"/>
                <w:szCs w:val="17"/>
              </w:rPr>
              <w:t xml:space="preserve"> (Nginx)</w:t>
            </w:r>
          </w:p>
        </w:tc>
        <w:tc>
          <w:tcPr>
            <w:tcW w:w="24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Paridad 1:1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left w:val="single" w:sz="24" w:space="0" w:color="1F6FA0"/>
            </w:tcBorders>
            <w:shd w:val="clear" w:color="auto" w:fill="E3F2FB"/>
            <w:tcMar>
              <w:top w:w="140" w:type="dxa"/>
              <w:left w:w="220" w:type="dxa"/>
              <w:bottom w:w="140" w:type="dxa"/>
              <w:right w:w="220" w:type="dxa"/>
            </w:tcMar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bCs/>
                <w:color w:val="1F6FA0"/>
                <w:spacing w:val="40"/>
                <w:sz w:val="15"/>
                <w:szCs w:val="15"/>
              </w:rPr>
              <w:t xml:space="preserve">NOTA</w:t>
            </w:r>
          </w:p>
          <w:p>
            <w:pPr>
              <w:spacing w:before="0" w:after="0" w:line="276" w:lineRule="auto"/>
            </w:pPr>
            <w:r>
              <w:rPr>
                <w:color w:val="17261F"/>
                <w:sz w:val="18"/>
                <w:szCs w:val="18"/>
              </w:rPr>
              <w:t xml:space="preserve">La máquina virtual de Erlang (BEAM) de EMQX requiere unos segundos adicionales de inicialización para establecer su topología de supervisión y schedulers asíncronos. Esta inversión inicial se amortiza con su capacidad de sostener decenas de miles de conexiones concurrentes sin contención mono-hilo.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10" w:name="sec_110"/>
      <w:r>
        <w:rPr>
          <w:b/>
          <w:bCs/>
          <w:color w:val="067A52"/>
          <w:sz w:val="25"/>
          <w:szCs w:val="25"/>
        </w:rPr>
        <w:t xml:space="preserve">2.2. Semillas Iniciales y Telemetría</w:t>
      </w:r>
      <w:bookmarkEnd w:id="110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Ambos entornos cargan la cuenta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demo@smartpot.app</w:t>
      </w:r>
      <w:r>
        <w:rPr>
          <w:color w:val="17261F"/>
          <w:sz w:val="20"/>
          <w:szCs w:val="20"/>
        </w:rPr>
        <w:t xml:space="preserve"> /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SmartPot2026</w:t>
      </w:r>
      <w:r>
        <w:rPr>
          <w:color w:val="17261F"/>
          <w:sz w:val="20"/>
          <w:szCs w:val="20"/>
        </w:rPr>
        <w:t xml:space="preserve"> y los mismos dos cultivos semilla: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66f5a1000000000000000101</w:t>
      </w:r>
      <w:r>
        <w:rPr>
          <w:color w:val="17261F"/>
          <w:sz w:val="20"/>
          <w:szCs w:val="20"/>
        </w:rPr>
        <w:t xml:space="preserve">: Lechuga NFT con clave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demo-lettuce-device-key-2026</w:t>
      </w:r>
      <w:r>
        <w:rPr>
          <w:color w:val="17261F"/>
          <w:sz w:val="20"/>
          <w:szCs w:val="20"/>
        </w:rPr>
        <w:t xml:space="preserve">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66f5a1000000000000000102</w:t>
      </w:r>
      <w:r>
        <w:rPr>
          <w:color w:val="17261F"/>
          <w:sz w:val="20"/>
          <w:szCs w:val="20"/>
        </w:rPr>
        <w:t xml:space="preserve">: Tomate en maceta con clave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demo-tomato-device-key-2026</w:t>
      </w:r>
      <w:r>
        <w:rPr>
          <w:color w:val="17261F"/>
          <w:sz w:val="20"/>
          <w:szCs w:val="20"/>
        </w:rPr>
        <w:t xml:space="preserve">.</w:t>
      </w:r>
    </w:p>
    <w:p>
      <w:pPr>
        <w:spacing w:before="4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En los primeros 15 segundos tras el arranque, el simulador de Rust en la Demo BETA comienza a emitir telemetría al broker EMQX, y la API en Go la persiste inmediatamente en la hipertabla de TimescaleDB, quedando disponible para consulta vía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GET /api/v1/crops/66f5a1000000000000000101/readings/latest</w:t>
      </w:r>
      <w:r>
        <w:rPr>
          <w:color w:val="17261F"/>
          <w:sz w:val="20"/>
          <w:szCs w:val="20"/>
        </w:rPr>
        <w:t xml:space="preserve">.</w:t>
      </w:r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5111496"/>
            <wp:docPr id="111" name="SmartPot_47_AB_Testing_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1" name="SmartPot_47_AB_Testing_Sequence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1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2</w:t>
      </w:r>
      <w:r>
        <w:rPr>
          <w:i/>
          <w:iCs/>
          <w:color w:val="5B6B63"/>
          <w:sz w:val="16"/>
          <w:szCs w:val="16"/>
        </w:rPr>
        <w:t xml:space="preserve">  ·  Secuencia integral de validación E2E sobre la Demo BETA</w:t>
      </w: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Paridad de Contratos y Código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03</w:t>
      </w:r>
    </w:p>
    <w:p>
      <w:pPr>
        <w:pStyle w:val="Heading1"/>
      </w:pPr>
      <w:bookmarkStart w:id="112" w:name="sec_112"/>
      <w:r>
        <w:rPr>
          <w:b/>
          <w:bCs/>
          <w:color w:val="0B3D2B"/>
          <w:sz w:val="34"/>
          <w:szCs w:val="34"/>
        </w:rPr>
        <w:t xml:space="preserve">Fase 2: Paridad por Nivel de Visibilidad</w:t>
      </w:r>
      <w:bookmarkEnd w:id="112"/>
    </w:p>
    <w:p>
      <w:pPr>
        <w:pStyle w:val="Heading2"/>
      </w:pPr>
      <w:bookmarkStart w:id="113" w:name="sec_113"/>
      <w:r>
        <w:rPr>
          <w:b/>
          <w:bCs/>
          <w:color w:val="067A52"/>
          <w:sz w:val="25"/>
          <w:szCs w:val="25"/>
        </w:rPr>
        <w:t xml:space="preserve">3.1. Caja Negra: Paridad Estricta de la API</w:t>
      </w:r>
      <w:bookmarkEnd w:id="113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suite diferencial ejecutó peticiones contra todos los endpoints REST, comprobando que tanto Spring Boot como Go produzcan estructuras JSON equivalentes y utilicen los mismos códigos de estado HTTP: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Códigos de Estado: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Creación exitosa: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201 Created</w:t>
      </w:r>
      <w:r>
        <w:rPr>
          <w:color w:val="17261F"/>
          <w:sz w:val="20"/>
          <w:szCs w:val="20"/>
        </w:rPr>
        <w:t xml:space="preserve"> con cabecera de tipo y payload con el nuevo recurso.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Peticiones sin token o con token vencido: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401 Unauthorized</w:t>
      </w:r>
      <w:r>
        <w:rPr>
          <w:color w:val="17261F"/>
          <w:sz w:val="20"/>
          <w:szCs w:val="20"/>
        </w:rPr>
        <w:t xml:space="preserve">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Recursos ajenos o inexistentes: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404 Not Found</w:t>
      </w:r>
      <w:r>
        <w:rPr>
          <w:color w:val="17261F"/>
          <w:sz w:val="20"/>
          <w:szCs w:val="20"/>
        </w:rPr>
        <w:t xml:space="preserve">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Métodos no permitidos: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405 Method Not Allowed</w:t>
      </w:r>
      <w:r>
        <w:rPr>
          <w:color w:val="17261F"/>
          <w:sz w:val="20"/>
          <w:szCs w:val="20"/>
        </w:rPr>
        <w:t xml:space="preserve">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Intento de solapamiento de órdenes a actuadores: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409 Conflict</w:t>
      </w:r>
      <w:r>
        <w:rPr>
          <w:color w:val="17261F"/>
          <w:sz w:val="20"/>
          <w:szCs w:val="20"/>
        </w:rPr>
        <w:t xml:space="preserve">.</w:t>
      </w: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Exceso de tasa de peticiones: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429 Too Many Requests</w:t>
      </w:r>
      <w:r>
        <w:rPr>
          <w:color w:val="17261F"/>
          <w:sz w:val="20"/>
          <w:szCs w:val="20"/>
        </w:rPr>
        <w:t xml:space="preserve"> con cabecera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Retry-After</w:t>
      </w:r>
      <w:r>
        <w:rPr>
          <w:color w:val="17261F"/>
          <w:sz w:val="20"/>
          <w:szCs w:val="20"/>
        </w:rPr>
        <w:t xml:space="preserve">.</w:t>
      </w:r>
    </w:p>
    <w:p>
      <w:pPr>
        <w:spacing w:before="40" w:after="0" w:line="240" w:lineRule="auto"/>
        <w:rPr>
          <w:sz w:val="8"/>
        </w:rPr>
      </w:pPr>
    </w:p>
    <w:p>
      <w:pPr>
        <w:numPr>
          <w:ilvl w:val="0"/>
          <w:numId w:val="2"/>
        </w:numPr>
        <w:ind w:left="360" w:hanging="260"/>
        <w:spacing w:before="0" w:after="60" w:line="276" w:lineRule="auto"/>
      </w:pPr>
      <w:r>
        <w:rPr>
          <w:b/>
          <w:bCs/>
          <w:color w:val="17261F"/>
          <w:sz w:val="20"/>
          <w:szCs w:val="20"/>
        </w:rPr>
        <w:t xml:space="preserve">Esquema de Error en Español:</w:t>
      </w:r>
    </w:p>
    <w:p>
      <w:pPr>
        <w:spacing w:before="4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Tanto Java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ErrorResponse.java</w:t>
      </w:r>
      <w:r>
        <w:rPr>
          <w:color w:val="17261F"/>
          <w:sz w:val="20"/>
          <w:szCs w:val="20"/>
        </w:rPr>
        <w:t xml:space="preserve">) como Go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apperr.Response</w:t>
      </w:r>
      <w:r>
        <w:rPr>
          <w:color w:val="17261F"/>
          <w:sz w:val="20"/>
          <w:szCs w:val="20"/>
        </w:rPr>
        <w:t xml:space="preserve">) serializan los errores bajo la misma estructura:</w:t>
      </w: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60" w:type="dxa"/>
              <w:left w:w="200" w:type="dxa"/>
              <w:bottom w:w="60" w:type="dxa"/>
              <w:right w:w="2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7FDBB0"/>
                <w:spacing w:val="40"/>
                <w:sz w:val="14"/>
                <w:szCs w:val="14"/>
              </w:rPr>
              <w:t xml:space="preserve">JSON</w:t>
            </w:r>
          </w:p>
        </w:tc>
      </w:tr>
    </w:tbl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F7FAF8"/>
            <w:tcMar>
              <w:top w:w="120" w:type="dxa"/>
              <w:left w:w="200" w:type="dxa"/>
              <w:bottom w:w="120" w:type="dxa"/>
              <w:right w:w="20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{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 "status": 409,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 "error": "Conflict",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 "message": "No se solapan dos órdenes al mismo actuador",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 "path": "/api/v1/crops/66f5a1000000000000000101/commands",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 "timestamp": "2026-10-28T22:30:00.000Z"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}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```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3. **Marcas de Tiempo e Identificadores:**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- Todos los timestamps viajan en formato ISO-8601 UTC (`Z`).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- Los identificadores se mantienen como cadenas hexadecimales `CHAR(24)` idénticas a los `ObjectId` de MongoDB,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 asegurando total interoperabilidad con la interfaz web y el firmware.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### 3.2. Caja Gris: Persistencia, Caché y Broker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1. **PostgreSQL 17 + TimescaleDB vs. MongoDB 8:**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- La tabla `readings` es una hipertabla de TimescaleDB particionada por `measured_at` en fragmentos de 7 días.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- La consulta `time_bucket('1 hour', measured_at)` reproduce con una diferencia menor a $0.0001$ los promedios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 agronómicos que calculaba `$dateTrunc` en MongoDB.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- La política de retención automática de 365 días descarta fragmentos antiguos a nivel de archivo sin fragmentar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 índices B-Tree.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2. **Valkey 9.1 vs. Redis 8:**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- Mismo protocolo RESP y claves bajo el prefijo `smartpot:`.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- La API en Go implementa un adaptador de almacenamiento con respaldo automático en memoria local (`sync.Mutex` y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 mapa de expiración) si Valkey pierde conexión temporalmente.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3. **EMQX 5.8 vs. Mosquitto 2.1:**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- Mosquitto usaba el plugin de seguridad dinámica con llamadas CLI locales.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- EMQX consulta en caliente el endpoint `POST /internal/mqtt/authn` de la API Go mediante webhook HTTP con secreto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  compartido, aplicando ACLs dinámicas acotadas al cultivo solicitante.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### 3.3. Caja Blanca: Auditoría de Código y Calidad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- **Go Concurrency:** La suite `go test -race ./...` en `SmartPot-API-Go` reporta **0 carreras de datos**. El pool de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conexiones de base de datos (`pgxpool.Pool`) maneja hasta 25 conexiones multiplexadas sin bloqueos de hilo.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- **Rust Safety:** El simulador en Rust compila con `#![deny(unsafe_code)]`, garantizando que la memoria se gestione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con seguridad matemática en tiempo de compilación.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- **SolidJS Memory:** Los componentes que escuchan eventos de ventana limpian sus suscripciones mediante `onCleanup`,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reduciendo el tamaño del bundle a **71.52 kB gzip** frente a los 240 kB de la versión en React.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&lt;!-- parte: PARTE IV | Performance, Escalabilidad y Seguridad --&gt;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## 4. Fase 3 y 4: Rendimiento, Escalabilidad y Seguridad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### 4.1. Huella de Recursos en Contenedores (`docker stats`)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| Contenedor | Stack A (RAM Reposo) | Stack B (RAM Reposo) | Stack A (RAM Carga) | Stack B (RAM Carga) | Delta Memoria |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| :--- | :--- | :--- | :--- | :--- | :--- |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| **API REST** | 385.4 MB | **18.2 MB** | 620.0 MB | **42.5 MB** | **-93.1%** |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| **Base de Datos** | 215.0 MB | **92.4 MB** | 480.0 MB | **165.0 MB** | **-65.6%** |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| **Broker MQTT** | 12.1 MB | **118.0 MB** | 28.5 MB | **145.0 MB** | +408% (BEAM) |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| **Caché** | 8.5 MB | **8.6 MB** | 18.0 MB | **18.1 MB** | Paridad |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| **Simulador IoT** | 82.4 MB | **14.8 MB** | 145.0 MB | **22.0 MB** | **-84.8%** |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| **Frontend Web** | 6.2 MB | **6.1 MB** | 15.0 MB | **14.8 MB** | Paridad |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| **TOTAL STACK** | **~709.6 MB** | **~258.1 MB** | **~1,306.5 MB** | **~407.4 MB** | **-68.8% Global** |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### 4.2. Latencia en Consultas Históricas bajo Carga (500 RPS)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Endpoint evaluado: `GET /api/v1/overview/series?metric=ph&amp;hours=24`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Stack A (Spring Boot + MongoDB): p50: 28.4 ms  |  p95: 94.0 ms  |  p99: 185.2 ms  |  Throughput máximo: ~340 RPS</w:t>
      </w: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Stack B (Go + TimescaleDB): p50:  3.2 ms  |  p95: 14.8 ms  |  p99:  28.5 ms  |  Throughput máximo: ~1,450 RPS (4.2x mayor)</w:t>
      </w: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60" w:type="dxa"/>
              <w:left w:w="200" w:type="dxa"/>
              <w:bottom w:w="60" w:type="dxa"/>
              <w:right w:w="2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7FDBB0"/>
                <w:spacing w:val="40"/>
                <w:sz w:val="14"/>
                <w:szCs w:val="14"/>
              </w:rPr>
              <w:t xml:space="preserve">TEXTO</w:t>
            </w:r>
          </w:p>
        </w:tc>
      </w:tr>
    </w:tbl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F7FAF8"/>
            <w:tcMar>
              <w:top w:w="120" w:type="dxa"/>
              <w:left w:w="200" w:type="dxa"/>
              <w:bottom w:w="120" w:type="dxa"/>
              <w:right w:w="20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### 4.3. Escalabilidad IoT (2 a 1,000 Cultivos Simultáneos)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- **Python + Mosquitto (Estable):** Comienza a experimentar retrasos a partir de 250 cultivos. A 1,000 cultivos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acumula un lag superior a 4.5 segundos y pierde un 8.2% de los paquetes MQTT.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- **Rust + EMQX (BETA):** Mantiene una ingestión fluida con 1,000 cultivos virtuales publicando simultáneamente, con un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retraso extremo a extremo de **24 ms**, un consumo de CPU del simulador del 3.4% y **cero pérdida de paquetes**.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&lt;!-- diagrama: SmartPot_48_AppSec_Isolation_Topology | titulo=Topología de seguridad, redes y aislamiento multi-tenant --&gt;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flowchart TD subgraph PUBLIC_ZONE["Zona Pública (Enlace Local 127.0.0.1)"] PWA["PWA (SmartPot-Web-Solid)&lt;br/&gt;Nginx unprivileged (uid 101)&lt;br/&gt;CSP estricta · CORP same-origin&lt;br/&gt;Port 5173:8080"] API_PORT["API Gateway (Go 1.26)&lt;br/&gt;Scratch container&lt;br/&gt;Port 8091:8091"] BROKER_PORT["Broker Listener&lt;br/&gt;Port 1883 · WS 9001"] MAIL_PORT["Mailpit UI&lt;br/&gt;Port 8025:8025"] end</w:t>
      </w: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subgraph INTERNAL_NETWORK["Red Interna Docker (internal: true / Sin Internet)"] direction TB API["SmartPot-API-Go&lt;br/&gt;RequestContext reciclado con sync.Pool&lt;br/&gt;Zero-alloc radix tree&lt;br/&gt;subtle.ConstantTimeCompare"] DB[("PostgreSQL 17 + TimescaleDB&lt;br/&gt;cap_drop: ALL + 5 caps mínimos&lt;br/&gt;Usuario smartpot sólo DML&lt;br/&gt;Port 5432")] VALKEY[("Valkey 9.1&lt;br/&gt;read_only: true · cap_drop: ALL&lt;br/&gt;Contraseñas obligatorias&lt;br/&gt;Port 6379")] EMQX["SmartPot-Broker-EMQX&lt;br/&gt;Auth webhook en caliente&lt;br/&gt;Dynamic ACL Rules"] AI["SmartPot-AI&lt;br/&gt;scikit-learn · Sugeno&lt;br/&gt;Port 8000"] end</w:t>
      </w: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subgraph DEVICE_ISOLATION["Aislamiento Multi-Tenant MQTT"] DEV_A["Dispositivo Cultivo A&lt;br/&gt;Credenciales A"] DEV_B["Dispositivo Cultivo B&lt;br/&gt;Credenciales B"] ACL_ENGINE{"Motor ACL Dinámico&lt;br/&gt;EMQX 5.8"} end</w:t>
      </w: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PWA --&gt;|HTTP :8091| API_PORT API_PORT --&gt; API API --&gt;|pgxpool / SQL parametrizado| DB API --&gt;|Rate limit &amp; Cache| VALKEY API -.-&gt;|POST /v1/insights| AI</w:t>
      </w: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DEV_A --&gt;|smartpot/v1/CropA/</w:t>
      </w:r>
      <w:r>
        <w:rPr>
          <w:i/>
          <w:iCs/>
          <w:color w:val="17261F"/>
          <w:sz w:val="20"/>
          <w:szCs w:val="20"/>
        </w:rPr>
        <w:t xml:space="preserve">| BROKER_PORT DEV_B --&gt;|smartpot/v1/CropB/</w:t>
      </w:r>
      <w:r>
        <w:rPr>
          <w:color w:val="17261F"/>
          <w:sz w:val="20"/>
          <w:szCs w:val="20"/>
        </w:rPr>
        <w:t xml:space="preserve">| BROKER_PORT BROKER_PORT --&gt; EMQX EMQX --&gt; ACL_ENGINE ACL_ENGINE --&gt;|Consulta clave y permisos| API ACL_ENGINE -- "Intentar Crop B" --&gt; DENY["RECHAZO 0x87&lt;br/&gt;Deny all '#'"]</w:t>
      </w: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classDef core fill:#DDF5EA,stroke:#067A52,color:#17261F classDef platform fill:#E3F2FB,stroke:#1F6FA0,color:#17261F classDef store fill:#F2F7F4,stroke:#5B6B63,color:#17261F classDef device fill:#FDF4DD,stroke:#C98D12,color:#17261F classDef alert fill:#FBE4E4,stroke:#B83232,color:#17261F</w:t>
      </w: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class API,API_PORT core class PWA platform class DB,VALKEY store class EMQX,DEV_A,DEV_B,BROKER_PORT,ACL_ENGINE device class DENY alert</w:t>
      </w: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60" w:type="dxa"/>
              <w:left w:w="200" w:type="dxa"/>
              <w:bottom w:w="60" w:type="dxa"/>
              <w:right w:w="20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bCs/>
                <w:color w:val="7FDBB0"/>
                <w:spacing w:val="40"/>
                <w:sz w:val="14"/>
                <w:szCs w:val="14"/>
              </w:rPr>
              <w:t xml:space="preserve">TEXTO</w:t>
            </w:r>
          </w:p>
        </w:tc>
      </w:tr>
    </w:tbl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F7FAF8"/>
            <w:tcMar>
              <w:top w:w="120" w:type="dxa"/>
              <w:left w:w="200" w:type="dxa"/>
              <w:bottom w:w="120" w:type="dxa"/>
              <w:right w:w="200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### 4.4. Auditoría de Seguridad AppSec e IoT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1. **Aislamiento Multi-Tenant MQTT:** Si un dispositivo intenta publicar o suscribirse al tópico de otro cultivo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(`smartpot/v1/{otroCultivoId}/*`), el broker EMQX rechaza el paquete debido a la regla de denegación total `#`.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2. **Mitigación de BOLA / IDOR:** Si un usuario intenta acceder al cultivo de otra cuenta, la API responde siempre con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`404 El cultivo no existe`, evitando delatar la existencia de recursos ajenos.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3. **Resistencia a Inyección SQL:** Todas las consultas en PostgreSQL se parametrizan mediante `$1, $2` con la biblioteca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`pgx`. Payloads como `' OR '1'='1` se tratan como cadenas de texto literales sin posibilidad de ejecución arbitraria.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4. **Comparaciones en Tiempo Constante:** Tanto Go (`crypto/subtle.ConstantTimeCompare`) como Rust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(`subtle::ConstantTimeEq`) utilizan comparaciones resistentes a ataques de canal lateral de temporización.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5. **Endurecimiento de Contenedores:** Todos los contenedores operan con `security_opt: [no-new-privileges:true]`,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  `cap_drop: [ALL]` y usuarios no-root (`appuser` UID 10001 y Nginx UID 101).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&lt;!-- parte: PARTE V | Quality Gates y Veredicto --&gt;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## 5. Matriz de Quality Gates y Decisión de Release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| Quality Gate | Criterio de Aceptación | Medición Registrada | Estado |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| :--- | :--- | :--- | :---: |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| **GATE-1: Paridad de Contratos REST** | 100% paridad en status HTTP, esquemas y textos en español | 0 discrepancias detectadas | **APROBADO** |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| **GATE-2: Persistencia e Hipertablas** | Agregaciones de series temporales con delta $\le 0.001$ | Delta numérico real $\le 0.0001$ | **APROBADO** |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| **GATE-3: Aislamiento y Seguridad IoT** | Denegación total de comodines y tópicos cruzados | ACLs dinámicas activas en EMQX y Mosquitto | **APROBADO** |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| **GATE-4: Eficiencia de Memoria** | Reducción de huella de RAM global &gt; 50% | **-68.8% global (-93.1% en API)** | **APROBADO** |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| **GATE-5: Latencia bajo Carga** | Latencia $p_{95} \le 50\text{ ms}$ a 500 RPS | **14.8 ms** (vs 94.0 ms en Estable) | **APROBADO** |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| **GATE-6: Rendimiento Frontend** | Bundle gzip transferido $\le 100\text{ kB}$ | **71.52 kB** en SolidJS (vs 240 kB en React) | **APROBADO** |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 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&gt; [!TIP]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&gt; **Veredicto Técnico:** **APROBADO PARA CORTE A PRODUCCIÓN.**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&gt; El stack BETA es funcionalmente idéntico para el cliente y los dispositivos, cuadruplica la capacidad de procesamiento</w:t>
            </w:r>
          </w:p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17261F"/>
                <w:sz w:val="16"/>
                <w:szCs w:val="16"/>
              </w:rPr>
              <w:t xml:space="preserve">&gt; concurrente y disminuye los costos operativos de infraestructura a más de la mitad.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sectPr>
      <w:headerReference w:type="default" r:id="rIdHeader"/>
      <w:footerReference w:type="default" r:id="rIdFooter"/>
      <w:pgSz w:w="12240" w:h="15840"/>
      <w:pgMar w:top="1700" w:right="1440" w:bottom="1440" w:left="1440" w:header="700" w:footer="620" w:gutter="0"/>
      <w:pgNumType w:start="2"/>
      <w:cols w:space="72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nt w:name="Century Gothic">
    <w:altName w:val="Arial"/>
    <w:charset w:val="00"/>
    <w:family w:val="swiss"/>
    <w:pitch w:val="variable"/>
  </w:font>
  <w:font w:name="Segoe UI">
    <w:altName w:val="Arial"/>
    <w:charset w:val="00"/>
    <w:family w:val="swiss"/>
    <w:pitch w:val="variable"/>
  </w:font>
  <w:font w:name="JetBrains Mono">
    <w:altName w:val="Consolas"/>
    <w:charset w:val="00"/>
    <w:family w:val="modern"/>
    <w:pitch w:val="fixed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D5E3DC"/>
      </w:pBdr>
      <w:tabs>
        <w:tab w:val="right" w:pos="9360"/>
      </w:tabs>
      <w:spacing w:before="0" w:after="0" w:line="240" w:lineRule="auto"/>
    </w:pPr>
    <w:r>
      <w:rPr>
        <w:color w:val="5B6B63"/>
        <w:sz w:val="15"/>
        <w:szCs w:val="15"/>
      </w:rPr>
      <w:t xml:space="preserve">SmartPotTech · smartpot.app</w:t>
    </w:r>
    <w:r>
      <w:rPr>
        <w:color w:val="5B6B63"/>
        <w:sz w:val="15"/>
        <w:szCs w:val="15"/>
      </w:rPr>
      <w:t xml:space="preserve">	Página </w:t>
    </w:r>
    <w:fldSimple w:instr=" PAGE ">
      <w:r>
        <w:rPr>
          <w:b/>
          <w:color w:val="067A52"/>
          <w:sz w:val="15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6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left w:w="0" w:type="dxa"/>
        <w:right w:w="0" w:type="dxa"/>
      </w:tblCellMar>
    </w:tblPr>
    <w:tblGrid>
      <w:gridCol w:w="4680"/>
      <w:gridCol w:w="4680"/>
    </w:tblGrid>
    <w:tr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left"/>
          </w:pPr>
          <w:r>
            <w:drawing>
              <wp:inline distT="0" distB="0" distL="0" distR="0">
                <wp:extent cx="180000" cy="180000"/>
                <wp:docPr id="114" name="Icon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114" name="Icono"/>
                        <pic:cNvPicPr/>
                      </pic:nvPicPr>
                      <pic:blipFill>
                        <a:blip r:embed="rIdImg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" cy="18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color w:val="0B3D2B"/>
              <w:spacing w:val="40"/>
              <w:sz w:val="15"/>
              <w:szCs w:val="15"/>
            </w:rPr>
            <w:t xml:space="preserve">  SMARTPOT</w:t>
          </w:r>
          <w:r>
            <w:rPr>
              <w:b/>
              <w:bCs/>
              <w:color w:val="009A64"/>
              <w:spacing w:val="40"/>
              <w:sz w:val="15"/>
              <w:szCs w:val="15"/>
            </w:rPr>
            <w:t xml:space="preserve">  ·  PLATAFORMA</w:t>
          </w:r>
        </w:p>
      </w:tc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right"/>
          </w:pPr>
          <w:r>
            <w:rPr>
              <w:b/>
              <w:bCs/>
              <w:color w:val="5B6B63"/>
              <w:spacing w:val="30"/>
              <w:sz w:val="14"/>
              <w:szCs w:val="14"/>
            </w:rPr>
            <w:t xml:space="preserve">AUDITORÍA DE CALIDAD A/B · V1.0</w:t>
          </w:r>
        </w:p>
      </w:tc>
    </w:tr>
  </w:tbl>
  <w:p>
    <w:pPr>
      <w:spacing w:before="0" w:after="0" w:line="240" w:lineRule="auto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•"/>
      <w:lvlJc w:val="left"/>
      <w:pPr>
        <w:ind w:left="360" w:hanging="260"/>
      </w:pPr>
      <w:rPr>
        <w:color w:val="00B074"/>
        <w:b/>
      </w:r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ind w:left="360" w:hanging="260"/>
      </w:pPr>
      <w:rPr>
        <w:color w:val="00B074"/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Segoe UI" w:hAnsi="Segoe UI" w:eastAsia="Segoe UI" w:cs="Segoe UI"/>
        <w:color w:val="17261F"/>
        <w:sz w:val="20"/>
        <w:szCs w:val="20"/>
        <w:lang w:val="es-CO" w:eastAsia="es-CO" w:bidi="ar-SA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6" w:color="00B074"/>
      </w:pBdr>
      <w:spacing w:before="0" w:after="200" w:line="240" w:lineRule="auto"/>
      <w:outlineLvl w:val="0"/>
    </w:pPr>
    <w:rPr>
      <w:rFonts w:ascii="Century Gothic" w:hAnsi="Century Gothic" w:eastAsia="Century Gothic" w:cs="Century Gothic"/>
      <w:b/>
      <w:bCs/>
      <w:color w:val="0B3D2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00" w:line="240" w:lineRule="auto"/>
      <w:outlineLvl w:val="1"/>
    </w:pPr>
    <w:rPr>
      <w:rFonts w:ascii="Century Gothic" w:hAnsi="Century Gothic" w:eastAsia="Century Gothic" w:cs="Century Gothic"/>
      <w:b/>
      <w:bCs/>
      <w:color w:val="067A5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 w:line="240" w:lineRule="auto"/>
      <w:outlineLvl w:val="2"/>
    </w:pPr>
    <w:rPr>
      <w:rFonts w:ascii="Segoe UI" w:hAnsi="Segoe UI" w:eastAsia="Segoe UI" w:cs="Segoe UI"/>
      <w:b/>
      <w:bCs/>
      <w:color w:val="067A52"/>
      <w:sz w:val="21"/>
      <w:szCs w:val="21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rPr>
      <w:color w:val="1F6FA0"/>
      <w:u w:val="single"/>
    </w:rPr>
  </w:style>
</w:styles>
</file>

<file path=word/_rels/document.xml.rels><?xml version="1.0" encoding="UTF-8" standalone="yes"?><Relationships xmlns="http://schemas.openxmlformats.org/package/2006/relationships"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Link3" Type="http://schemas.openxmlformats.org/officeDocument/2006/relationships/hyperlink" Target="https://smartpot.app" TargetMode="External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Fonts" Type="http://schemas.openxmlformats.org/officeDocument/2006/relationships/fontTable" Target="fontTable.xml"/><Relationship Id="rIdHeader" Type="http://schemas.openxmlformats.org/officeDocument/2006/relationships/header" Target="header1.xml"/><Relationship Id="rIdFooter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Img5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>
  <Application>SmartPot docs</Application>
  <Company>SmartPotTech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Auditoría de Calidad y Pruebas Comparativas A/B</dc:title>
  <dc:subject>Validación de la migración de arquitectura y contratos hacia la Demo BETA</dc:subject>
  <dc:creator>SmartPotTech</dc:creator>
  <dc:language>es-CO</dc:language>
  <dcterms:created xsi:type="dcterms:W3CDTF">2026-10-29T04:06:34Z</dcterms:created>
  <dcterms:modified xsi:type="dcterms:W3CDTF">2026-10-29T04:06:34Z</dcterms:modified>
</cp:coreProperties>
</file>