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13300" w:hRule="exact"/>
        </w:trPr>
        <w:tc>
          <w:tcPr>
            <w:tcW w:w="12240" w:type="dxa"/>
            <w:shd w:val="clear" w:color="auto" w:fill="0B3D2B"/>
            <w:tcMar>
              <w:top w:w="1500" w:type="dxa"/>
              <w:left w:w="1180" w:type="dxa"/>
              <w:bottom w:w="0" w:type="dxa"/>
              <w:right w:w="1180" w:type="dxa"/>
            </w:tcMar>
            <w:vAlign w:val="top"/>
          </w:tcPr>
          <w:p>
            <w:pPr>
              <w:spacing w:before="0" w:after="2600" w:line="288" w:lineRule="auto"/>
            </w:pPr>
            <w:r>
              <w:drawing>
                <wp:inline distT="0" distB="0" distL="0" distR="0">
                  <wp:extent cx="3000000" cy="628820"/>
                  <wp:docPr id="101" name="Logo"/>
                  <wp:cNvGraphicFramePr>
                    <a:graphicFrameLocks noChangeAspect="1"/>
                  </wp:cNvGraphicFramePr>
                  <a:graphic>
                    <a:graphicData uri="http://schemas.openxmlformats.org/drawingml/2006/picture">
                      <pic:pic>
                        <pic:nvPicPr>
                          <pic:cNvPr id="101" name="Logo"/>
                          <pic:cNvPicPr/>
                        </pic:nvPicPr>
                        <pic:blipFill>
                          <a:blip r:embed="rIdImg1"/>
                          <a:stretch>
                            <a:fillRect/>
                          </a:stretch>
                        </pic:blipFill>
                        <pic:spPr>
                          <a:xfrm>
                            <a:off x="0" y="0"/>
                            <a:ext cx="3000000" cy="628820"/>
                          </a:xfrm>
                          <a:prstGeom prst="rect">
                            <a:avLst/>
                          </a:prstGeom>
                        </pic:spPr>
                      </pic:pic>
                    </a:graphicData>
                  </a:graphic>
                </wp:inline>
              </w:drawing>
            </w:r>
            <w:r>
              <w:drawing>
                <wp:anchor distT="0" distB="0" distL="0" distR="0" simplePos="0" relativeHeight="1" behindDoc="0" locked="0" layoutInCell="0" allowOverlap="1">
                  <wp:simplePos x="0" y="0"/>
                  <wp:positionH relativeFrom="page">
                    <wp:posOffset>4050000</wp:posOffset>
                  </wp:positionH>
                  <wp:positionV relativeFrom="page">
                    <wp:posOffset>2350000</wp:posOffset>
                  </wp:positionV>
                  <wp:extent cx="4300000" cy="5495937"/>
                  <wp:effectExtent l="0" t="0" r="0" b="0"/>
                  <wp:wrapNone/>
                  <wp:docPr id="102" name="Marca"/>
                  <wp:cNvGraphicFramePr>
                    <a:graphicFrameLocks noChangeAspect="1"/>
                  </wp:cNvGraphicFramePr>
                  <a:graphic>
                    <a:graphicData uri="http://schemas.openxmlformats.org/drawingml/2006/picture">
                      <pic:pic>
                        <pic:nvPicPr>
                          <pic:cNvPr id="102" name="Marca"/>
                          <pic:cNvPicPr/>
                        </pic:nvPicPr>
                        <pic:blipFill>
                          <a:blip r:embed="rIdImg2"/>
                          <a:stretch>
                            <a:fillRect/>
                          </a:stretch>
                        </pic:blipFill>
                        <pic:spPr>
                          <a:xfrm>
                            <a:off x="0" y="0"/>
                            <a:ext cx="4300000" cy="5495937"/>
                          </a:xfrm>
                          <a:prstGeom prst="rect">
                            <a:avLst/>
                          </a:prstGeom>
                        </pic:spPr>
                      </pic:pic>
                    </a:graphicData>
                  </a:graphic>
                </wp:anchor>
              </w:drawing>
            </w:r>
          </w:p>
          <w:p>
            <w:pPr>
              <w:spacing w:before="0" w:after="160" w:line="288" w:lineRule="auto"/>
            </w:pPr>
            <w:r>
              <w:rPr>
                <w:b/>
                <w:bCs/>
                <w:caps/>
                <w:color w:val="F2B632"/>
                <w:spacing w:val="50"/>
                <w:sz w:val="17"/>
                <w:szCs w:val="17"/>
              </w:rPr>
              <w:t xml:space="preserve">Ciclo de vida del software</w:t>
            </w:r>
          </w:p>
          <w:p>
            <w:pPr>
              <w:spacing w:before="0" w:after="120" w:line="240" w:lineRule="auto"/>
            </w:pPr>
            <w:r>
              <w:rPr>
                <w:rFonts w:ascii="Century Gothic" w:hAnsi="Century Gothic" w:eastAsia="Century Gothic" w:cs="Century Gothic"/>
                <w:b/>
                <w:bCs/>
                <w:color w:val="FFFFFF"/>
                <w:sz w:val="68"/>
                <w:szCs w:val="68"/>
              </w:rPr>
              <w:t xml:space="preserve">SmartPot de </w:t>
            </w:r>
            <w:r>
              <w:rPr>
                <w:rFonts w:ascii="Century Gothic" w:hAnsi="Century Gothic" w:eastAsia="Century Gothic" w:cs="Century Gothic"/>
                <w:b/>
                <w:bCs/>
                <w:color w:val="00B074"/>
                <w:sz w:val="68"/>
                <w:szCs w:val="68"/>
              </w:rPr>
              <w:t xml:space="preserve">punta a punta</w:t>
            </w:r>
          </w:p>
          <w:p>
            <w:pPr>
              <w:spacing w:before="0" w:after="360" w:line="264" w:lineRule="auto"/>
            </w:pPr>
            <w:r>
              <w:rPr>
                <w:rFonts w:ascii="Century Gothic" w:hAnsi="Century Gothic" w:eastAsia="Century Gothic" w:cs="Century Gothic"/>
                <w:i/>
                <w:iCs/>
                <w:color w:val="DDF5EA"/>
                <w:sz w:val="32"/>
                <w:szCs w:val="32"/>
              </w:rPr>
              <w:t xml:space="preserve">Formulación, gestión, análisis, diseño, construcción, pruebas y mejora continua</w:t>
            </w:r>
          </w:p>
          <w:p>
            <w:pPr>
              <w:ind w:right="3900"/>
              <w:spacing w:before="0" w:after="0" w:line="300" w:lineRule="auto"/>
            </w:pPr>
            <w:r>
              <w:rPr>
                <w:color w:val="7FDBB0"/>
                <w:sz w:val="21"/>
                <w:szCs w:val="21"/>
              </w:rPr>
              <w:t xml:space="preserve">Una lectura crítica de cada etapa del proyecto: qué se planeó, qué evidencia dejó, qué no cuadraba y qué se aprendió para el siguiente ciclo.</w:t>
            </w:r>
          </w:p>
        </w:tc>
      </w:tr>
    </w:tbl>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2540" w:hRule="exact"/>
        </w:trPr>
        <w:tc>
          <w:tcPr>
            <w:tcW w:w="12240" w:type="dxa"/>
            <w:tcBorders>
              <w:top w:val="single" w:sz="18" w:space="0" w:color="00B074"/>
            </w:tcBorders>
            <w:shd w:val="clear" w:color="auto" w:fill="06281C"/>
            <w:tcMar>
              <w:top w:w="0" w:type="dxa"/>
              <w:left w:w="1180" w:type="dxa"/>
              <w:bottom w:w="0" w:type="dxa"/>
              <w:right w:w="1180" w:type="dxa"/>
            </w:tcMar>
            <w:vAlign w:val="center"/>
          </w:tcPr>
          <w:p>
            <w:pPr>
              <w:tabs>
                <w:tab w:val="left" w:pos="2700"/>
                <w:tab w:val="left" w:pos="5000"/>
                <w:tab w:val="left" w:pos="7300"/>
              </w:tabs>
              <w:spacing w:before="0" w:after="60" w:line="240" w:lineRule="auto"/>
            </w:pPr>
            <w:r>
              <w:rPr>
                <w:b/>
                <w:bCs/>
                <w:color w:val="7FDBB0"/>
                <w:spacing w:val="30"/>
                <w:sz w:val="15"/>
                <w:szCs w:val="15"/>
              </w:rPr>
              <w:t xml:space="preserve">DOCUMENTO</w:t>
            </w:r>
            <w:r>
              <w:rPr>
                <w:color w:val="17261F"/>
                <w:sz w:val="15"/>
                <w:szCs w:val="15"/>
              </w:rPr>
              <w:t xml:space="preserve">	</w:t>
            </w:r>
            <w:r>
              <w:rPr>
                <w:b/>
                <w:bCs/>
                <w:color w:val="7FDBB0"/>
                <w:spacing w:val="30"/>
                <w:sz w:val="15"/>
                <w:szCs w:val="15"/>
              </w:rPr>
              <w:t xml:space="preserve">VERSIÓN</w:t>
            </w:r>
            <w:r>
              <w:rPr>
                <w:color w:val="17261F"/>
                <w:sz w:val="15"/>
                <w:szCs w:val="15"/>
              </w:rPr>
              <w:t xml:space="preserve">	</w:t>
            </w:r>
            <w:r>
              <w:rPr>
                <w:b/>
                <w:bCs/>
                <w:color w:val="7FDBB0"/>
                <w:spacing w:val="30"/>
                <w:sz w:val="15"/>
                <w:szCs w:val="15"/>
              </w:rPr>
              <w:t xml:space="preserve">EQUIPO</w:t>
            </w:r>
            <w:r>
              <w:rPr>
                <w:color w:val="17261F"/>
                <w:sz w:val="15"/>
                <w:szCs w:val="15"/>
              </w:rPr>
              <w:t xml:space="preserve">	</w:t>
            </w:r>
            <w:r>
              <w:rPr>
                <w:b/>
                <w:bCs/>
                <w:color w:val="7FDBB0"/>
                <w:spacing w:val="30"/>
                <w:sz w:val="15"/>
                <w:szCs w:val="15"/>
              </w:rPr>
              <w:t xml:space="preserve">PROYECTO</w:t>
            </w:r>
          </w:p>
          <w:p>
            <w:pPr>
              <w:tabs>
                <w:tab w:val="left" w:pos="2700"/>
                <w:tab w:val="left" w:pos="5000"/>
                <w:tab w:val="left" w:pos="7300"/>
              </w:tabs>
              <w:spacing w:before="0" w:after="0" w:line="240" w:lineRule="auto"/>
            </w:pPr>
            <w:r>
              <w:rPr>
                <w:b/>
                <w:bCs/>
                <w:color w:val="FFFFFF"/>
                <w:sz w:val="19"/>
                <w:szCs w:val="19"/>
              </w:rPr>
              <w:t xml:space="preserve">Ciclo de vida del software</w:t>
            </w:r>
            <w:r>
              <w:rPr>
                <w:color w:val="17261F"/>
                <w:sz w:val="19"/>
                <w:szCs w:val="19"/>
              </w:rPr>
              <w:t xml:space="preserve">	</w:t>
            </w:r>
            <w:r>
              <w:rPr>
                <w:b/>
                <w:bCs/>
                <w:color w:val="FFFFFF"/>
                <w:sz w:val="19"/>
                <w:szCs w:val="19"/>
              </w:rPr>
              <w:t xml:space="preserve">1.0 · septiembre 2026</w:t>
            </w:r>
            <w:r>
              <w:rPr>
                <w:color w:val="17261F"/>
                <w:sz w:val="19"/>
                <w:szCs w:val="19"/>
              </w:rPr>
              <w:t xml:space="preserve">	</w:t>
            </w:r>
            <w:r>
              <w:rPr>
                <w:b/>
                <w:bCs/>
                <w:color w:val="FFFFFF"/>
                <w:sz w:val="19"/>
                <w:szCs w:val="19"/>
              </w:rPr>
              <w:t xml:space="preserve">SmartPotTech</w:t>
            </w:r>
            <w:r>
              <w:rPr>
                <w:color w:val="17261F"/>
                <w:sz w:val="19"/>
                <w:szCs w:val="19"/>
              </w:rPr>
              <w:t xml:space="preserve">	</w:t>
            </w:r>
            <w:r>
              <w:rPr>
                <w:b/>
                <w:bCs/>
                <w:color w:val="FFFFFF"/>
                <w:sz w:val="19"/>
                <w:szCs w:val="19"/>
              </w:rPr>
              <w:t xml:space="preserve">smartpot.app</w:t>
            </w:r>
          </w:p>
        </w:tc>
      </w:tr>
    </w:tbl>
    <w:p>
      <w:pPr>
        <w:spacing w:after="0" w:line="240" w:lineRule="auto"/>
        <w:rPr>
          <w:sz w:val="2"/>
        </w:rPr>
        <w:sectPr>
          <w:pgSz w:w="12240" w:h="15840"/>
          <w:pgMar w:top="0" w:right="0" w:bottom="0" w:left="0" w:header="0" w:footer="0" w:gutter="0"/>
          <w:cols w:space="720"/>
        </w:sectPr>
      </w:pPr>
    </w:p>
    <w:p>
      <w:pPr>
        <w:keepNext/>
        <w:spacing w:before="360" w:after="40" w:line="288" w:lineRule="auto"/>
      </w:pPr>
      <w:r>
        <w:rPr>
          <w:b/>
          <w:bCs/>
          <w:color w:val="009A64"/>
          <w:spacing w:val="60"/>
          <w:sz w:val="16"/>
          <w:szCs w:val="16"/>
        </w:rPr>
        <w:t xml:space="preserve">DOCUMENTO</w:t>
      </w:r>
    </w:p>
    <w:p>
      <w:pPr>
        <w:pStyle w:val="Heading1"/>
      </w:pPr>
      <w:bookmarkStart w:id="103" w:name="sec_103"/>
      <w:r>
        <w:rPr>
          <w:b/>
          <w:bCs/>
          <w:color w:val="0B3D2B"/>
          <w:sz w:val="34"/>
          <w:szCs w:val="34"/>
        </w:rPr>
        <w:t xml:space="preserve">Ficha del documento</w:t>
      </w:r>
      <w:bookmarkEnd w:id="103"/>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36"/>
        <w:gridCol w:w="7524"/>
      </w:tblGrid>
      <w:tr>
        <w:trPr>
          <w:cantSplit/>
          <w:tblHeader/>
        </w:trPr>
        <w:tc>
          <w:tcPr>
            <w:tcW w:w="183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CAMPO</w:t>
            </w:r>
          </w:p>
        </w:tc>
        <w:tc>
          <w:tcPr>
            <w:tcW w:w="752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8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Proyecto</w:t>
            </w:r>
          </w:p>
        </w:tc>
        <w:tc>
          <w:tcPr>
            <w:tcW w:w="752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 · </w:t>
            </w:r>
            <w:hyperlink r:id="rIdLink3">
              <w:r>
                <w:rPr>
                  <w:color w:val="1F6FA0"/>
                  <w:sz w:val="17"/>
                  <w:szCs w:val="17"/>
                  <w:u w:val="single"/>
                </w:rPr>
                <w:t xml:space="preserve">smartpot.app</w:t>
              </w:r>
            </w:hyperlink>
          </w:p>
        </w:tc>
      </w:tr>
      <w:tr>
        <w:trPr>
          <w:cantSplit/>
        </w:trPr>
        <w:tc>
          <w:tcPr>
            <w:tcW w:w="18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Organización</w:t>
            </w:r>
          </w:p>
        </w:tc>
        <w:tc>
          <w:tcPr>
            <w:tcW w:w="752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SmartPotTech</w:t>
            </w:r>
          </w:p>
        </w:tc>
      </w:tr>
      <w:tr>
        <w:trPr>
          <w:cantSplit/>
        </w:trPr>
        <w:tc>
          <w:tcPr>
            <w:tcW w:w="18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Documento</w:t>
            </w:r>
          </w:p>
        </w:tc>
        <w:tc>
          <w:tcPr>
            <w:tcW w:w="752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Ciclo de vida del software: formulación y evaluación, gestión, análisis, diseño, construcción, pruebas y mejora continua</w:t>
            </w:r>
          </w:p>
        </w:tc>
      </w:tr>
      <w:tr>
        <w:trPr>
          <w:cantSplit/>
        </w:trPr>
        <w:tc>
          <w:tcPr>
            <w:tcW w:w="18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Versión</w:t>
            </w:r>
          </w:p>
        </w:tc>
        <w:tc>
          <w:tcPr>
            <w:tcW w:w="752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 septiembre 2026</w:t>
            </w:r>
          </w:p>
        </w:tc>
      </w:tr>
      <w:tr>
        <w:trPr>
          <w:cantSplit/>
        </w:trPr>
        <w:tc>
          <w:tcPr>
            <w:tcW w:w="18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Periodo</w:t>
            </w:r>
          </w:p>
        </w:tc>
        <w:tc>
          <w:tcPr>
            <w:tcW w:w="752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Septiembre de 2024 a septiembre de 2026</w:t>
            </w:r>
          </w:p>
        </w:tc>
      </w:tr>
      <w:tr>
        <w:trPr>
          <w:cantSplit/>
        </w:trPr>
        <w:tc>
          <w:tcPr>
            <w:tcW w:w="18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Fuentes</w:t>
            </w:r>
          </w:p>
        </w:tc>
        <w:tc>
          <w:tcPr>
            <w:tcW w:w="752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Formulación del proyecto (idea, problema, árboles, 5 porqués, PESTEL, involucrados, marco lógico), estudio de mercado, acta de constitución, informe de gestión del cronograma y los recursos, informe de tareas críticas, propuesta de investigación, requisitos, casos de uso, diagramas UML del diseño y base de conocimiento; todo contrastado con el historial de los repositorios y la plataforma en producción</w:t>
            </w:r>
          </w:p>
        </w:tc>
      </w:tr>
      <w:tr>
        <w:trPr>
          <w:cantSplit/>
        </w:trPr>
        <w:tc>
          <w:tcPr>
            <w:tcW w:w="18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Documentos hermanos</w:t>
            </w:r>
          </w:p>
        </w:tc>
        <w:tc>
          <w:tcPr>
            <w:tcW w:w="7524" w:type="dxa"/>
            <w:shd w:val="clear" w:color="auto" w:fill="FFFFFF"/>
            <w:tcMar>
              <w:top w:w="70" w:type="dxa"/>
              <w:left w:w="110" w:type="dxa"/>
              <w:bottom w:w="70" w:type="dxa"/>
              <w:right w:w="110" w:type="dxa"/>
            </w:tcMar>
            <w:vAlign w:val="center"/>
          </w:tcPr>
          <w:p>
            <w:pPr>
              <w:spacing w:before="0" w:after="0" w:line="252" w:lineRule="auto"/>
            </w:pPr>
            <w:r>
              <w:rPr>
                <w:color w:val="1F6FA0"/>
                <w:sz w:val="17"/>
                <w:szCs w:val="17"/>
              </w:rPr>
              <w:t xml:space="preserve">Documentación técnica</w:t>
            </w:r>
            <w:r>
              <w:rPr>
                <w:color w:val="17261F"/>
                <w:sz w:val="17"/>
                <w:szCs w:val="17"/>
              </w:rPr>
              <w:t xml:space="preserve">: la plataforma tal como funciona hoy. </w:t>
            </w:r>
            <w:r>
              <w:rPr>
                <w:color w:val="1F6FA0"/>
                <w:sz w:val="17"/>
                <w:szCs w:val="17"/>
              </w:rPr>
              <w:t xml:space="preserve">Recorrido del proyecto</w:t>
            </w:r>
            <w:r>
              <w:rPr>
                <w:color w:val="17261F"/>
                <w:sz w:val="17"/>
                <w:szCs w:val="17"/>
              </w:rPr>
              <w:t xml:space="preserve">: requisito por requisito y diagrama por diagrama, qué se planeó y qué quedó construido</w:t>
            </w:r>
          </w:p>
        </w:tc>
      </w:tr>
      <w:tr>
        <w:trPr>
          <w:cantSplit/>
        </w:trPr>
        <w:tc>
          <w:tcPr>
            <w:tcW w:w="18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Cómo leerlo</w:t>
            </w:r>
          </w:p>
        </w:tc>
        <w:tc>
          <w:tcPr>
            <w:tcW w:w="752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Cada parte corresponde a una disciplina del ciclo de vida y tiene tres capas: lo que se hizo, con su diagrama; la </w:t>
            </w:r>
            <w:r>
              <w:rPr>
                <w:b/>
                <w:bCs/>
                <w:color w:val="17261F"/>
                <w:sz w:val="17"/>
                <w:szCs w:val="17"/>
              </w:rPr>
              <w:t xml:space="preserve">lectura crítica</w:t>
            </w:r>
            <w:r>
              <w:rPr>
                <w:color w:val="17261F"/>
                <w:sz w:val="17"/>
                <w:szCs w:val="17"/>
              </w:rPr>
              <w:t xml:space="preserve">, con lo que estuvo bien y lo que no cuadraba; y la </w:t>
            </w:r>
            <w:r>
              <w:rPr>
                <w:b/>
                <w:bCs/>
                <w:color w:val="17261F"/>
                <w:sz w:val="17"/>
                <w:szCs w:val="17"/>
              </w:rPr>
              <w:t xml:space="preserve">evidencia hoy</w:t>
            </w:r>
            <w:r>
              <w:rPr>
                <w:color w:val="17261F"/>
                <w:sz w:val="17"/>
                <w:szCs w:val="17"/>
              </w:rPr>
              <w:t xml:space="preserve">, con lo que queda en el código, las pruebas o la operación</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01</w:t>
      </w:r>
    </w:p>
    <w:p>
      <w:pPr>
        <w:pStyle w:val="Heading1"/>
      </w:pPr>
      <w:bookmarkStart w:id="104" w:name="sec_104"/>
      <w:r>
        <w:rPr>
          <w:b/>
          <w:bCs/>
          <w:color w:val="0B3D2B"/>
          <w:sz w:val="34"/>
          <w:szCs w:val="34"/>
        </w:rPr>
        <w:t xml:space="preserve">El proyecto en el tiempo</w:t>
      </w:r>
      <w:bookmarkEnd w:id="104"/>
    </w:p>
    <w:p>
      <w:pPr>
        <w:pStyle w:val="Heading2"/>
      </w:pPr>
      <w:bookmarkStart w:id="105" w:name="sec_105"/>
      <w:r>
        <w:rPr>
          <w:b/>
          <w:bCs/>
          <w:color w:val="067A52"/>
          <w:sz w:val="25"/>
          <w:szCs w:val="25"/>
        </w:rPr>
        <w:t xml:space="preserve">En palabras simples</w:t>
      </w:r>
      <w:bookmarkEnd w:id="105"/>
    </w:p>
    <w:p>
      <w:pPr>
        <w:spacing w:before="0" w:after="140" w:line="288" w:lineRule="auto"/>
      </w:pPr>
      <w:r>
        <w:rPr>
          <w:color w:val="17261F"/>
          <w:sz w:val="20"/>
          <w:szCs w:val="20"/>
        </w:rPr>
        <w:t xml:space="preserve">SmartPot pasó por todas las etapas de un proyecto de software, aunque no en el orden de un libro. Primero se diseñó y se construyó una primera versión; después se formuló como proyecto (problema, objetivos, mercado y finanzas); luego se planeó con las herramientas de la gerencia de proyectos; y al final la plataforma se reestructuró en ciclos cortos de mejora continua hasta quedar en producción. Este documento recorre esas etapas como disciplinas y, en cada una, separa lo que se dijo de lo que se puede comprobar.</w:t>
      </w:r>
    </w:p>
    <w:p>
      <w:pPr>
        <w:keepNext/>
        <w:spacing w:before="120" w:after="60" w:line="288" w:lineRule="auto"/>
        <w:jc w:val="center"/>
      </w:pPr>
      <w:r>
        <w:drawing>
          <wp:inline distT="0" distB="0" distL="0" distR="0">
            <wp:extent cx="5943600" cy="2632418"/>
            <wp:docPr id="106" name="SmartPot_17_Evolution"/>
            <wp:cNvGraphicFramePr>
              <a:graphicFrameLocks noChangeAspect="1"/>
            </wp:cNvGraphicFramePr>
            <a:graphic>
              <a:graphicData uri="http://schemas.openxmlformats.org/drawingml/2006/picture">
                <pic:pic>
                  <pic:nvPicPr>
                    <pic:cNvPr id="106" name="SmartPot_17_Evolution"/>
                    <pic:cNvPicPr/>
                  </pic:nvPicPr>
                  <pic:blipFill>
                    <a:blip r:embed="rIdImg3"/>
                    <a:stretch>
                      <a:fillRect/>
                    </a:stretch>
                  </pic:blipFill>
                  <pic:spPr>
                    <a:xfrm>
                      <a:off x="0" y="0"/>
                      <a:ext cx="5943600" cy="2632418"/>
                    </a:xfrm>
                    <a:prstGeom prst="rect">
                      <a:avLst/>
                    </a:prstGeom>
                  </pic:spPr>
                </pic:pic>
              </a:graphicData>
            </a:graphic>
          </wp:inline>
        </w:drawing>
      </w:r>
    </w:p>
    <w:p>
      <w:pPr>
        <w:spacing w:before="0" w:after="240" w:line="288" w:lineRule="auto"/>
        <w:jc w:val="center"/>
      </w:pPr>
      <w:r>
        <w:rPr>
          <w:b/>
          <w:bCs/>
          <w:color w:val="067A52"/>
          <w:sz w:val="16"/>
          <w:szCs w:val="16"/>
        </w:rPr>
        <w:t xml:space="preserve">Figura 1</w:t>
      </w:r>
      <w:r>
        <w:rPr>
          <w:i/>
          <w:iCs/>
          <w:color w:val="5B6B63"/>
          <w:sz w:val="16"/>
          <w:szCs w:val="16"/>
        </w:rPr>
        <w:t xml:space="preserve">  ·  Etapas del proyecto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200"/>
        <w:gridCol w:w="2430"/>
        <w:gridCol w:w="4649"/>
        <w:gridCol w:w="1081"/>
      </w:tblGrid>
      <w:tr>
        <w:trPr>
          <w:cantSplit/>
          <w:tblHeader/>
        </w:trPr>
        <w:tc>
          <w:tcPr>
            <w:tcW w:w="12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SEMESTRE</w:t>
            </w:r>
          </w:p>
        </w:tc>
        <w:tc>
          <w:tcPr>
            <w:tcW w:w="243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DISCIPLINAS DOMINANTES</w:t>
            </w:r>
          </w:p>
        </w:tc>
        <w:tc>
          <w:tcPr>
            <w:tcW w:w="464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PRODUJO</w:t>
            </w:r>
          </w:p>
        </w:tc>
        <w:tc>
          <w:tcPr>
            <w:tcW w:w="108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COMMITS HUMANOS</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2024-2</w:t>
            </w:r>
          </w:p>
        </w:tc>
        <w:tc>
          <w:tcPr>
            <w:tcW w:w="243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Análisis y diseño</w:t>
            </w:r>
          </w:p>
        </w:tc>
        <w:tc>
          <w:tcPr>
            <w:tcW w:w="464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Primera matriz de requisitos (agosto de 2024), casos de uso, diagramas UML, primera API, primer portal, firmware del ESP32, simulador y primeros análisis de datos</w:t>
            </w:r>
          </w:p>
        </w:tc>
        <w:tc>
          <w:tcPr>
            <w:tcW w:w="108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379</w:t>
            </w:r>
          </w:p>
        </w:tc>
      </w:tr>
      <w:tr>
        <w:trPr>
          <w:cantSplit/>
        </w:trPr>
        <w:tc>
          <w:tcPr>
            <w:tcW w:w="120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2025-1</w:t>
            </w:r>
          </w:p>
        </w:tc>
        <w:tc>
          <w:tcPr>
            <w:tcW w:w="243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Construcción</w:t>
            </w:r>
          </w:p>
        </w:tc>
        <w:tc>
          <w:tcPr>
            <w:tcW w:w="464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Ajustes y mantenimiento de la primera plataforma</w:t>
            </w:r>
          </w:p>
        </w:tc>
        <w:tc>
          <w:tcPr>
            <w:tcW w:w="108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141</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2025-2</w:t>
            </w:r>
          </w:p>
        </w:tc>
        <w:tc>
          <w:tcPr>
            <w:tcW w:w="243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Formulación y evaluación</w:t>
            </w:r>
          </w:p>
        </w:tc>
        <w:tc>
          <w:tcPr>
            <w:tcW w:w="464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Idea, problema, árboles, marco lógico, estudio de mercado (noviembre de 2025) y crecimiento de la PWA</w:t>
            </w:r>
          </w:p>
        </w:tc>
        <w:tc>
          <w:tcPr>
            <w:tcW w:w="108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553</w:t>
            </w:r>
          </w:p>
        </w:tc>
      </w:tr>
      <w:tr>
        <w:trPr>
          <w:cantSplit/>
        </w:trPr>
        <w:tc>
          <w:tcPr>
            <w:tcW w:w="120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2026-1</w:t>
            </w:r>
          </w:p>
        </w:tc>
        <w:tc>
          <w:tcPr>
            <w:tcW w:w="243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Gestión de proyectos</w:t>
            </w:r>
          </w:p>
        </w:tc>
        <w:tc>
          <w:tcPr>
            <w:tcW w:w="464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Acta de constitución, EDT, cronograma con ruta crítica, recursos y nivelación; propuesta de investigación</w:t>
            </w:r>
          </w:p>
        </w:tc>
        <w:tc>
          <w:tcPr>
            <w:tcW w:w="108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145</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2026-2</w:t>
            </w:r>
          </w:p>
        </w:tc>
        <w:tc>
          <w:tcPr>
            <w:tcW w:w="243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Construcción, pruebas y mejora continua</w:t>
            </w:r>
          </w:p>
        </w:tc>
        <w:tc>
          <w:tcPr>
            <w:tcW w:w="464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Reestructuración completa, tres ciclos de mejora y la plataforma en producción</w:t>
            </w:r>
          </w:p>
        </w:tc>
        <w:tc>
          <w:tcPr>
            <w:tcW w:w="108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714</w:t>
            </w:r>
          </w:p>
        </w:tc>
      </w:tr>
    </w:tbl>
    <w:p>
      <w:pPr>
        <w:spacing w:before="160" w:after="0" w:line="240" w:lineRule="auto"/>
        <w:rPr>
          <w:sz w:val="8"/>
        </w:rPr>
      </w:pPr>
    </w:p>
    <w:p>
      <w:pPr>
        <w:spacing w:before="0" w:after="140" w:line="288" w:lineRule="auto"/>
      </w:pPr>
      <w:r>
        <w:rPr>
          <w:color w:val="17261F"/>
          <w:sz w:val="20"/>
          <w:szCs w:val="20"/>
        </w:rPr>
        <w:t xml:space="preserve">Los repositorios suman 2217 commits, de los cuales 1932 son de personas y el resto de bots de automatización, sobre todo actualizaciones de dependencias. La tabla ya deja ver la primera lección del proyecto: los semestres de planeación formal (2026-1) fueron los de menos construcción, y el mayor avance llegó cuando el trabajo se organizó en ciclos cortos con pruebas automáticas.</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785"/>
        <w:gridCol w:w="840"/>
        <w:gridCol w:w="5735"/>
      </w:tblGrid>
      <w:tr>
        <w:trPr>
          <w:cantSplit/>
          <w:tblHeader/>
        </w:trPr>
        <w:tc>
          <w:tcPr>
            <w:tcW w:w="278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DISCIPLINA</w:t>
            </w:r>
          </w:p>
        </w:tc>
        <w:tc>
          <w:tcPr>
            <w:tcW w:w="8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PARTE</w:t>
            </w:r>
          </w:p>
        </w:tc>
        <w:tc>
          <w:tcPr>
            <w:tcW w:w="573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DIAGRAMAS</w:t>
            </w:r>
          </w:p>
        </w:tc>
      </w:tr>
      <w:tr>
        <w:trPr>
          <w:cantSplit/>
        </w:trPr>
        <w:tc>
          <w:tcPr>
            <w:tcW w:w="278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Formulación y evaluación de proyectos TI</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w:t>
            </w:r>
          </w:p>
        </w:tc>
        <w:tc>
          <w:tcPr>
            <w:tcW w:w="573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Árbol de problemas, causa y efecto, árbol de objetivos, poder e interés, fases de la investigación</w:t>
            </w:r>
          </w:p>
        </w:tc>
      </w:tr>
      <w:tr>
        <w:trPr>
          <w:cantSplit/>
        </w:trPr>
        <w:tc>
          <w:tcPr>
            <w:tcW w:w="278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Gestión de proyectos TI</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II</w:t>
            </w:r>
          </w:p>
        </w:tc>
        <w:tc>
          <w:tcPr>
            <w:tcW w:w="573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EDT, red de precedencias, ruta crítica, ciclo Scrum, riesgos</w:t>
            </w:r>
          </w:p>
        </w:tc>
      </w:tr>
      <w:tr>
        <w:trPr>
          <w:cantSplit/>
        </w:trPr>
        <w:tc>
          <w:tcPr>
            <w:tcW w:w="278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Análisis</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III</w:t>
            </w:r>
          </w:p>
        </w:tc>
        <w:tc>
          <w:tcPr>
            <w:tcW w:w="573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Casos de uso</w:t>
            </w:r>
          </w:p>
        </w:tc>
      </w:tr>
      <w:tr>
        <w:trPr>
          <w:cantSplit/>
        </w:trPr>
        <w:tc>
          <w:tcPr>
            <w:tcW w:w="278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Diseño</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IV</w:t>
            </w:r>
          </w:p>
        </w:tc>
        <w:tc>
          <w:tcPr>
            <w:tcW w:w="573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Contexto, contenedores, componentes, clases, actividad, secuencia, estados, datos, mapa de la PWA, redes</w:t>
            </w:r>
          </w:p>
        </w:tc>
      </w:tr>
      <w:tr>
        <w:trPr>
          <w:cantSplit/>
        </w:trPr>
        <w:tc>
          <w:tcPr>
            <w:tcW w:w="278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Construcción</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w:t>
            </w:r>
          </w:p>
        </w:tc>
        <w:tc>
          <w:tcPr>
            <w:tcW w:w="573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Despliegue, asistente de IA, aprendizaje, Telegram, cultivos reales y virtuales, ilustración de cada cultivo</w:t>
            </w:r>
          </w:p>
        </w:tc>
      </w:tr>
      <w:tr>
        <w:trPr>
          <w:cantSplit/>
        </w:trPr>
        <w:tc>
          <w:tcPr>
            <w:tcW w:w="278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Pruebas</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VI</w:t>
            </w:r>
          </w:p>
        </w:tc>
        <w:tc>
          <w:tcPr>
            <w:tcW w:w="573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Pirámide de pruebas, workflow de QA</w:t>
            </w:r>
          </w:p>
        </w:tc>
      </w:tr>
      <w:tr>
        <w:trPr>
          <w:cantSplit/>
        </w:trPr>
        <w:tc>
          <w:tcPr>
            <w:tcW w:w="278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Mejora continua</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VII</w:t>
            </w:r>
          </w:p>
        </w:tc>
        <w:tc>
          <w:tcPr>
            <w:tcW w:w="573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Ciclo PDCA, ciclos de mejora</w:t>
            </w:r>
          </w:p>
        </w:tc>
      </w:tr>
    </w:tbl>
    <w:p>
      <w:pPr>
        <w:spacing w:before="160" w:after="0" w:line="240" w:lineRule="auto"/>
        <w:rPr>
          <w:sz w:val="8"/>
        </w:rPr>
      </w:pPr>
    </w:p>
    <w:p>
      <w:pPr>
        <w:spacing w:before="360" w:after="40" w:line="288" w:lineRule="auto"/>
      </w:pPr>
      <w:r>
        <w:rPr>
          <w:b/>
          <w:bCs/>
          <w:color w:val="009A64"/>
          <w:spacing w:val="60"/>
          <w:sz w:val="16"/>
          <w:szCs w:val="16"/>
        </w:rPr>
        <w:t xml:space="preserve">CONTENIDO</w:t>
      </w:r>
    </w:p>
    <w:p>
      <w:pPr>
        <w:pStyle w:val="Heading1"/>
      </w:pPr>
      <w:r>
        <w:rPr>
          <w:b/>
          <w:bCs/>
          <w:color w:val="0B3D2B"/>
          <w:sz w:val="34"/>
          <w:szCs w:val="34"/>
        </w:rPr>
        <w:t xml:space="preserve">Contenido</w:t>
      </w:r>
    </w:p>
    <w:p>
      <w:pPr>
        <w:ind w:left="0"/>
        <w:spacing w:before="100" w:after="30" w:line="252" w:lineRule="auto"/>
      </w:pPr>
      <w:hyperlink w:anchor="sec_104" w:history="1">
        <w:r>
          <w:rPr>
            <w:b/>
            <w:bCs/>
            <w:color w:val="0B3D2B"/>
            <w:sz w:val="21"/>
            <w:szCs w:val="21"/>
          </w:rPr>
          <w:t xml:space="preserve">1. El proyecto en el tiempo</w:t>
        </w:r>
      </w:hyperlink>
    </w:p>
    <w:p>
      <w:pPr>
        <w:ind w:left="0"/>
        <w:spacing w:before="100" w:after="30" w:line="252" w:lineRule="auto"/>
      </w:pPr>
      <w:hyperlink w:anchor="sec_107" w:history="1">
        <w:r>
          <w:rPr>
            <w:b/>
            <w:bCs/>
            <w:color w:val="0B3D2B"/>
            <w:sz w:val="21"/>
            <w:szCs w:val="21"/>
          </w:rPr>
          <w:t xml:space="preserve">2. Identificación del problema</w:t>
        </w:r>
      </w:hyperlink>
    </w:p>
    <w:p>
      <w:pPr>
        <w:ind w:left="420"/>
        <w:spacing w:before="0" w:after="30" w:line="252" w:lineRule="auto"/>
      </w:pPr>
      <w:hyperlink w:anchor="sec_108" w:history="1">
        <w:r>
          <w:rPr>
            <w:color w:val="17261F"/>
            <w:sz w:val="18"/>
            <w:szCs w:val="18"/>
          </w:rPr>
          <w:t xml:space="preserve">2.1 La idea</w:t>
        </w:r>
      </w:hyperlink>
    </w:p>
    <w:p>
      <w:pPr>
        <w:ind w:left="420"/>
        <w:spacing w:before="0" w:after="30" w:line="252" w:lineRule="auto"/>
      </w:pPr>
      <w:hyperlink w:anchor="sec_109" w:history="1">
        <w:r>
          <w:rPr>
            <w:color w:val="17261F"/>
            <w:sz w:val="18"/>
            <w:szCs w:val="18"/>
          </w:rPr>
          <w:t xml:space="preserve">2.2 Árbol de problemas</w:t>
        </w:r>
      </w:hyperlink>
    </w:p>
    <w:p>
      <w:pPr>
        <w:ind w:left="420"/>
        <w:spacing w:before="0" w:after="30" w:line="252" w:lineRule="auto"/>
      </w:pPr>
      <w:hyperlink w:anchor="sec_111" w:history="1">
        <w:r>
          <w:rPr>
            <w:color w:val="17261F"/>
            <w:sz w:val="18"/>
            <w:szCs w:val="18"/>
          </w:rPr>
          <w:t xml:space="preserve">2.3 Causa y efecto</w:t>
        </w:r>
      </w:hyperlink>
    </w:p>
    <w:p>
      <w:pPr>
        <w:ind w:left="420"/>
        <w:spacing w:before="0" w:after="30" w:line="252" w:lineRule="auto"/>
      </w:pPr>
      <w:hyperlink w:anchor="sec_113" w:history="1">
        <w:r>
          <w:rPr>
            <w:color w:val="17261F"/>
            <w:sz w:val="18"/>
            <w:szCs w:val="18"/>
          </w:rPr>
          <w:t xml:space="preserve">2.4 Los 5 porqués</w:t>
        </w:r>
      </w:hyperlink>
    </w:p>
    <w:p>
      <w:pPr>
        <w:ind w:left="0"/>
        <w:spacing w:before="100" w:after="30" w:line="252" w:lineRule="auto"/>
      </w:pPr>
      <w:hyperlink w:anchor="sec_114" w:history="1">
        <w:r>
          <w:rPr>
            <w:b/>
            <w:bCs/>
            <w:color w:val="0B3D2B"/>
            <w:sz w:val="21"/>
            <w:szCs w:val="21"/>
          </w:rPr>
          <w:t xml:space="preserve">3. Objetivos y alternativa elegida</w:t>
        </w:r>
      </w:hyperlink>
    </w:p>
    <w:p>
      <w:pPr>
        <w:ind w:left="420"/>
        <w:spacing w:before="0" w:after="30" w:line="252" w:lineRule="auto"/>
      </w:pPr>
      <w:hyperlink w:anchor="sec_115" w:history="1">
        <w:r>
          <w:rPr>
            <w:color w:val="17261F"/>
            <w:sz w:val="18"/>
            <w:szCs w:val="18"/>
          </w:rPr>
          <w:t xml:space="preserve">3.1 Árbol de objetivos</w:t>
        </w:r>
      </w:hyperlink>
    </w:p>
    <w:p>
      <w:pPr>
        <w:ind w:left="420"/>
        <w:spacing w:before="0" w:after="30" w:line="252" w:lineRule="auto"/>
      </w:pPr>
      <w:hyperlink w:anchor="sec_117" w:history="1">
        <w:r>
          <w:rPr>
            <w:color w:val="17261F"/>
            <w:sz w:val="18"/>
            <w:szCs w:val="18"/>
          </w:rPr>
          <w:t xml:space="preserve">3.2 Objetivo SMART</w:t>
        </w:r>
      </w:hyperlink>
    </w:p>
    <w:p>
      <w:pPr>
        <w:ind w:left="420"/>
        <w:spacing w:before="0" w:after="30" w:line="252" w:lineRule="auto"/>
      </w:pPr>
      <w:hyperlink w:anchor="sec_118" w:history="1">
        <w:r>
          <w:rPr>
            <w:color w:val="17261F"/>
            <w:sz w:val="18"/>
            <w:szCs w:val="18"/>
          </w:rPr>
          <w:t xml:space="preserve">3.3 Cómo evolucionaron los objetivos</w:t>
        </w:r>
      </w:hyperlink>
    </w:p>
    <w:p>
      <w:pPr>
        <w:ind w:left="0"/>
        <w:spacing w:before="100" w:after="30" w:line="252" w:lineRule="auto"/>
      </w:pPr>
      <w:hyperlink w:anchor="sec_119" w:history="1">
        <w:r>
          <w:rPr>
            <w:b/>
            <w:bCs/>
            <w:color w:val="0B3D2B"/>
            <w:sz w:val="21"/>
            <w:szCs w:val="21"/>
          </w:rPr>
          <w:t xml:space="preserve">4. Entorno e involucrados</w:t>
        </w:r>
      </w:hyperlink>
    </w:p>
    <w:p>
      <w:pPr>
        <w:ind w:left="420"/>
        <w:spacing w:before="0" w:after="30" w:line="252" w:lineRule="auto"/>
      </w:pPr>
      <w:hyperlink w:anchor="sec_120" w:history="1">
        <w:r>
          <w:rPr>
            <w:color w:val="17261F"/>
            <w:sz w:val="18"/>
            <w:szCs w:val="18"/>
          </w:rPr>
          <w:t xml:space="preserve">4.1 PESTEL</w:t>
        </w:r>
      </w:hyperlink>
    </w:p>
    <w:p>
      <w:pPr>
        <w:ind w:left="420"/>
        <w:spacing w:before="0" w:after="30" w:line="252" w:lineRule="auto"/>
      </w:pPr>
      <w:hyperlink w:anchor="sec_121" w:history="1">
        <w:r>
          <w:rPr>
            <w:color w:val="17261F"/>
            <w:sz w:val="18"/>
            <w:szCs w:val="18"/>
          </w:rPr>
          <w:t xml:space="preserve">4.2 Poder e interés</w:t>
        </w:r>
      </w:hyperlink>
    </w:p>
    <w:p>
      <w:pPr>
        <w:ind w:left="0"/>
        <w:spacing w:before="100" w:after="30" w:line="252" w:lineRule="auto"/>
      </w:pPr>
      <w:hyperlink w:anchor="sec_123" w:history="1">
        <w:r>
          <w:rPr>
            <w:b/>
            <w:bCs/>
            <w:color w:val="0B3D2B"/>
            <w:sz w:val="21"/>
            <w:szCs w:val="21"/>
          </w:rPr>
          <w:t xml:space="preserve">5. Marco lógico</w:t>
        </w:r>
      </w:hyperlink>
    </w:p>
    <w:p>
      <w:pPr>
        <w:ind w:left="0"/>
        <w:spacing w:before="100" w:after="30" w:line="252" w:lineRule="auto"/>
      </w:pPr>
      <w:hyperlink w:anchor="sec_124" w:history="1">
        <w:r>
          <w:rPr>
            <w:b/>
            <w:bCs/>
            <w:color w:val="0B3D2B"/>
            <w:sz w:val="21"/>
            <w:szCs w:val="21"/>
          </w:rPr>
          <w:t xml:space="preserve">6. Estudio de mercado</w:t>
        </w:r>
      </w:hyperlink>
    </w:p>
    <w:p>
      <w:pPr>
        <w:ind w:left="420"/>
        <w:spacing w:before="0" w:after="30" w:line="252" w:lineRule="auto"/>
      </w:pPr>
      <w:hyperlink w:anchor="sec_125" w:history="1">
        <w:r>
          <w:rPr>
            <w:color w:val="17261F"/>
            <w:sz w:val="18"/>
            <w:szCs w:val="18"/>
          </w:rPr>
          <w:t xml:space="preserve">6.1 Demanda y oferta</w:t>
        </w:r>
      </w:hyperlink>
    </w:p>
    <w:p>
      <w:pPr>
        <w:ind w:left="420"/>
        <w:spacing w:before="0" w:after="30" w:line="252" w:lineRule="auto"/>
      </w:pPr>
      <w:hyperlink w:anchor="sec_126" w:history="1">
        <w:r>
          <w:rPr>
            <w:color w:val="17261F"/>
            <w:sz w:val="18"/>
            <w:szCs w:val="18"/>
          </w:rPr>
          <w:t xml:space="preserve">6.2 Coherencia de las cifras</w:t>
        </w:r>
      </w:hyperlink>
    </w:p>
    <w:p>
      <w:pPr>
        <w:ind w:left="420"/>
        <w:spacing w:before="0" w:after="30" w:line="252" w:lineRule="auto"/>
      </w:pPr>
      <w:hyperlink w:anchor="sec_127" w:history="1">
        <w:r>
          <w:rPr>
            <w:color w:val="17261F"/>
            <w:sz w:val="18"/>
            <w:szCs w:val="18"/>
          </w:rPr>
          <w:t xml:space="preserve">6.3 Qué quedó del estudio</w:t>
        </w:r>
      </w:hyperlink>
    </w:p>
    <w:p>
      <w:pPr>
        <w:ind w:left="0"/>
        <w:spacing w:before="100" w:after="30" w:line="252" w:lineRule="auto"/>
      </w:pPr>
      <w:hyperlink w:anchor="sec_128" w:history="1">
        <w:r>
          <w:rPr>
            <w:b/>
            <w:bCs/>
            <w:color w:val="0B3D2B"/>
            <w:sz w:val="21"/>
            <w:szCs w:val="21"/>
          </w:rPr>
          <w:t xml:space="preserve">7. Estudio técnico</w:t>
        </w:r>
      </w:hyperlink>
    </w:p>
    <w:p>
      <w:pPr>
        <w:ind w:left="0"/>
        <w:spacing w:before="100" w:after="30" w:line="252" w:lineRule="auto"/>
      </w:pPr>
      <w:hyperlink w:anchor="sec_129" w:history="1">
        <w:r>
          <w:rPr>
            <w:b/>
            <w:bCs/>
            <w:color w:val="0B3D2B"/>
            <w:sz w:val="21"/>
            <w:szCs w:val="21"/>
          </w:rPr>
          <w:t xml:space="preserve">8. Estudio financiero y evaluación</w:t>
        </w:r>
      </w:hyperlink>
    </w:p>
    <w:p>
      <w:pPr>
        <w:ind w:left="420"/>
        <w:spacing w:before="0" w:after="30" w:line="252" w:lineRule="auto"/>
      </w:pPr>
      <w:hyperlink w:anchor="sec_130" w:history="1">
        <w:r>
          <w:rPr>
            <w:color w:val="17261F"/>
            <w:sz w:val="18"/>
            <w:szCs w:val="18"/>
          </w:rPr>
          <w:t xml:space="preserve">8.1 Presupuestos</w:t>
        </w:r>
      </w:hyperlink>
    </w:p>
    <w:p>
      <w:pPr>
        <w:ind w:left="420"/>
        <w:spacing w:before="0" w:after="30" w:line="252" w:lineRule="auto"/>
      </w:pPr>
      <w:hyperlink w:anchor="sec_131" w:history="1">
        <w:r>
          <w:rPr>
            <w:color w:val="17261F"/>
            <w:sz w:val="18"/>
            <w:szCs w:val="18"/>
          </w:rPr>
          <w:t xml:space="preserve">8.2 Modelo de evaluación</w:t>
        </w:r>
      </w:hyperlink>
    </w:p>
    <w:p>
      <w:pPr>
        <w:ind w:left="0"/>
        <w:spacing w:before="100" w:after="30" w:line="252" w:lineRule="auto"/>
      </w:pPr>
      <w:hyperlink w:anchor="sec_132" w:history="1">
        <w:r>
          <w:rPr>
            <w:b/>
            <w:bCs/>
            <w:color w:val="0B3D2B"/>
            <w:sz w:val="21"/>
            <w:szCs w:val="21"/>
          </w:rPr>
          <w:t xml:space="preserve">9. Propuesta de investigación</w:t>
        </w:r>
      </w:hyperlink>
    </w:p>
    <w:p>
      <w:pPr>
        <w:ind w:left="0"/>
        <w:spacing w:before="100" w:after="30" w:line="252" w:lineRule="auto"/>
      </w:pPr>
      <w:hyperlink w:anchor="sec_134" w:history="1">
        <w:r>
          <w:rPr>
            <w:b/>
            <w:bCs/>
            <w:color w:val="0B3D2B"/>
            <w:sz w:val="21"/>
            <w:szCs w:val="21"/>
          </w:rPr>
          <w:t xml:space="preserve">10. Acta de constitución: lo que fijó y lo que pasó</w:t>
        </w:r>
      </w:hyperlink>
    </w:p>
    <w:p>
      <w:pPr>
        <w:ind w:left="0"/>
        <w:spacing w:before="100" w:after="30" w:line="252" w:lineRule="auto"/>
      </w:pPr>
      <w:hyperlink w:anchor="sec_135" w:history="1">
        <w:r>
          <w:rPr>
            <w:b/>
            <w:bCs/>
            <w:color w:val="0B3D2B"/>
            <w:sz w:val="21"/>
            <w:szCs w:val="21"/>
          </w:rPr>
          <w:t xml:space="preserve">11. Alcance</w:t>
        </w:r>
      </w:hyperlink>
    </w:p>
    <w:p>
      <w:pPr>
        <w:ind w:left="420"/>
        <w:spacing w:before="0" w:after="30" w:line="252" w:lineRule="auto"/>
      </w:pPr>
      <w:hyperlink w:anchor="sec_136" w:history="1">
        <w:r>
          <w:rPr>
            <w:color w:val="17261F"/>
            <w:sz w:val="18"/>
            <w:szCs w:val="18"/>
          </w:rPr>
          <w:t xml:space="preserve">11.1 Estructura de desglose del trabajo</w:t>
        </w:r>
      </w:hyperlink>
    </w:p>
    <w:p>
      <w:pPr>
        <w:ind w:left="420"/>
        <w:spacing w:before="0" w:after="30" w:line="252" w:lineRule="auto"/>
      </w:pPr>
      <w:hyperlink w:anchor="sec_138" w:history="1">
        <w:r>
          <w:rPr>
            <w:color w:val="17261F"/>
            <w:sz w:val="18"/>
            <w:szCs w:val="18"/>
          </w:rPr>
          <w:t xml:space="preserve">11.2 Priorización y MVP</w:t>
        </w:r>
      </w:hyperlink>
    </w:p>
    <w:p>
      <w:pPr>
        <w:ind w:left="0"/>
        <w:spacing w:before="100" w:after="30" w:line="252" w:lineRule="auto"/>
      </w:pPr>
      <w:hyperlink w:anchor="sec_139" w:history="1">
        <w:r>
          <w:rPr>
            <w:b/>
            <w:bCs/>
            <w:color w:val="0B3D2B"/>
            <w:sz w:val="21"/>
            <w:szCs w:val="21"/>
          </w:rPr>
          <w:t xml:space="preserve">12. Cronograma</w:t>
        </w:r>
      </w:hyperlink>
    </w:p>
    <w:p>
      <w:pPr>
        <w:ind w:left="420"/>
        <w:spacing w:before="0" w:after="30" w:line="252" w:lineRule="auto"/>
      </w:pPr>
      <w:hyperlink w:anchor="sec_140" w:history="1">
        <w:r>
          <w:rPr>
            <w:color w:val="17261F"/>
            <w:sz w:val="18"/>
            <w:szCs w:val="18"/>
          </w:rPr>
          <w:t xml:space="preserve">12.1 Red de precedencias</w:t>
        </w:r>
      </w:hyperlink>
    </w:p>
    <w:p>
      <w:pPr>
        <w:ind w:left="420"/>
        <w:spacing w:before="0" w:after="30" w:line="252" w:lineRule="auto"/>
      </w:pPr>
      <w:hyperlink w:anchor="sec_142" w:history="1">
        <w:r>
          <w:rPr>
            <w:color w:val="17261F"/>
            <w:sz w:val="18"/>
            <w:szCs w:val="18"/>
          </w:rPr>
          <w:t xml:space="preserve">12.2 Ruta crítica</w:t>
        </w:r>
      </w:hyperlink>
    </w:p>
    <w:p>
      <w:pPr>
        <w:ind w:left="0"/>
        <w:spacing w:before="100" w:after="30" w:line="252" w:lineRule="auto"/>
      </w:pPr>
      <w:hyperlink w:anchor="sec_144" w:history="1">
        <w:r>
          <w:rPr>
            <w:b/>
            <w:bCs/>
            <w:color w:val="0B3D2B"/>
            <w:sz w:val="21"/>
            <w:szCs w:val="21"/>
          </w:rPr>
          <w:t xml:space="preserve">13. Recursos, asignación y nivelación</w:t>
        </w:r>
      </w:hyperlink>
    </w:p>
    <w:p>
      <w:pPr>
        <w:ind w:left="0"/>
        <w:spacing w:before="100" w:after="30" w:line="252" w:lineRule="auto"/>
      </w:pPr>
      <w:hyperlink w:anchor="sec_145" w:history="1">
        <w:r>
          <w:rPr>
            <w:b/>
            <w:bCs/>
            <w:color w:val="0B3D2B"/>
            <w:sz w:val="21"/>
            <w:szCs w:val="21"/>
          </w:rPr>
          <w:t xml:space="preserve">14. Riesgos</w:t>
        </w:r>
      </w:hyperlink>
    </w:p>
    <w:p>
      <w:pPr>
        <w:ind w:left="0"/>
        <w:spacing w:before="100" w:after="30" w:line="252" w:lineRule="auto"/>
      </w:pPr>
      <w:hyperlink w:anchor="sec_147" w:history="1">
        <w:r>
          <w:rPr>
            <w:b/>
            <w:bCs/>
            <w:color w:val="0B3D2B"/>
            <w:sz w:val="21"/>
            <w:szCs w:val="21"/>
          </w:rPr>
          <w:t xml:space="preserve">15. Metodología, comunicaciones y control de cambios</w:t>
        </w:r>
      </w:hyperlink>
    </w:p>
    <w:p>
      <w:pPr>
        <w:ind w:left="0"/>
        <w:spacing w:before="100" w:after="30" w:line="252" w:lineRule="auto"/>
      </w:pPr>
      <w:hyperlink w:anchor="sec_149" w:history="1">
        <w:r>
          <w:rPr>
            <w:b/>
            <w:bCs/>
            <w:color w:val="0B3D2B"/>
            <w:sz w:val="21"/>
            <w:szCs w:val="21"/>
          </w:rPr>
          <w:t xml:space="preserve">16. De la necesidad al requisito</w:t>
        </w:r>
      </w:hyperlink>
    </w:p>
    <w:p>
      <w:pPr>
        <w:ind w:left="0"/>
        <w:spacing w:before="100" w:after="30" w:line="252" w:lineRule="auto"/>
      </w:pPr>
      <w:hyperlink w:anchor="sec_150" w:history="1">
        <w:r>
          <w:rPr>
            <w:b/>
            <w:bCs/>
            <w:color w:val="0B3D2B"/>
            <w:sz w:val="21"/>
            <w:szCs w:val="21"/>
          </w:rPr>
          <w:t xml:space="preserve">17. Casos de uso</w:t>
        </w:r>
      </w:hyperlink>
    </w:p>
    <w:p>
      <w:pPr>
        <w:ind w:left="0"/>
        <w:spacing w:before="100" w:after="30" w:line="252" w:lineRule="auto"/>
      </w:pPr>
      <w:hyperlink w:anchor="sec_152" w:history="1">
        <w:r>
          <w:rPr>
            <w:b/>
            <w:bCs/>
            <w:color w:val="0B3D2B"/>
            <w:sz w:val="21"/>
            <w:szCs w:val="21"/>
          </w:rPr>
          <w:t xml:space="preserve">18. Trazabilidad</w:t>
        </w:r>
      </w:hyperlink>
    </w:p>
    <w:p>
      <w:pPr>
        <w:ind w:left="0"/>
        <w:spacing w:before="100" w:after="30" w:line="252" w:lineRule="auto"/>
      </w:pPr>
      <w:hyperlink w:anchor="sec_153" w:history="1">
        <w:r>
          <w:rPr>
            <w:b/>
            <w:bCs/>
            <w:color w:val="0B3D2B"/>
            <w:sz w:val="21"/>
            <w:szCs w:val="21"/>
          </w:rPr>
          <w:t xml:space="preserve">19. Reglas de negocio y base de conocimiento</w:t>
        </w:r>
      </w:hyperlink>
    </w:p>
    <w:p>
      <w:pPr>
        <w:ind w:left="0"/>
        <w:spacing w:before="100" w:after="30" w:line="252" w:lineRule="auto"/>
      </w:pPr>
      <w:hyperlink w:anchor="sec_154" w:history="1">
        <w:r>
          <w:rPr>
            <w:b/>
            <w:bCs/>
            <w:color w:val="0B3D2B"/>
            <w:sz w:val="21"/>
            <w:szCs w:val="21"/>
          </w:rPr>
          <w:t xml:space="preserve">20. Arquitectura</w:t>
        </w:r>
      </w:hyperlink>
    </w:p>
    <w:p>
      <w:pPr>
        <w:ind w:left="420"/>
        <w:spacing w:before="0" w:after="30" w:line="252" w:lineRule="auto"/>
      </w:pPr>
      <w:hyperlink w:anchor="sec_155" w:history="1">
        <w:r>
          <w:rPr>
            <w:color w:val="17261F"/>
            <w:sz w:val="18"/>
            <w:szCs w:val="18"/>
          </w:rPr>
          <w:t xml:space="preserve">20.1 Contexto</w:t>
        </w:r>
      </w:hyperlink>
    </w:p>
    <w:p>
      <w:pPr>
        <w:ind w:left="420"/>
        <w:spacing w:before="0" w:after="30" w:line="252" w:lineRule="auto"/>
      </w:pPr>
      <w:hyperlink w:anchor="sec_157" w:history="1">
        <w:r>
          <w:rPr>
            <w:color w:val="17261F"/>
            <w:sz w:val="18"/>
            <w:szCs w:val="18"/>
          </w:rPr>
          <w:t xml:space="preserve">20.2 Contenedores</w:t>
        </w:r>
      </w:hyperlink>
    </w:p>
    <w:p>
      <w:pPr>
        <w:ind w:left="420"/>
        <w:spacing w:before="0" w:after="30" w:line="252" w:lineRule="auto"/>
      </w:pPr>
      <w:hyperlink w:anchor="sec_159" w:history="1">
        <w:r>
          <w:rPr>
            <w:color w:val="17261F"/>
            <w:sz w:val="18"/>
            <w:szCs w:val="18"/>
          </w:rPr>
          <w:t xml:space="preserve">20.3 Decisiones de arquitectura</w:t>
        </w:r>
      </w:hyperlink>
    </w:p>
    <w:p>
      <w:pPr>
        <w:ind w:left="0"/>
        <w:spacing w:before="100" w:after="30" w:line="252" w:lineRule="auto"/>
      </w:pPr>
      <w:hyperlink w:anchor="sec_160" w:history="1">
        <w:r>
          <w:rPr>
            <w:b/>
            <w:bCs/>
            <w:color w:val="0B3D2B"/>
            <w:sz w:val="21"/>
            <w:szCs w:val="21"/>
          </w:rPr>
          <w:t xml:space="preserve">21. Del diseño original al actual</w:t>
        </w:r>
      </w:hyperlink>
    </w:p>
    <w:p>
      <w:pPr>
        <w:ind w:left="420"/>
        <w:spacing w:before="0" w:after="30" w:line="252" w:lineRule="auto"/>
      </w:pPr>
      <w:hyperlink w:anchor="sec_161" w:history="1">
        <w:r>
          <w:rPr>
            <w:color w:val="17261F"/>
            <w:sz w:val="18"/>
            <w:szCs w:val="18"/>
          </w:rPr>
          <w:t xml:space="preserve">21.1 Clases</w:t>
        </w:r>
      </w:hyperlink>
    </w:p>
    <w:p>
      <w:pPr>
        <w:ind w:left="420"/>
        <w:spacing w:before="0" w:after="30" w:line="252" w:lineRule="auto"/>
      </w:pPr>
      <w:hyperlink w:anchor="sec_164" w:history="1">
        <w:r>
          <w:rPr>
            <w:color w:val="17261F"/>
            <w:sz w:val="18"/>
            <w:szCs w:val="18"/>
          </w:rPr>
          <w:t xml:space="preserve">21.2 Componentes</w:t>
        </w:r>
      </w:hyperlink>
    </w:p>
    <w:p>
      <w:pPr>
        <w:ind w:left="420"/>
        <w:spacing w:before="0" w:after="30" w:line="252" w:lineRule="auto"/>
      </w:pPr>
      <w:hyperlink w:anchor="sec_167" w:history="1">
        <w:r>
          <w:rPr>
            <w:color w:val="17261F"/>
            <w:sz w:val="18"/>
            <w:szCs w:val="18"/>
          </w:rPr>
          <w:t xml:space="preserve">21.3 Comportamiento: enviar un comando</w:t>
        </w:r>
      </w:hyperlink>
    </w:p>
    <w:p>
      <w:pPr>
        <w:ind w:left="420"/>
        <w:spacing w:before="0" w:after="30" w:line="252" w:lineRule="auto"/>
      </w:pPr>
      <w:hyperlink w:anchor="sec_170" w:history="1">
        <w:r>
          <w:rPr>
            <w:color w:val="17261F"/>
            <w:sz w:val="18"/>
            <w:szCs w:val="18"/>
          </w:rPr>
          <w:t xml:space="preserve">21.4 Comportamiento: datos históricos y una lectura</w:t>
        </w:r>
      </w:hyperlink>
    </w:p>
    <w:p>
      <w:pPr>
        <w:ind w:left="420"/>
        <w:spacing w:before="0" w:after="30" w:line="252" w:lineRule="auto"/>
      </w:pPr>
      <w:hyperlink w:anchor="sec_173" w:history="1">
        <w:r>
          <w:rPr>
            <w:color w:val="17261F"/>
            <w:sz w:val="18"/>
            <w:szCs w:val="18"/>
          </w:rPr>
          <w:t xml:space="preserve">21.5 Actividad: control automático</w:t>
        </w:r>
      </w:hyperlink>
    </w:p>
    <w:p>
      <w:pPr>
        <w:ind w:left="420"/>
        <w:spacing w:before="0" w:after="30" w:line="252" w:lineRule="auto"/>
      </w:pPr>
      <w:hyperlink w:anchor="sec_175" w:history="1">
        <w:r>
          <w:rPr>
            <w:color w:val="17261F"/>
            <w:sz w:val="18"/>
            <w:szCs w:val="18"/>
          </w:rPr>
          <w:t xml:space="preserve">21.6 Datos</w:t>
        </w:r>
      </w:hyperlink>
    </w:p>
    <w:p>
      <w:pPr>
        <w:ind w:left="420"/>
        <w:spacing w:before="0" w:after="30" w:line="252" w:lineRule="auto"/>
      </w:pPr>
      <w:hyperlink w:anchor="sec_178" w:history="1">
        <w:r>
          <w:rPr>
            <w:color w:val="17261F"/>
            <w:sz w:val="18"/>
            <w:szCs w:val="18"/>
          </w:rPr>
          <w:t xml:space="preserve">21.7 Objetos y artefactos</w:t>
        </w:r>
      </w:hyperlink>
    </w:p>
    <w:p>
      <w:pPr>
        <w:ind w:left="0"/>
        <w:spacing w:before="100" w:after="30" w:line="252" w:lineRule="auto"/>
      </w:pPr>
      <w:hyperlink w:anchor="sec_179" w:history="1">
        <w:r>
          <w:rPr>
            <w:b/>
            <w:bCs/>
            <w:color w:val="0B3D2B"/>
            <w:sz w:val="21"/>
            <w:szCs w:val="21"/>
          </w:rPr>
          <w:t xml:space="preserve">22. Interfaz</w:t>
        </w:r>
      </w:hyperlink>
    </w:p>
    <w:p>
      <w:pPr>
        <w:ind w:left="0"/>
        <w:spacing w:before="100" w:after="30" w:line="252" w:lineRule="auto"/>
      </w:pPr>
      <w:hyperlink w:anchor="sec_181" w:history="1">
        <w:r>
          <w:rPr>
            <w:b/>
            <w:bCs/>
            <w:color w:val="0B3D2B"/>
            <w:sz w:val="21"/>
            <w:szCs w:val="21"/>
          </w:rPr>
          <w:t xml:space="preserve">23. Seguridad por diseño</w:t>
        </w:r>
      </w:hyperlink>
    </w:p>
    <w:p>
      <w:pPr>
        <w:ind w:left="0"/>
        <w:spacing w:before="100" w:after="30" w:line="252" w:lineRule="auto"/>
      </w:pPr>
      <w:hyperlink w:anchor="sec_183" w:history="1">
        <w:r>
          <w:rPr>
            <w:b/>
            <w:bCs/>
            <w:color w:val="0B3D2B"/>
            <w:sz w:val="21"/>
            <w:szCs w:val="21"/>
          </w:rPr>
          <w:t xml:space="preserve">24. Organización del trabajo</w:t>
        </w:r>
      </w:hyperlink>
    </w:p>
    <w:p>
      <w:pPr>
        <w:ind w:left="0"/>
        <w:spacing w:before="100" w:after="30" w:line="252" w:lineRule="auto"/>
      </w:pPr>
      <w:hyperlink w:anchor="sec_184" w:history="1">
        <w:r>
          <w:rPr>
            <w:b/>
            <w:bCs/>
            <w:color w:val="0B3D2B"/>
            <w:sz w:val="21"/>
            <w:szCs w:val="21"/>
          </w:rPr>
          <w:t xml:space="preserve">25. Infraestructura y despliegue</w:t>
        </w:r>
      </w:hyperlink>
    </w:p>
    <w:p>
      <w:pPr>
        <w:ind w:left="0"/>
        <w:spacing w:before="100" w:after="30" w:line="252" w:lineRule="auto"/>
      </w:pPr>
      <w:hyperlink w:anchor="sec_186" w:history="1">
        <w:r>
          <w:rPr>
            <w:b/>
            <w:bCs/>
            <w:color w:val="0B3D2B"/>
            <w:sz w:val="21"/>
            <w:szCs w:val="21"/>
          </w:rPr>
          <w:t xml:space="preserve">26. Asistente de IA</w:t>
        </w:r>
      </w:hyperlink>
    </w:p>
    <w:p>
      <w:pPr>
        <w:ind w:left="0"/>
        <w:spacing w:before="100" w:after="30" w:line="252" w:lineRule="auto"/>
      </w:pPr>
      <w:hyperlink w:anchor="sec_188" w:history="1">
        <w:r>
          <w:rPr>
            <w:b/>
            <w:bCs/>
            <w:color w:val="0B3D2B"/>
            <w:sz w:val="21"/>
            <w:szCs w:val="21"/>
          </w:rPr>
          <w:t xml:space="preserve">27. Integraciones</w:t>
        </w:r>
      </w:hyperlink>
    </w:p>
    <w:p>
      <w:pPr>
        <w:ind w:left="420"/>
        <w:spacing w:before="0" w:after="30" w:line="252" w:lineRule="auto"/>
      </w:pPr>
      <w:hyperlink w:anchor="sec_189" w:history="1">
        <w:r>
          <w:rPr>
            <w:color w:val="17261F"/>
            <w:sz w:val="18"/>
            <w:szCs w:val="18"/>
          </w:rPr>
          <w:t xml:space="preserve">27.1 Telegram</w:t>
        </w:r>
      </w:hyperlink>
    </w:p>
    <w:p>
      <w:pPr>
        <w:ind w:left="420"/>
        <w:spacing w:before="0" w:after="30" w:line="252" w:lineRule="auto"/>
      </w:pPr>
      <w:hyperlink w:anchor="sec_191" w:history="1">
        <w:r>
          <w:rPr>
            <w:color w:val="17261F"/>
            <w:sz w:val="18"/>
            <w:szCs w:val="18"/>
          </w:rPr>
          <w:t xml:space="preserve">27.2 Cultivos reales y virtuales</w:t>
        </w:r>
      </w:hyperlink>
    </w:p>
    <w:p>
      <w:pPr>
        <w:ind w:left="0"/>
        <w:spacing w:before="100" w:after="30" w:line="252" w:lineRule="auto"/>
      </w:pPr>
      <w:hyperlink w:anchor="sec_193" w:history="1">
        <w:r>
          <w:rPr>
            <w:b/>
            <w:bCs/>
            <w:color w:val="0B3D2B"/>
            <w:sz w:val="21"/>
            <w:szCs w:val="21"/>
          </w:rPr>
          <w:t xml:space="preserve">28. Aprendizaje continuo</w:t>
        </w:r>
      </w:hyperlink>
    </w:p>
    <w:p>
      <w:pPr>
        <w:ind w:left="0"/>
        <w:spacing w:before="100" w:after="30" w:line="252" w:lineRule="auto"/>
      </w:pPr>
      <w:hyperlink w:anchor="sec_195" w:history="1">
        <w:r>
          <w:rPr>
            <w:b/>
            <w:bCs/>
            <w:color w:val="0B3D2B"/>
            <w:sz w:val="21"/>
            <w:szCs w:val="21"/>
          </w:rPr>
          <w:t xml:space="preserve">29. Estrategia</w:t>
        </w:r>
      </w:hyperlink>
    </w:p>
    <w:p>
      <w:pPr>
        <w:ind w:left="0"/>
        <w:spacing w:before="100" w:after="30" w:line="252" w:lineRule="auto"/>
      </w:pPr>
      <w:hyperlink w:anchor="sec_198" w:history="1">
        <w:r>
          <w:rPr>
            <w:b/>
            <w:bCs/>
            <w:color w:val="0B3D2B"/>
            <w:sz w:val="21"/>
            <w:szCs w:val="21"/>
          </w:rPr>
          <w:t xml:space="preserve">30. Criterios de aprobación del acta</w:t>
        </w:r>
      </w:hyperlink>
    </w:p>
    <w:p>
      <w:pPr>
        <w:ind w:left="0"/>
        <w:spacing w:before="100" w:after="30" w:line="252" w:lineRule="auto"/>
      </w:pPr>
      <w:hyperlink w:anchor="sec_199" w:history="1">
        <w:r>
          <w:rPr>
            <w:b/>
            <w:bCs/>
            <w:color w:val="0B3D2B"/>
            <w:sz w:val="21"/>
            <w:szCs w:val="21"/>
          </w:rPr>
          <w:t xml:space="preserve">31. Calidad de los modelos</w:t>
        </w:r>
      </w:hyperlink>
    </w:p>
    <w:p>
      <w:pPr>
        <w:ind w:left="0"/>
        <w:spacing w:before="100" w:after="30" w:line="252" w:lineRule="auto"/>
      </w:pPr>
      <w:hyperlink w:anchor="sec_200" w:history="1">
        <w:r>
          <w:rPr>
            <w:b/>
            <w:bCs/>
            <w:color w:val="0B3D2B"/>
            <w:sz w:val="21"/>
            <w:szCs w:val="21"/>
          </w:rPr>
          <w:t xml:space="preserve">32. El ciclo de mejora</w:t>
        </w:r>
      </w:hyperlink>
    </w:p>
    <w:p>
      <w:pPr>
        <w:ind w:left="0"/>
        <w:spacing w:before="100" w:after="30" w:line="252" w:lineRule="auto"/>
      </w:pPr>
      <w:hyperlink w:anchor="sec_202" w:history="1">
        <w:r>
          <w:rPr>
            <w:b/>
            <w:bCs/>
            <w:color w:val="0B3D2B"/>
            <w:sz w:val="21"/>
            <w:szCs w:val="21"/>
          </w:rPr>
          <w:t xml:space="preserve">33. Ciclos de mejora</w:t>
        </w:r>
      </w:hyperlink>
    </w:p>
    <w:p>
      <w:pPr>
        <w:ind w:left="0"/>
        <w:spacing w:before="100" w:after="30" w:line="252" w:lineRule="auto"/>
      </w:pPr>
      <w:hyperlink w:anchor="sec_204" w:history="1">
        <w:r>
          <w:rPr>
            <w:b/>
            <w:bCs/>
            <w:color w:val="0B3D2B"/>
            <w:sz w:val="21"/>
            <w:szCs w:val="21"/>
          </w:rPr>
          <w:t xml:space="preserve">34. Mejora que ocurre sola</w:t>
        </w:r>
      </w:hyperlink>
    </w:p>
    <w:p>
      <w:pPr>
        <w:ind w:left="0"/>
        <w:spacing w:before="100" w:after="30" w:line="252" w:lineRule="auto"/>
      </w:pPr>
      <w:hyperlink w:anchor="sec_205" w:history="1">
        <w:r>
          <w:rPr>
            <w:b/>
            <w:bCs/>
            <w:color w:val="0B3D2B"/>
            <w:sz w:val="21"/>
            <w:szCs w:val="21"/>
          </w:rPr>
          <w:t xml:space="preserve">35. Indicadores</w:t>
        </w:r>
      </w:hyperlink>
    </w:p>
    <w:p>
      <w:pPr>
        <w:ind w:left="0"/>
        <w:spacing w:before="100" w:after="30" w:line="252" w:lineRule="auto"/>
      </w:pPr>
      <w:hyperlink w:anchor="sec_206" w:history="1">
        <w:r>
          <w:rPr>
            <w:b/>
            <w:bCs/>
            <w:color w:val="0B3D2B"/>
            <w:sz w:val="21"/>
            <w:szCs w:val="21"/>
          </w:rPr>
          <w:t xml:space="preserve">36. Backlog del próximo ciclo</w:t>
        </w:r>
      </w:hyperlink>
    </w:p>
    <w:p>
      <w:pPr>
        <w:ind w:left="0"/>
        <w:spacing w:before="100" w:after="30" w:line="252" w:lineRule="auto"/>
      </w:pPr>
      <w:hyperlink w:anchor="sec_207" w:history="1">
        <w:r>
          <w:rPr>
            <w:b/>
            <w:bCs/>
            <w:color w:val="0B3D2B"/>
            <w:sz w:val="21"/>
            <w:szCs w:val="21"/>
          </w:rPr>
          <w:t xml:space="preserve">37. Lecciones aprendidas</w:t>
        </w:r>
      </w:hyperlink>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w:t>
            </w:r>
          </w:p>
          <w:p>
            <w:pPr>
              <w:spacing w:before="0" w:after="0" w:line="240" w:lineRule="auto"/>
            </w:pPr>
            <w:r>
              <w:rPr>
                <w:rFonts w:ascii="Century Gothic" w:hAnsi="Century Gothic" w:eastAsia="Century Gothic" w:cs="Century Gothic"/>
                <w:b/>
                <w:bCs/>
                <w:color w:val="FFFFFF"/>
                <w:sz w:val="44"/>
                <w:szCs w:val="44"/>
              </w:rPr>
              <w:t xml:space="preserve">Formulación y evaluación de proyectos TI</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02</w:t>
      </w:r>
    </w:p>
    <w:p>
      <w:pPr>
        <w:pStyle w:val="Heading1"/>
      </w:pPr>
      <w:bookmarkStart w:id="107" w:name="sec_107"/>
      <w:r>
        <w:rPr>
          <w:b/>
          <w:bCs/>
          <w:color w:val="0B3D2B"/>
          <w:sz w:val="34"/>
          <w:szCs w:val="34"/>
        </w:rPr>
        <w:t xml:space="preserve">Identificación del problema</w:t>
      </w:r>
      <w:bookmarkEnd w:id="107"/>
    </w:p>
    <w:p>
      <w:pPr>
        <w:pStyle w:val="Heading2"/>
      </w:pPr>
      <w:bookmarkStart w:id="108" w:name="sec_108"/>
      <w:r>
        <w:rPr>
          <w:b/>
          <w:bCs/>
          <w:color w:val="067A52"/>
          <w:sz w:val="25"/>
          <w:szCs w:val="25"/>
        </w:rPr>
        <w:t xml:space="preserve">2.1 La idea</w:t>
      </w:r>
      <w:bookmarkEnd w:id="108"/>
    </w:p>
    <w:p>
      <w:pPr>
        <w:spacing w:before="0" w:after="140" w:line="288" w:lineRule="auto"/>
      </w:pPr>
      <w:r>
        <w:rPr>
          <w:color w:val="17261F"/>
          <w:sz w:val="20"/>
          <w:szCs w:val="20"/>
        </w:rPr>
        <w:t xml:space="preserve">SmartPot fue la idea elegida entre las propuestas de proyecto de un curso de tecnologías de la información. Nació de una observación simple: el riego y la nutrición de un cultivo hidropónico dependen de variables que cambian todo el tiempo (pH, sólidos disueltos, luz, temperatura y humedad), y la mayoría de pequeños productores y aficionados las controla a mano. La idea citaba tres datos de la FAO: la agricultura usa cerca del 70 % del agua dulce, el riego tradicional pierde hasta el 40 % por ineficiencia y la hidroponía puede reducir el consumo hasta en un 90 %.</w:t>
      </w:r>
    </w:p>
    <w:p>
      <w:pPr>
        <w:spacing w:before="0" w:after="140" w:line="288" w:lineRule="auto"/>
      </w:pPr>
      <w:r>
        <w:rPr>
          <w:color w:val="17261F"/>
          <w:sz w:val="20"/>
          <w:szCs w:val="20"/>
        </w:rPr>
        <w:t xml:space="preserve">La idea se formuló como un proyecto de datos y no como un aparato: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843"/>
        <w:gridCol w:w="5517"/>
      </w:tblGrid>
      <w:tr>
        <w:trPr>
          <w:cantSplit/>
          <w:tblHeader/>
        </w:trPr>
        <w:tc>
          <w:tcPr>
            <w:tcW w:w="384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ALCANCE DE LA IDEA</w:t>
            </w:r>
          </w:p>
        </w:tc>
        <w:tc>
          <w:tcPr>
            <w:tcW w:w="551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QUEDÓ CONSTRUIDO</w:t>
            </w:r>
          </w:p>
        </w:tc>
      </w:tr>
      <w:tr>
        <w:trPr>
          <w:cantSplit/>
        </w:trPr>
        <w:tc>
          <w:tcPr>
            <w:tcW w:w="384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Captura en tiempo real desde sensores</w:t>
            </w:r>
          </w:p>
        </w:tc>
        <w:tc>
          <w:tcPr>
            <w:tcW w:w="551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Telemetría MQTT v1 con credencial por cultivo</w:t>
            </w:r>
          </w:p>
        </w:tc>
      </w:tr>
      <w:tr>
        <w:trPr>
          <w:cantSplit/>
        </w:trPr>
        <w:tc>
          <w:tcPr>
            <w:tcW w:w="384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Integración y estandarización de las mediciones</w:t>
            </w:r>
          </w:p>
        </w:tc>
        <w:tc>
          <w:tcPr>
            <w:tcW w:w="551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Contrato JSON único y validadores </w:t>
            </w:r>
            <w:r>
              <w:rPr>
                <w:rFonts w:ascii="JetBrains Mono" w:hAnsi="JetBrains Mono" w:eastAsia="JetBrains Mono" w:cs="JetBrains Mono"/>
                <w:color w:val="0A5A3C"/>
                <w:sz w:val="15"/>
                <w:szCs w:val="15"/>
              </w:rPr>
              <w:t xml:space="preserve">$jsonSchema</w:t>
            </w:r>
            <w:r>
              <w:rPr>
                <w:color w:val="17261F"/>
                <w:sz w:val="17"/>
                <w:szCs w:val="17"/>
              </w:rPr>
              <w:t xml:space="preserve"> en MongoDB</w:t>
            </w:r>
          </w:p>
        </w:tc>
      </w:tr>
      <w:tr>
        <w:trPr>
          <w:cantSplit/>
        </w:trPr>
        <w:tc>
          <w:tcPr>
            <w:tcW w:w="384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Automatización del riego según lo sensado</w:t>
            </w:r>
          </w:p>
        </w:tc>
        <w:tc>
          <w:tcPr>
            <w:tcW w:w="551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Agente de automatización con modo automático y enfriamiento por actuador</w:t>
            </w:r>
          </w:p>
        </w:tc>
      </w:tr>
      <w:tr>
        <w:trPr>
          <w:cantSplit/>
        </w:trPr>
        <w:tc>
          <w:tcPr>
            <w:tcW w:w="384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Visualizaciones, tabulados y alertas</w:t>
            </w:r>
          </w:p>
        </w:tc>
        <w:tc>
          <w:tcPr>
            <w:tcW w:w="551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PWA con panel general, historial, comparador y alertas por Telegram</w:t>
            </w:r>
          </w:p>
        </w:tc>
      </w:tr>
      <w:tr>
        <w:trPr>
          <w:cantSplit/>
        </w:trPr>
        <w:tc>
          <w:tcPr>
            <w:tcW w:w="384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Diccionario de variables y metadatos</w:t>
            </w:r>
          </w:p>
        </w:tc>
        <w:tc>
          <w:tcPr>
            <w:tcW w:w="551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Contrato MQTT, esquema de datos y base de conocimiento documentados</w:t>
            </w:r>
          </w:p>
        </w:tc>
      </w:tr>
      <w:tr>
        <w:trPr>
          <w:cantSplit/>
        </w:trPr>
        <w:tc>
          <w:tcPr>
            <w:tcW w:w="384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Documentación reproducible</w:t>
            </w:r>
          </w:p>
        </w:tc>
        <w:tc>
          <w:tcPr>
            <w:tcW w:w="551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Tres documentos, diagramas en Mermaid y una demo de un solo comando</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LECTURA CRÍTICA</w:t>
            </w:r>
          </w:p>
          <w:p>
            <w:pPr>
              <w:spacing w:before="0" w:after="0" w:line="276" w:lineRule="auto"/>
            </w:pPr>
            <w:r>
              <w:rPr>
                <w:color w:val="17261F"/>
                <w:sz w:val="18"/>
                <w:szCs w:val="18"/>
              </w:rPr>
              <w:t xml:space="preserve">Plantear SmartPot como un </w:t>
            </w:r>
            <w:r>
              <w:rPr>
                <w:i/>
                <w:iCs/>
                <w:color w:val="17261F"/>
                <w:sz w:val="18"/>
                <w:szCs w:val="18"/>
              </w:rPr>
              <w:t xml:space="preserve">pipeline</w:t>
            </w:r>
            <w:r>
              <w:rPr>
                <w:color w:val="17261F"/>
                <w:sz w:val="18"/>
                <w:szCs w:val="18"/>
              </w:rPr>
              <w:t xml:space="preserve"> de datos (capturar, limpiar, integrar, decidir, mostrar) fue la mejor decisión de la formulación. Separó el valor del hardware: el dispositivo solo mide y obedece, y todo lo que aprende la plataforma sirve igual para una maceta física, una simulada en Wokwi o una virtual.</w:t>
            </w:r>
          </w:p>
        </w:tc>
      </w:tr>
    </w:tbl>
    <w:p>
      <w:pPr>
        <w:spacing w:before="160" w:after="0" w:line="240" w:lineRule="auto"/>
        <w:rPr>
          <w:sz w:val="8"/>
        </w:rPr>
      </w:pPr>
    </w:p>
    <w:p>
      <w:pPr>
        <w:pStyle w:val="Heading2"/>
      </w:pPr>
      <w:bookmarkStart w:id="109" w:name="sec_109"/>
      <w:r>
        <w:rPr>
          <w:b/>
          <w:bCs/>
          <w:color w:val="067A52"/>
          <w:sz w:val="25"/>
          <w:szCs w:val="25"/>
        </w:rPr>
        <w:t xml:space="preserve">2.2 Árbol de problemas</w:t>
      </w:r>
      <w:bookmarkEnd w:id="109"/>
    </w:p>
    <w:p>
      <w:pPr>
        <w:spacing w:before="0" w:after="140" w:line="288" w:lineRule="auto"/>
      </w:pPr>
      <w:r>
        <w:rPr>
          <w:color w:val="17261F"/>
          <w:sz w:val="20"/>
          <w:szCs w:val="20"/>
        </w:rPr>
        <w:t xml:space="preserve">El problema central se definió como la </w:t>
      </w:r>
      <w:r>
        <w:rPr>
          <w:b/>
          <w:bCs/>
          <w:color w:val="17261F"/>
          <w:sz w:val="20"/>
          <w:szCs w:val="20"/>
        </w:rPr>
        <w:t xml:space="preserve">gestión ineficiente de cultivos hidropónicos por falta de control preciso y continuo de sus parámetros</w:t>
      </w:r>
      <w:r>
        <w:rPr>
          <w:color w:val="17261F"/>
          <w:sz w:val="20"/>
          <w:szCs w:val="20"/>
        </w:rPr>
        <w:t xml:space="preserve">.</w:t>
      </w:r>
    </w:p>
    <w:p>
      <w:pPr>
        <w:keepNext/>
        <w:spacing w:before="120" w:after="60" w:line="288" w:lineRule="auto"/>
        <w:jc w:val="center"/>
      </w:pPr>
      <w:r>
        <w:drawing>
          <wp:inline distT="0" distB="0" distL="0" distR="0">
            <wp:extent cx="5943600" cy="3327661"/>
            <wp:docPr id="110" name="SmartPot_18_Problem_Tree"/>
            <wp:cNvGraphicFramePr>
              <a:graphicFrameLocks noChangeAspect="1"/>
            </wp:cNvGraphicFramePr>
            <a:graphic>
              <a:graphicData uri="http://schemas.openxmlformats.org/drawingml/2006/picture">
                <pic:pic>
                  <pic:nvPicPr>
                    <pic:cNvPr id="110" name="SmartPot_18_Problem_Tree"/>
                    <pic:cNvPicPr/>
                  </pic:nvPicPr>
                  <pic:blipFill>
                    <a:blip r:embed="rIdImg4"/>
                    <a:stretch>
                      <a:fillRect/>
                    </a:stretch>
                  </pic:blipFill>
                  <pic:spPr>
                    <a:xfrm>
                      <a:off x="0" y="0"/>
                      <a:ext cx="5943600" cy="3327661"/>
                    </a:xfrm>
                    <a:prstGeom prst="rect">
                      <a:avLst/>
                    </a:prstGeom>
                  </pic:spPr>
                </pic:pic>
              </a:graphicData>
            </a:graphic>
          </wp:inline>
        </w:drawing>
      </w:r>
    </w:p>
    <w:p>
      <w:pPr>
        <w:spacing w:before="0" w:after="240" w:line="288" w:lineRule="auto"/>
        <w:jc w:val="center"/>
      </w:pPr>
      <w:r>
        <w:rPr>
          <w:b/>
          <w:bCs/>
          <w:color w:val="067A52"/>
          <w:sz w:val="16"/>
          <w:szCs w:val="16"/>
        </w:rPr>
        <w:t xml:space="preserve">Figura 2</w:t>
      </w:r>
      <w:r>
        <w:rPr>
          <w:i/>
          <w:iCs/>
          <w:color w:val="5B6B63"/>
          <w:sz w:val="16"/>
          <w:szCs w:val="16"/>
        </w:rPr>
        <w:t xml:space="preserve">  ·  Árbol de problemas</w:t>
      </w:r>
    </w:p>
    <w:p>
      <w:pPr>
        <w:pStyle w:val="Heading2"/>
      </w:pPr>
      <w:bookmarkStart w:id="111" w:name="sec_111"/>
      <w:r>
        <w:rPr>
          <w:b/>
          <w:bCs/>
          <w:color w:val="067A52"/>
          <w:sz w:val="25"/>
          <w:szCs w:val="25"/>
        </w:rPr>
        <w:t xml:space="preserve">2.3 Causa y efecto</w:t>
      </w:r>
      <w:bookmarkEnd w:id="111"/>
    </w:p>
    <w:p>
      <w:pPr>
        <w:spacing w:before="0" w:after="140" w:line="288" w:lineRule="auto"/>
      </w:pPr>
      <w:r>
        <w:rPr>
          <w:color w:val="17261F"/>
          <w:sz w:val="20"/>
          <w:szCs w:val="20"/>
        </w:rPr>
        <w:t xml:space="preserve">El diagrama de Ishikawa ordenó las causas con las categorías clásicas de métodos, máquinas, mediciones, mano de obra y medio ambiente.</w:t>
      </w:r>
    </w:p>
    <w:p>
      <w:pPr>
        <w:keepNext/>
        <w:spacing w:before="120" w:after="60" w:line="288" w:lineRule="auto"/>
        <w:jc w:val="center"/>
      </w:pPr>
      <w:r>
        <w:drawing>
          <wp:inline distT="0" distB="0" distL="0" distR="0">
            <wp:extent cx="5943600" cy="5660899"/>
            <wp:docPr id="112" name="SmartPot_09_Cause_Effect"/>
            <wp:cNvGraphicFramePr>
              <a:graphicFrameLocks noChangeAspect="1"/>
            </wp:cNvGraphicFramePr>
            <a:graphic>
              <a:graphicData uri="http://schemas.openxmlformats.org/drawingml/2006/picture">
                <pic:pic>
                  <pic:nvPicPr>
                    <pic:cNvPr id="112" name="SmartPot_09_Cause_Effect"/>
                    <pic:cNvPicPr/>
                  </pic:nvPicPr>
                  <pic:blipFill>
                    <a:blip r:embed="rIdImg5"/>
                    <a:stretch>
                      <a:fillRect/>
                    </a:stretch>
                  </pic:blipFill>
                  <pic:spPr>
                    <a:xfrm>
                      <a:off x="0" y="0"/>
                      <a:ext cx="5943600" cy="5660899"/>
                    </a:xfrm>
                    <a:prstGeom prst="rect">
                      <a:avLst/>
                    </a:prstGeom>
                  </pic:spPr>
                </pic:pic>
              </a:graphicData>
            </a:graphic>
          </wp:inline>
        </w:drawing>
      </w:r>
    </w:p>
    <w:p>
      <w:pPr>
        <w:spacing w:before="0" w:after="240" w:line="288" w:lineRule="auto"/>
        <w:jc w:val="center"/>
      </w:pPr>
      <w:r>
        <w:rPr>
          <w:b/>
          <w:bCs/>
          <w:color w:val="067A52"/>
          <w:sz w:val="16"/>
          <w:szCs w:val="16"/>
        </w:rPr>
        <w:t xml:space="preserve">Figura 3</w:t>
      </w:r>
      <w:r>
        <w:rPr>
          <w:i/>
          <w:iCs/>
          <w:color w:val="5B6B63"/>
          <w:sz w:val="16"/>
          <w:szCs w:val="16"/>
        </w:rPr>
        <w:t xml:space="preserve">  ·  Causa y efecto del problema</w:t>
      </w:r>
    </w:p>
    <w:p>
      <w:pPr>
        <w:pStyle w:val="Heading2"/>
      </w:pPr>
      <w:bookmarkStart w:id="113" w:name="sec_113"/>
      <w:r>
        <w:rPr>
          <w:b/>
          <w:bCs/>
          <w:color w:val="067A52"/>
          <w:sz w:val="25"/>
          <w:szCs w:val="25"/>
        </w:rPr>
        <w:t xml:space="preserve">2.4 Los 5 porqués</w:t>
      </w:r>
      <w:bookmarkEnd w:id="113"/>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413"/>
        <w:gridCol w:w="5947"/>
      </w:tblGrid>
      <w:tr>
        <w:trPr>
          <w:cantSplit/>
          <w:tblHeader/>
        </w:trPr>
        <w:tc>
          <w:tcPr>
            <w:tcW w:w="341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PREGUNTA</w:t>
            </w:r>
          </w:p>
        </w:tc>
        <w:tc>
          <w:tcPr>
            <w:tcW w:w="594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RESPUESTA DE LA FORMULACIÓN</w:t>
            </w:r>
          </w:p>
        </w:tc>
      </w:tr>
      <w:tr>
        <w:trPr>
          <w:cantSplit/>
        </w:trPr>
        <w:tc>
          <w:tcPr>
            <w:tcW w:w="341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¿Por qué la gestión es ineficiente?</w:t>
            </w:r>
          </w:p>
        </w:tc>
        <w:tc>
          <w:tcPr>
            <w:tcW w:w="594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Porque depende de la supervisión manual y hay poco control automatizado</w:t>
            </w:r>
          </w:p>
        </w:tc>
      </w:tr>
      <w:tr>
        <w:trPr>
          <w:cantSplit/>
        </w:trPr>
        <w:tc>
          <w:tcPr>
            <w:tcW w:w="341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¿Por qué la supervisión manual desperdicia recursos?</w:t>
            </w:r>
          </w:p>
        </w:tc>
        <w:tc>
          <w:tcPr>
            <w:tcW w:w="594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Porque una persona no puede seguir todas las variables todo el tiempo</w:t>
            </w:r>
          </w:p>
        </w:tc>
      </w:tr>
      <w:tr>
        <w:trPr>
          <w:cantSplit/>
        </w:trPr>
        <w:tc>
          <w:tcPr>
            <w:tcW w:w="341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¿Por qué no se automatiza?</w:t>
            </w:r>
          </w:p>
        </w:tc>
        <w:tc>
          <w:tcPr>
            <w:tcW w:w="594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Porque las soluciones son costosas, poco accesibles o complejas para pequeños productores</w:t>
            </w:r>
          </w:p>
        </w:tc>
      </w:tr>
      <w:tr>
        <w:trPr>
          <w:cantSplit/>
        </w:trPr>
        <w:tc>
          <w:tcPr>
            <w:tcW w:w="341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¿Por qué el costo y la rigidez son un obstáculo?</w:t>
            </w:r>
          </w:p>
        </w:tc>
        <w:tc>
          <w:tcPr>
            <w:tcW w:w="594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Porque exigen una inversión alta y no se adaptan a cada cultivo</w:t>
            </w:r>
          </w:p>
        </w:tc>
      </w:tr>
      <w:tr>
        <w:trPr>
          <w:cantSplit/>
        </w:trPr>
        <w:tc>
          <w:tcPr>
            <w:tcW w:w="341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¿Por qué crear SmartPot?</w:t>
            </w:r>
          </w:p>
        </w:tc>
        <w:tc>
          <w:tcPr>
            <w:tcW w:w="594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Para ofrecer una herramienta asequible, flexible y educativa que use la simulación para bajar costos</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LECTURA CRÍTICA</w:t>
            </w:r>
          </w:p>
          <w:p>
            <w:pPr>
              <w:spacing w:before="0" w:after="100" w:line="276" w:lineRule="auto"/>
            </w:pPr>
            <w:r>
              <w:rPr>
                <w:color w:val="17261F"/>
                <w:sz w:val="18"/>
                <w:szCs w:val="18"/>
              </w:rPr>
              <w:t xml:space="preserve">Las tres técnicas llegan a la misma raíz, falta de automatización y de datos del cultivo, y eso da confianza en el diagnóstico. Tienen tres debilidades que conviene corregir en una próxima formulación:</w:t>
            </w:r>
          </w:p>
          <w:p>
            <w:pPr>
              <w:ind w:left="300" w:hanging="220"/>
              <w:spacing w:before="0" w:after="40" w:line="276" w:lineRule="auto"/>
            </w:pPr>
            <w:r>
              <w:rPr>
                <w:b/>
                <w:bCs/>
                <w:color w:val="1F6FA0"/>
                <w:sz w:val="18"/>
                <w:szCs w:val="18"/>
              </w:rPr>
              <w:t xml:space="preserve">•</w:t>
            </w:r>
            <w:r>
              <w:tab/>
            </w:r>
            <w:r>
              <w:rPr>
                <w:color w:val="17261F"/>
                <w:sz w:val="18"/>
                <w:szCs w:val="18"/>
              </w:rPr>
              <w:t xml:space="preserve">El quinto porqué no es una causa sino la justificación de la solución; la cadena causal termina en el cuarto.</w:t>
            </w:r>
          </w:p>
          <w:p>
            <w:pPr>
              <w:ind w:left="300" w:hanging="220"/>
              <w:spacing w:before="0" w:after="40" w:line="276" w:lineRule="auto"/>
            </w:pPr>
            <w:r>
              <w:rPr>
                <w:b/>
                <w:bCs/>
                <w:color w:val="1F6FA0"/>
                <w:sz w:val="18"/>
                <w:szCs w:val="18"/>
              </w:rPr>
              <w:t xml:space="preserve">•</w:t>
            </w:r>
            <w:r>
              <w:tab/>
            </w:r>
            <w:r>
              <w:rPr>
                <w:color w:val="17261F"/>
                <w:sz w:val="18"/>
                <w:szCs w:val="18"/>
              </w:rPr>
              <w:t xml:space="preserve">El Ishikawa omite la categoría </w:t>
            </w:r>
            <w:r>
              <w:rPr>
                <w:i/>
                <w:iCs/>
                <w:color w:val="17261F"/>
                <w:sz w:val="18"/>
                <w:szCs w:val="18"/>
              </w:rPr>
              <w:t xml:space="preserve">materiales</w:t>
            </w:r>
            <w:r>
              <w:rPr>
                <w:color w:val="17261F"/>
                <w:sz w:val="18"/>
                <w:szCs w:val="18"/>
              </w:rPr>
              <w:t xml:space="preserve"> (solución nutritiva, sustrato, calidad del agua), que en hidroponía explica buena parte de las pérdidas.</w:t>
            </w:r>
          </w:p>
          <w:p>
            <w:pPr>
              <w:ind w:left="300" w:hanging="220"/>
              <w:spacing w:before="0" w:after="0" w:line="276" w:lineRule="auto"/>
            </w:pPr>
            <w:r>
              <w:rPr>
                <w:b/>
                <w:bCs/>
                <w:color w:val="1F6FA0"/>
                <w:sz w:val="18"/>
                <w:szCs w:val="18"/>
              </w:rPr>
              <w:t xml:space="preserve">•</w:t>
            </w:r>
            <w:r>
              <w:tab/>
            </w:r>
            <w:r>
              <w:rPr>
                <w:color w:val="17261F"/>
                <w:sz w:val="18"/>
                <w:szCs w:val="18"/>
              </w:rPr>
              <w:t xml:space="preserve">Efectos como la inseguridad alimentaria local son reales pero el proyecto no puede medirlos; en el marco lógico quedan como fin, no como indicador.</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03</w:t>
      </w:r>
    </w:p>
    <w:p>
      <w:pPr>
        <w:pStyle w:val="Heading1"/>
      </w:pPr>
      <w:bookmarkStart w:id="114" w:name="sec_114"/>
      <w:r>
        <w:rPr>
          <w:b/>
          <w:bCs/>
          <w:color w:val="0B3D2B"/>
          <w:sz w:val="34"/>
          <w:szCs w:val="34"/>
        </w:rPr>
        <w:t xml:space="preserve">Objetivos y alternativa elegida</w:t>
      </w:r>
      <w:bookmarkEnd w:id="114"/>
    </w:p>
    <w:p>
      <w:pPr>
        <w:pStyle w:val="Heading2"/>
      </w:pPr>
      <w:bookmarkStart w:id="115" w:name="sec_115"/>
      <w:r>
        <w:rPr>
          <w:b/>
          <w:bCs/>
          <w:color w:val="067A52"/>
          <w:sz w:val="25"/>
          <w:szCs w:val="25"/>
        </w:rPr>
        <w:t xml:space="preserve">3.1 Árbol de objetivos</w:t>
      </w:r>
      <w:bookmarkEnd w:id="115"/>
    </w:p>
    <w:p>
      <w:pPr>
        <w:spacing w:before="0" w:after="140" w:line="288" w:lineRule="auto"/>
      </w:pPr>
      <w:r>
        <w:rPr>
          <w:color w:val="17261F"/>
          <w:sz w:val="20"/>
          <w:szCs w:val="20"/>
        </w:rPr>
        <w:t xml:space="preserve">Al invertir el árbol de problemas, cada causa se convierte en un medio. El diagrama agrega, en cursiva, cómo construyó SmartPot cada medio.</w:t>
      </w:r>
    </w:p>
    <w:p>
      <w:pPr>
        <w:keepNext/>
        <w:spacing w:before="120" w:after="60" w:line="288" w:lineRule="auto"/>
        <w:jc w:val="center"/>
      </w:pPr>
      <w:r>
        <w:drawing>
          <wp:inline distT="0" distB="0" distL="0" distR="0">
            <wp:extent cx="5943600" cy="3369272"/>
            <wp:docPr id="116" name="SmartPot_19_Objective_Tree"/>
            <wp:cNvGraphicFramePr>
              <a:graphicFrameLocks noChangeAspect="1"/>
            </wp:cNvGraphicFramePr>
            <a:graphic>
              <a:graphicData uri="http://schemas.openxmlformats.org/drawingml/2006/picture">
                <pic:pic>
                  <pic:nvPicPr>
                    <pic:cNvPr id="116" name="SmartPot_19_Objective_Tree"/>
                    <pic:cNvPicPr/>
                  </pic:nvPicPr>
                  <pic:blipFill>
                    <a:blip r:embed="rIdImg6"/>
                    <a:stretch>
                      <a:fillRect/>
                    </a:stretch>
                  </pic:blipFill>
                  <pic:spPr>
                    <a:xfrm>
                      <a:off x="0" y="0"/>
                      <a:ext cx="5943600" cy="3369272"/>
                    </a:xfrm>
                    <a:prstGeom prst="rect">
                      <a:avLst/>
                    </a:prstGeom>
                  </pic:spPr>
                </pic:pic>
              </a:graphicData>
            </a:graphic>
          </wp:inline>
        </w:drawing>
      </w:r>
    </w:p>
    <w:p>
      <w:pPr>
        <w:spacing w:before="0" w:after="240" w:line="288" w:lineRule="auto"/>
        <w:jc w:val="center"/>
      </w:pPr>
      <w:r>
        <w:rPr>
          <w:b/>
          <w:bCs/>
          <w:color w:val="067A52"/>
          <w:sz w:val="16"/>
          <w:szCs w:val="16"/>
        </w:rPr>
        <w:t xml:space="preserve">Figura 4</w:t>
      </w:r>
      <w:r>
        <w:rPr>
          <w:i/>
          <w:iCs/>
          <w:color w:val="5B6B63"/>
          <w:sz w:val="16"/>
          <w:szCs w:val="16"/>
        </w:rPr>
        <w:t xml:space="preserve">  ·  Árbol de objetivos</w:t>
      </w:r>
    </w:p>
    <w:p>
      <w:pPr>
        <w:pStyle w:val="Heading2"/>
      </w:pPr>
      <w:bookmarkStart w:id="117" w:name="sec_117"/>
      <w:r>
        <w:rPr>
          <w:b/>
          <w:bCs/>
          <w:color w:val="067A52"/>
          <w:sz w:val="25"/>
          <w:szCs w:val="25"/>
        </w:rPr>
        <w:t xml:space="preserve">3.2 Objetivo SMART</w:t>
      </w:r>
      <w:bookmarkEnd w:id="117"/>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200"/>
        <w:gridCol w:w="4121"/>
        <w:gridCol w:w="4039"/>
      </w:tblGrid>
      <w:tr>
        <w:trPr>
          <w:cantSplit/>
          <w:tblHeader/>
        </w:trPr>
        <w:tc>
          <w:tcPr>
            <w:tcW w:w="12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CRITERIO</w:t>
            </w:r>
          </w:p>
        </w:tc>
        <w:tc>
          <w:tcPr>
            <w:tcW w:w="412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FORMULACIÓN</w:t>
            </w:r>
          </w:p>
        </w:tc>
        <w:tc>
          <w:tcPr>
            <w:tcW w:w="403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LECTURA CRÍTICA</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Específico</w:t>
            </w:r>
          </w:p>
        </w:tc>
        <w:tc>
          <w:tcPr>
            <w:tcW w:w="41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Monitorear y automatizar un jardín hidropónico simulado: humedad, temperatura, luz, pH y nutrientes</w:t>
            </w:r>
          </w:p>
        </w:tc>
        <w:tc>
          <w:tcPr>
            <w:tcW w:w="4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Bien acotado; la plataforma lo cumple y agrega humedad del sustrato y atmósfera</w:t>
            </w:r>
          </w:p>
        </w:tc>
      </w:tr>
      <w:tr>
        <w:trPr>
          <w:cantSplit/>
        </w:trPr>
        <w:tc>
          <w:tcPr>
            <w:tcW w:w="120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Medible</w:t>
            </w:r>
          </w:p>
        </w:tc>
        <w:tc>
          <w:tcPr>
            <w:tcW w:w="41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Simulación completa en Wokwi, API, interfaz, base de datos, reportes y riego e iluminación automáticos</w:t>
            </w:r>
          </w:p>
        </w:tc>
        <w:tc>
          <w:tcPr>
            <w:tcW w:w="4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Mide </w:t>
            </w:r>
            <w:r>
              <w:rPr>
                <w:b/>
                <w:bCs/>
                <w:color w:val="17261F"/>
                <w:sz w:val="17"/>
                <w:szCs w:val="17"/>
              </w:rPr>
              <w:t xml:space="preserve">productos</w:t>
            </w:r>
            <w:r>
              <w:rPr>
                <w:color w:val="17261F"/>
                <w:sz w:val="17"/>
                <w:szCs w:val="17"/>
              </w:rPr>
              <w:t xml:space="preserve">, no resultados: no dice cuánta agua se ahorra ni cuánto tiempo pasa el cultivo en rango</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Alcanzable</w:t>
            </w:r>
          </w:p>
        </w:tc>
        <w:tc>
          <w:tcPr>
            <w:tcW w:w="41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Prototipo dentro del curso con un proceso iterativo</w:t>
            </w:r>
          </w:p>
        </w:tc>
        <w:tc>
          <w:tcPr>
            <w:tcW w:w="4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Cierto para el software; la parte física quedó fuera por diseño</w:t>
            </w:r>
          </w:p>
        </w:tc>
      </w:tr>
      <w:tr>
        <w:trPr>
          <w:cantSplit/>
        </w:trPr>
        <w:tc>
          <w:tcPr>
            <w:tcW w:w="120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Relevante</w:t>
            </w:r>
          </w:p>
        </w:tc>
        <w:tc>
          <w:tcPr>
            <w:tcW w:w="41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Valor académico y social</w:t>
            </w:r>
          </w:p>
        </w:tc>
        <w:tc>
          <w:tcPr>
            <w:tcW w:w="4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 sostiene: código abierto, demo para instituciones y documentación completa</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Temporal</w:t>
            </w:r>
          </w:p>
        </w:tc>
        <w:tc>
          <w:tcPr>
            <w:tcW w:w="41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Análisis y diseño de agosto a septiembre; desarrollo y pruebas de octubre a diciembre</w:t>
            </w:r>
          </w:p>
        </w:tc>
        <w:tc>
          <w:tcPr>
            <w:tcW w:w="4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primera plataforma existía antes de esta formulación y siguió creciendo dos años más; el plazo describía un semestre, no el producto</w:t>
            </w:r>
          </w:p>
        </w:tc>
      </w:tr>
    </w:tbl>
    <w:p>
      <w:pPr>
        <w:spacing w:before="160" w:after="0" w:line="240" w:lineRule="auto"/>
        <w:rPr>
          <w:sz w:val="8"/>
        </w:rPr>
      </w:pPr>
    </w:p>
    <w:p>
      <w:pPr>
        <w:pStyle w:val="Heading2"/>
      </w:pPr>
      <w:bookmarkStart w:id="118" w:name="sec_118"/>
      <w:r>
        <w:rPr>
          <w:b/>
          <w:bCs/>
          <w:color w:val="067A52"/>
          <w:sz w:val="25"/>
          <w:szCs w:val="25"/>
        </w:rPr>
        <w:t xml:space="preserve">3.3 Cómo evolucionaron los objetivos</w:t>
      </w:r>
      <w:bookmarkEnd w:id="118"/>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796"/>
        <w:gridCol w:w="3802"/>
        <w:gridCol w:w="3762"/>
      </w:tblGrid>
      <w:tr>
        <w:trPr>
          <w:cantSplit/>
          <w:tblHeader/>
        </w:trPr>
        <w:tc>
          <w:tcPr>
            <w:tcW w:w="179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DOCUMENTO</w:t>
            </w:r>
          </w:p>
        </w:tc>
        <w:tc>
          <w:tcPr>
            <w:tcW w:w="380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OBJETIVO GENERAL</w:t>
            </w:r>
          </w:p>
        </w:tc>
        <w:tc>
          <w:tcPr>
            <w:tcW w:w="376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CAMBIÓ</w:t>
            </w:r>
          </w:p>
        </w:tc>
      </w:tr>
      <w:tr>
        <w:trPr>
          <w:cantSplit/>
        </w:trPr>
        <w:tc>
          <w:tcPr>
            <w:tcW w:w="179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Formulación</w:t>
            </w:r>
          </w:p>
        </w:tc>
        <w:tc>
          <w:tcPr>
            <w:tcW w:w="380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Automatizar la gestión de cultivos hidropónicos con monitoreo en tiempo real y análisis de datos</w:t>
            </w:r>
          </w:p>
        </w:tc>
        <w:tc>
          <w:tcPr>
            <w:tcW w:w="3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Cinco objetivos específicos por etapa: analizar, diseñar, desarrollar, probar y mantener</w:t>
            </w:r>
          </w:p>
        </w:tc>
      </w:tr>
      <w:tr>
        <w:trPr>
          <w:cantSplit/>
        </w:trPr>
        <w:tc>
          <w:tcPr>
            <w:tcW w:w="179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Proyecto integrador</w:t>
            </w:r>
          </w:p>
        </w:tc>
        <w:tc>
          <w:tcPr>
            <w:tcW w:w="380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mismo</w:t>
            </w:r>
          </w:p>
        </w:tc>
        <w:tc>
          <w:tcPr>
            <w:tcW w:w="3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Siete objetivos por beneficio: monitoreo remoto, agua y nutrientes, errores humanos, pérdida de plantas, dependencia manual, espacios reducidos e historial</w:t>
            </w:r>
          </w:p>
        </w:tc>
      </w:tr>
      <w:tr>
        <w:trPr>
          <w:cantSplit/>
        </w:trPr>
        <w:tc>
          <w:tcPr>
            <w:tcW w:w="179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Acta de constitución</w:t>
            </w:r>
          </w:p>
        </w:tc>
        <w:tc>
          <w:tcPr>
            <w:tcW w:w="380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Sistema completo de monitoreo y automatización para lechuga y tomate</w:t>
            </w:r>
          </w:p>
        </w:tc>
        <w:tc>
          <w:tcPr>
            <w:tcW w:w="3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Objetivos por dimensión (alcance, tiempo, costo, calidad y relevancia) con indicadores de éxito</w:t>
            </w:r>
          </w:p>
        </w:tc>
      </w:tr>
      <w:tr>
        <w:trPr>
          <w:cantSplit/>
        </w:trPr>
        <w:tc>
          <w:tcPr>
            <w:tcW w:w="179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Propuesta de investigación</w:t>
            </w:r>
          </w:p>
        </w:tc>
        <w:tc>
          <w:tcPr>
            <w:tcW w:w="380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Integrar IoT y modelos de analítica para el control inteligente de la lechuga</w:t>
            </w:r>
          </w:p>
        </w:tc>
        <w:tc>
          <w:tcPr>
            <w:tcW w:w="3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Seis objetivos que incluyen hardware físico, parámetros agronómicos y validación experimental</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El objetivo general se mantuvo estable durante dos años, lo que muestra una visión clara. Los específicos, en cambio, se reescribieron en cada curso sin trazar cuáles reemplazaban a cuáles. La plataforma cumple los objetivos de software de los cuatro documentos; quedan abiertos los que exigen hardware y un ciclo de cultivo real (sección 9).</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04</w:t>
      </w:r>
    </w:p>
    <w:p>
      <w:pPr>
        <w:pStyle w:val="Heading1"/>
      </w:pPr>
      <w:bookmarkStart w:id="119" w:name="sec_119"/>
      <w:r>
        <w:rPr>
          <w:b/>
          <w:bCs/>
          <w:color w:val="0B3D2B"/>
          <w:sz w:val="34"/>
          <w:szCs w:val="34"/>
        </w:rPr>
        <w:t xml:space="preserve">Entorno e involucrados</w:t>
      </w:r>
      <w:bookmarkEnd w:id="119"/>
    </w:p>
    <w:p>
      <w:pPr>
        <w:pStyle w:val="Heading2"/>
      </w:pPr>
      <w:bookmarkStart w:id="120" w:name="sec_120"/>
      <w:r>
        <w:rPr>
          <w:b/>
          <w:bCs/>
          <w:color w:val="067A52"/>
          <w:sz w:val="25"/>
          <w:szCs w:val="25"/>
        </w:rPr>
        <w:t xml:space="preserve">4.1 PESTEL</w:t>
      </w:r>
      <w:bookmarkEnd w:id="120"/>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252"/>
        <w:gridCol w:w="3432"/>
        <w:gridCol w:w="4676"/>
      </w:tblGrid>
      <w:tr>
        <w:trPr>
          <w:cantSplit/>
          <w:tblHeader/>
        </w:trPr>
        <w:tc>
          <w:tcPr>
            <w:tcW w:w="125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FACTOR</w:t>
            </w:r>
          </w:p>
        </w:tc>
        <w:tc>
          <w:tcPr>
            <w:tcW w:w="343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FORMULACIÓN</w:t>
            </w:r>
          </w:p>
        </w:tc>
        <w:tc>
          <w:tcPr>
            <w:tcW w:w="467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HOY</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Político</w:t>
            </w:r>
          </w:p>
        </w:tc>
        <w:tc>
          <w:tcPr>
            <w:tcW w:w="34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Políticas de agricultura urbana y apoyo institucional</w:t>
            </w:r>
          </w:p>
        </w:tc>
        <w:tc>
          <w:tcPr>
            <w:tcW w:w="46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Sin cambios: el proyecto sigue dentro del marco académico</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Económico</w:t>
            </w:r>
          </w:p>
        </w:tc>
        <w:tc>
          <w:tcPr>
            <w:tcW w:w="34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Herramientas educativas gratuitas y alojamiento económico</w:t>
            </w:r>
          </w:p>
        </w:tc>
        <w:tc>
          <w:tcPr>
            <w:tcW w:w="46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 reemplazaron las capas gratuitas por un servidor propio pequeño para no depender de cuotas</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Social</w:t>
            </w:r>
          </w:p>
        </w:tc>
        <w:tc>
          <w:tcPr>
            <w:tcW w:w="34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Seguridad alimentaria, aprendizaje práctico y comunidades </w:t>
            </w:r>
            <w:r>
              <w:rPr>
                <w:i/>
                <w:iCs/>
                <w:color w:val="17261F"/>
                <w:sz w:val="17"/>
                <w:szCs w:val="17"/>
              </w:rPr>
              <w:t xml:space="preserve">maker</w:t>
            </w:r>
          </w:p>
        </w:tc>
        <w:tc>
          <w:tcPr>
            <w:tcW w:w="46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Demo de un solo comando y cultivos virtuales para aprender sin hardware</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Tecnológico</w:t>
            </w:r>
          </w:p>
        </w:tc>
        <w:tc>
          <w:tcPr>
            <w:tcW w:w="34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Wokwi, Spring Boot, React y ESP32</w:t>
            </w:r>
          </w:p>
        </w:tc>
        <w:tc>
          <w:tcPr>
            <w:tcW w:w="46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 sumaron MQTT con TLS, Docker, FastAPI con scikit-learn y la PWA instalable</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Ecológico</w:t>
            </w:r>
          </w:p>
        </w:tc>
        <w:tc>
          <w:tcPr>
            <w:tcW w:w="34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Eficiencia hídrica y menos pesticidas</w:t>
            </w:r>
          </w:p>
        </w:tc>
        <w:tc>
          <w:tcPr>
            <w:tcW w:w="46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Riego preventivo y bloqueo de nutrientes; el ahorro real solo se podrá medir con un prototipo físico</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Legal</w:t>
            </w:r>
          </w:p>
        </w:tc>
        <w:tc>
          <w:tcPr>
            <w:tcW w:w="34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Marco académico y software libre</w:t>
            </w:r>
          </w:p>
        </w:tc>
        <w:tc>
          <w:tcPr>
            <w:tcW w:w="46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Licencia MIT, datos personales mínimos, borrado de la cuenta y cultivos seudonimizados para el aprendizaje</w:t>
            </w:r>
          </w:p>
        </w:tc>
      </w:tr>
    </w:tbl>
    <w:p>
      <w:pPr>
        <w:spacing w:before="160" w:after="0" w:line="240" w:lineRule="auto"/>
        <w:rPr>
          <w:sz w:val="8"/>
        </w:rPr>
      </w:pPr>
    </w:p>
    <w:p>
      <w:pPr>
        <w:pStyle w:val="Heading2"/>
      </w:pPr>
      <w:bookmarkStart w:id="121" w:name="sec_121"/>
      <w:r>
        <w:rPr>
          <w:b/>
          <w:bCs/>
          <w:color w:val="067A52"/>
          <w:sz w:val="25"/>
          <w:szCs w:val="25"/>
        </w:rPr>
        <w:t xml:space="preserve">4.2 Poder e interés</w:t>
      </w:r>
      <w:bookmarkEnd w:id="121"/>
    </w:p>
    <w:p>
      <w:pPr>
        <w:spacing w:before="0" w:after="140" w:line="288" w:lineRule="auto"/>
      </w:pPr>
      <w:r>
        <w:rPr>
          <w:color w:val="17261F"/>
          <w:sz w:val="20"/>
          <w:szCs w:val="20"/>
        </w:rPr>
        <w:t xml:space="preserve">El análisis identificó actores primarios (docente y equipo de desarrollo), secundarios (institución, coordinación, proveedores de nube, horticultores, microproductores y comunidad </w:t>
      </w:r>
      <w:r>
        <w:rPr>
          <w:i/>
          <w:iCs/>
          <w:color w:val="17261F"/>
          <w:sz w:val="20"/>
          <w:szCs w:val="20"/>
        </w:rPr>
        <w:t xml:space="preserve">maker</w:t>
      </w:r>
      <w:r>
        <w:rPr>
          <w:color w:val="17261F"/>
          <w:sz w:val="20"/>
          <w:szCs w:val="20"/>
        </w:rPr>
        <w:t xml:space="preserve">) y terciarios (usuarios potenciales, proveedores alternativos y competencia). La matriz de interesados calificó a nueve de ellos de 1 a 10 en poder e interés.</w:t>
      </w:r>
    </w:p>
    <w:p>
      <w:pPr>
        <w:keepNext/>
        <w:spacing w:before="120" w:after="60" w:line="288" w:lineRule="auto"/>
        <w:jc w:val="center"/>
      </w:pPr>
      <w:r>
        <w:drawing>
          <wp:inline distT="0" distB="0" distL="0" distR="0">
            <wp:extent cx="5943600" cy="5005136"/>
            <wp:docPr id="122" name="SmartPot_20_Stakeholder_Map"/>
            <wp:cNvGraphicFramePr>
              <a:graphicFrameLocks noChangeAspect="1"/>
            </wp:cNvGraphicFramePr>
            <a:graphic>
              <a:graphicData uri="http://schemas.openxmlformats.org/drawingml/2006/picture">
                <pic:pic>
                  <pic:nvPicPr>
                    <pic:cNvPr id="122" name="SmartPot_20_Stakeholder_Map"/>
                    <pic:cNvPicPr/>
                  </pic:nvPicPr>
                  <pic:blipFill>
                    <a:blip r:embed="rIdImg7"/>
                    <a:stretch>
                      <a:fillRect/>
                    </a:stretch>
                  </pic:blipFill>
                  <pic:spPr>
                    <a:xfrm>
                      <a:off x="0" y="0"/>
                      <a:ext cx="5943600" cy="5005136"/>
                    </a:xfrm>
                    <a:prstGeom prst="rect">
                      <a:avLst/>
                    </a:prstGeom>
                  </pic:spPr>
                </pic:pic>
              </a:graphicData>
            </a:graphic>
          </wp:inline>
        </w:drawing>
      </w:r>
    </w:p>
    <w:p>
      <w:pPr>
        <w:spacing w:before="0" w:after="240" w:line="288" w:lineRule="auto"/>
        <w:jc w:val="center"/>
      </w:pPr>
      <w:r>
        <w:rPr>
          <w:b/>
          <w:bCs/>
          <w:color w:val="067A52"/>
          <w:sz w:val="16"/>
          <w:szCs w:val="16"/>
        </w:rPr>
        <w:t xml:space="preserve">Figura 5</w:t>
      </w:r>
      <w:r>
        <w:rPr>
          <w:i/>
          <w:iCs/>
          <w:color w:val="5B6B63"/>
          <w:sz w:val="16"/>
          <w:szCs w:val="16"/>
        </w:rPr>
        <w:t xml:space="preserve">  ·  Poder e interés de los interesados</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345"/>
        <w:gridCol w:w="840"/>
        <w:gridCol w:w="1080"/>
        <w:gridCol w:w="1200"/>
        <w:gridCol w:w="2098"/>
        <w:gridCol w:w="1797"/>
      </w:tblGrid>
      <w:tr>
        <w:trPr>
          <w:cantSplit/>
          <w:tblHeader/>
        </w:trPr>
        <w:tc>
          <w:tcPr>
            <w:tcW w:w="234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INTERESADO</w:t>
            </w:r>
          </w:p>
        </w:tc>
        <w:tc>
          <w:tcPr>
            <w:tcW w:w="8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PODER</w:t>
            </w:r>
          </w:p>
        </w:tc>
        <w:tc>
          <w:tcPr>
            <w:tcW w:w="108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INTERÉS</w:t>
            </w:r>
          </w:p>
        </w:tc>
        <w:tc>
          <w:tcPr>
            <w:tcW w:w="12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IMPACTO (PODER × INTERÉS)</w:t>
            </w:r>
          </w:p>
        </w:tc>
        <w:tc>
          <w:tcPr>
            <w:tcW w:w="209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MANEJO SEGÚN SU POSICIÓN</w:t>
            </w:r>
          </w:p>
        </w:tc>
        <w:tc>
          <w:tcPr>
            <w:tcW w:w="179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MANEJO EN LA MATRIZ ORIGINAL</w:t>
            </w:r>
          </w:p>
        </w:tc>
      </w:tr>
      <w:tr>
        <w:trPr>
          <w:cantSplit/>
        </w:trPr>
        <w:tc>
          <w:tcPr>
            <w:tcW w:w="23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Gerente de proyecto</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w:t>
            </w:r>
          </w:p>
        </w:tc>
        <w:tc>
          <w:tcPr>
            <w:tcW w:w="10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w:t>
            </w:r>
          </w:p>
        </w:tc>
        <w:tc>
          <w:tcPr>
            <w:tcW w:w="12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100</w:t>
            </w:r>
          </w:p>
        </w:tc>
        <w:tc>
          <w:tcPr>
            <w:tcW w:w="209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c>
          <w:tcPr>
            <w:tcW w:w="17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r>
      <w:tr>
        <w:trPr>
          <w:cantSplit/>
        </w:trPr>
        <w:tc>
          <w:tcPr>
            <w:tcW w:w="23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Docente evaluador</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w:t>
            </w:r>
          </w:p>
        </w:tc>
        <w:tc>
          <w:tcPr>
            <w:tcW w:w="10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w:t>
            </w:r>
          </w:p>
        </w:tc>
        <w:tc>
          <w:tcPr>
            <w:tcW w:w="12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64</w:t>
            </w:r>
          </w:p>
        </w:tc>
        <w:tc>
          <w:tcPr>
            <w:tcW w:w="209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c>
          <w:tcPr>
            <w:tcW w:w="179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r>
      <w:tr>
        <w:trPr>
          <w:cantSplit/>
        </w:trPr>
        <w:tc>
          <w:tcPr>
            <w:tcW w:w="23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Product Owner</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w:t>
            </w:r>
          </w:p>
        </w:tc>
        <w:tc>
          <w:tcPr>
            <w:tcW w:w="10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w:t>
            </w:r>
          </w:p>
        </w:tc>
        <w:tc>
          <w:tcPr>
            <w:tcW w:w="12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w:t>
            </w:r>
          </w:p>
        </w:tc>
        <w:tc>
          <w:tcPr>
            <w:tcW w:w="209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c>
          <w:tcPr>
            <w:tcW w:w="17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Administrar de cerca</w:t>
            </w:r>
          </w:p>
        </w:tc>
      </w:tr>
      <w:tr>
        <w:trPr>
          <w:cantSplit/>
        </w:trPr>
        <w:tc>
          <w:tcPr>
            <w:tcW w:w="23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Desarrolladores</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w:t>
            </w:r>
          </w:p>
        </w:tc>
        <w:tc>
          <w:tcPr>
            <w:tcW w:w="10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w:t>
            </w:r>
          </w:p>
        </w:tc>
        <w:tc>
          <w:tcPr>
            <w:tcW w:w="12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30</w:t>
            </w:r>
          </w:p>
        </w:tc>
        <w:tc>
          <w:tcPr>
            <w:tcW w:w="2098" w:type="dxa"/>
            <w:shd w:val="clear" w:color="auto" w:fill="F2F7F4"/>
            <w:tcMar>
              <w:top w:w="70" w:type="dxa"/>
              <w:left w:w="110" w:type="dxa"/>
              <w:bottom w:w="70" w:type="dxa"/>
              <w:right w:w="110" w:type="dxa"/>
            </w:tcMar>
            <w:vAlign w:val="center"/>
          </w:tcPr>
          <w:p>
            <w:pPr>
              <w:spacing w:before="0" w:after="0" w:line="252" w:lineRule="auto"/>
            </w:pPr>
            <w:r>
              <w:rPr>
                <w:b/>
                <w:bCs/>
                <w:color w:val="17261F"/>
                <w:sz w:val="17"/>
                <w:szCs w:val="17"/>
              </w:rPr>
              <w:t xml:space="preserve">Mantener informados</w:t>
            </w:r>
          </w:p>
        </w:tc>
        <w:tc>
          <w:tcPr>
            <w:tcW w:w="179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Mantener satisfechos</w:t>
            </w:r>
          </w:p>
        </w:tc>
      </w:tr>
      <w:tr>
        <w:trPr>
          <w:cantSplit/>
        </w:trPr>
        <w:tc>
          <w:tcPr>
            <w:tcW w:w="23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Operadores del jardín</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w:t>
            </w:r>
          </w:p>
        </w:tc>
        <w:tc>
          <w:tcPr>
            <w:tcW w:w="10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9</w:t>
            </w:r>
          </w:p>
        </w:tc>
        <w:tc>
          <w:tcPr>
            <w:tcW w:w="12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27</w:t>
            </w:r>
          </w:p>
        </w:tc>
        <w:tc>
          <w:tcPr>
            <w:tcW w:w="2098" w:type="dxa"/>
            <w:shd w:val="clear" w:color="auto" w:fill="FFFFFF"/>
            <w:tcMar>
              <w:top w:w="70" w:type="dxa"/>
              <w:left w:w="110" w:type="dxa"/>
              <w:bottom w:w="70" w:type="dxa"/>
              <w:right w:w="110" w:type="dxa"/>
            </w:tcMar>
            <w:vAlign w:val="center"/>
          </w:tcPr>
          <w:p>
            <w:pPr>
              <w:spacing w:before="0" w:after="0" w:line="252" w:lineRule="auto"/>
            </w:pPr>
            <w:r>
              <w:rPr>
                <w:b/>
                <w:bCs/>
                <w:color w:val="17261F"/>
                <w:sz w:val="17"/>
                <w:szCs w:val="17"/>
              </w:rPr>
              <w:t xml:space="preserve">Mantener informados</w:t>
            </w:r>
          </w:p>
        </w:tc>
        <w:tc>
          <w:tcPr>
            <w:tcW w:w="17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Mantener satisfechos</w:t>
            </w:r>
          </w:p>
        </w:tc>
      </w:tr>
      <w:tr>
        <w:trPr>
          <w:cantSplit/>
        </w:trPr>
        <w:tc>
          <w:tcPr>
            <w:tcW w:w="23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Institución patrocinadora</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w:t>
            </w:r>
          </w:p>
        </w:tc>
        <w:tc>
          <w:tcPr>
            <w:tcW w:w="10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w:t>
            </w:r>
          </w:p>
        </w:tc>
        <w:tc>
          <w:tcPr>
            <w:tcW w:w="12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16</w:t>
            </w:r>
          </w:p>
        </w:tc>
        <w:tc>
          <w:tcPr>
            <w:tcW w:w="2098" w:type="dxa"/>
            <w:shd w:val="clear" w:color="auto" w:fill="F2F7F4"/>
            <w:tcMar>
              <w:top w:w="70" w:type="dxa"/>
              <w:left w:w="110" w:type="dxa"/>
              <w:bottom w:w="70" w:type="dxa"/>
              <w:right w:w="110" w:type="dxa"/>
            </w:tcMar>
            <w:vAlign w:val="center"/>
          </w:tcPr>
          <w:p>
            <w:pPr>
              <w:spacing w:before="0" w:after="0" w:line="252" w:lineRule="auto"/>
            </w:pPr>
            <w:r>
              <w:rPr>
                <w:b/>
                <w:bCs/>
                <w:color w:val="17261F"/>
                <w:sz w:val="17"/>
                <w:szCs w:val="17"/>
              </w:rPr>
              <w:t xml:space="preserve">Mantener informados</w:t>
            </w:r>
          </w:p>
        </w:tc>
        <w:tc>
          <w:tcPr>
            <w:tcW w:w="179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Mantener satisfechos</w:t>
            </w:r>
          </w:p>
        </w:tc>
      </w:tr>
      <w:tr>
        <w:trPr>
          <w:cantSplit/>
        </w:trPr>
        <w:tc>
          <w:tcPr>
            <w:tcW w:w="23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Feria de emprendimiento</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w:t>
            </w:r>
          </w:p>
        </w:tc>
        <w:tc>
          <w:tcPr>
            <w:tcW w:w="10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w:t>
            </w:r>
          </w:p>
        </w:tc>
        <w:tc>
          <w:tcPr>
            <w:tcW w:w="12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20</w:t>
            </w:r>
          </w:p>
        </w:tc>
        <w:tc>
          <w:tcPr>
            <w:tcW w:w="209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Monitorear (en el límite)</w:t>
            </w:r>
          </w:p>
        </w:tc>
        <w:tc>
          <w:tcPr>
            <w:tcW w:w="17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Monitorear</w:t>
            </w:r>
          </w:p>
        </w:tc>
      </w:tr>
      <w:tr>
        <w:trPr>
          <w:cantSplit/>
        </w:trPr>
        <w:tc>
          <w:tcPr>
            <w:tcW w:w="23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Comunidad de código abierto</w:t>
            </w:r>
          </w:p>
        </w:tc>
        <w:tc>
          <w:tcPr>
            <w:tcW w:w="8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4</w:t>
            </w:r>
          </w:p>
        </w:tc>
        <w:tc>
          <w:tcPr>
            <w:tcW w:w="10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w:t>
            </w:r>
          </w:p>
        </w:tc>
        <w:tc>
          <w:tcPr>
            <w:tcW w:w="12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w:t>
            </w:r>
          </w:p>
        </w:tc>
        <w:tc>
          <w:tcPr>
            <w:tcW w:w="209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Monitorear</w:t>
            </w:r>
          </w:p>
        </w:tc>
        <w:tc>
          <w:tcPr>
            <w:tcW w:w="179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Monitorear</w:t>
            </w:r>
          </w:p>
        </w:tc>
      </w:tr>
      <w:tr>
        <w:trPr>
          <w:cantSplit/>
        </w:trPr>
        <w:tc>
          <w:tcPr>
            <w:tcW w:w="23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Servicios en la nube</w:t>
            </w:r>
          </w:p>
        </w:tc>
        <w:tc>
          <w:tcPr>
            <w:tcW w:w="8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w:t>
            </w:r>
          </w:p>
        </w:tc>
        <w:tc>
          <w:tcPr>
            <w:tcW w:w="10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12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w:t>
            </w:r>
          </w:p>
        </w:tc>
        <w:tc>
          <w:tcPr>
            <w:tcW w:w="209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Monitorear</w:t>
            </w:r>
          </w:p>
        </w:tc>
        <w:tc>
          <w:tcPr>
            <w:tcW w:w="17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Monitorear</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Tres de los nueve interesados tenían un manejo que no correspondía a su posición: con poder bajo e interés alto, la estrategia es </w:t>
            </w:r>
            <w:r>
              <w:rPr>
                <w:i/>
                <w:iCs/>
                <w:color w:val="17261F"/>
                <w:sz w:val="18"/>
                <w:szCs w:val="18"/>
              </w:rPr>
              <w:t xml:space="preserve">mantener informados</w:t>
            </w:r>
            <w:r>
              <w:rPr>
                <w:color w:val="17261F"/>
                <w:sz w:val="18"/>
                <w:szCs w:val="18"/>
              </w:rPr>
              <w:t xml:space="preserve">, no </w:t>
            </w:r>
            <w:r>
              <w:rPr>
                <w:i/>
                <w:iCs/>
                <w:color w:val="17261F"/>
                <w:sz w:val="18"/>
                <w:szCs w:val="18"/>
              </w:rPr>
              <w:t xml:space="preserve">mantener satisfechos</w:t>
            </w:r>
            <w:r>
              <w:rPr>
                <w:color w:val="17261F"/>
                <w:sz w:val="18"/>
                <w:szCs w:val="18"/>
              </w:rPr>
              <w:t xml:space="preserve">. Además, la columna de conclusiones quedó desplazada una fila y trae frases de otro contexto (ventas, una aplicación móvil, un equipo interno de TI), y la exposición oral ubicó a los proveedores de nube con poder alto mientras la matriz les daba 2. La tabla anterior es la versión corregida y es la que usa el </w:t>
            </w:r>
            <w:r>
              <w:rPr>
                <w:color w:val="1F6FA0"/>
                <w:sz w:val="18"/>
                <w:szCs w:val="18"/>
              </w:rPr>
              <w:t xml:space="preserve">recorrido del proyecto</w:t>
            </w:r>
            <w:r>
              <w:rPr>
                <w:color w:val="17261F"/>
                <w:sz w:val="18"/>
                <w:szCs w:val="18"/>
              </w:rPr>
              <w:t xml:space="preserve">.</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05</w:t>
      </w:r>
    </w:p>
    <w:p>
      <w:pPr>
        <w:pStyle w:val="Heading1"/>
      </w:pPr>
      <w:bookmarkStart w:id="123" w:name="sec_123"/>
      <w:r>
        <w:rPr>
          <w:b/>
          <w:bCs/>
          <w:color w:val="0B3D2B"/>
          <w:sz w:val="34"/>
          <w:szCs w:val="34"/>
        </w:rPr>
        <w:t xml:space="preserve">Marco lógico</w:t>
      </w:r>
      <w:bookmarkEnd w:id="123"/>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252"/>
        <w:gridCol w:w="2819"/>
        <w:gridCol w:w="2484"/>
        <w:gridCol w:w="2805"/>
      </w:tblGrid>
      <w:tr>
        <w:trPr>
          <w:cantSplit/>
          <w:tblHeader/>
        </w:trPr>
        <w:tc>
          <w:tcPr>
            <w:tcW w:w="125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NIVEL</w:t>
            </w:r>
          </w:p>
        </w:tc>
        <w:tc>
          <w:tcPr>
            <w:tcW w:w="28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RESUMEN NARRATIVO</w:t>
            </w:r>
          </w:p>
        </w:tc>
        <w:tc>
          <w:tcPr>
            <w:tcW w:w="248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INDICADOR PLANTEADO</w:t>
            </w:r>
          </w:p>
        </w:tc>
        <w:tc>
          <w:tcPr>
            <w:tcW w:w="280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EVIDENCIA HOY</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Fin</w:t>
            </w:r>
          </w:p>
        </w:tc>
        <w:tc>
          <w:tcPr>
            <w:tcW w:w="28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Contribuir a la sostenibilidad y eficiencia de la agricultura urbana mediante la tecnología</w:t>
            </w:r>
          </w:p>
        </w:tc>
        <w:tc>
          <w:tcPr>
            <w:tcW w:w="248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Menor consumo de agua; más uso de tecnologías de monitoreo</w:t>
            </w:r>
          </w:p>
        </w:tc>
        <w:tc>
          <w:tcPr>
            <w:tcW w:w="28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No medible todavía: requiere un prototipo físico y un ciclo de cultivo comparado</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Propósito</w:t>
            </w:r>
          </w:p>
        </w:tc>
        <w:tc>
          <w:tcPr>
            <w:tcW w:w="28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Optimizar la gestión de cultivos hidropónicos con monitoreo y control automatizados</w:t>
            </w:r>
          </w:p>
        </w:tc>
        <w:tc>
          <w:tcPr>
            <w:tcW w:w="248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95 % de precisión en la gestión de variables; menos tiempo de supervisión manual</w:t>
            </w:r>
          </w:p>
        </w:tc>
        <w:tc>
          <w:tcPr>
            <w:tcW w:w="28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agente actúa solo con el modo automático; «precisión» nunca se definió, así que no hay con qué comparar</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Resultado 1</w:t>
            </w:r>
          </w:p>
        </w:tc>
        <w:tc>
          <w:tcPr>
            <w:tcW w:w="28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Prototipo completo en simulación</w:t>
            </w:r>
          </w:p>
        </w:tc>
        <w:tc>
          <w:tcPr>
            <w:tcW w:w="248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Validación en Wokwi</w:t>
            </w:r>
          </w:p>
        </w:tc>
        <w:tc>
          <w:tcPr>
            <w:tcW w:w="28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firmware en Wokwi (cultivo real) y cultivos virtuales que publican por MQTT</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Resultado 2</w:t>
            </w:r>
          </w:p>
        </w:tc>
        <w:tc>
          <w:tcPr>
            <w:tcW w:w="28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Plataforma web con backend y frontend</w:t>
            </w:r>
          </w:p>
        </w:tc>
        <w:tc>
          <w:tcPr>
            <w:tcW w:w="248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con 80 % de cobertura de pruebas</w:t>
            </w:r>
          </w:p>
        </w:tc>
        <w:tc>
          <w:tcPr>
            <w:tcW w:w="28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Plataforma en producción con 260 pruebas; la cobertura no se mide formalmente</w:t>
            </w:r>
          </w:p>
        </w:tc>
      </w:tr>
      <w:tr>
        <w:trPr>
          <w:cantSplit/>
        </w:trPr>
        <w:tc>
          <w:tcPr>
            <w:tcW w:w="125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Resultado 3</w:t>
            </w:r>
          </w:p>
        </w:tc>
        <w:tc>
          <w:tcPr>
            <w:tcW w:w="28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Monitoreo y control en tiempo real</w:t>
            </w:r>
          </w:p>
        </w:tc>
        <w:tc>
          <w:tcPr>
            <w:tcW w:w="248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Sistema funcional</w:t>
            </w:r>
          </w:p>
        </w:tc>
        <w:tc>
          <w:tcPr>
            <w:tcW w:w="28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telemetría, comandos con confirmación y estado en línea</w:t>
            </w:r>
          </w:p>
        </w:tc>
      </w:tr>
      <w:tr>
        <w:trPr>
          <w:cantSplit/>
        </w:trPr>
        <w:tc>
          <w:tcPr>
            <w:tcW w:w="125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Actividades</w:t>
            </w:r>
          </w:p>
        </w:tc>
        <w:tc>
          <w:tcPr>
            <w:tcW w:w="28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Análisis y diseño; desarrollo; pruebas y validación; documentación y cierre</w:t>
            </w:r>
          </w:p>
        </w:tc>
        <w:tc>
          <w:tcPr>
            <w:tcW w:w="248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Cronograma y repositorios</w:t>
            </w:r>
          </w:p>
        </w:tc>
        <w:tc>
          <w:tcPr>
            <w:tcW w:w="28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Cumplidas en ciclos (parte VII)</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100" w:line="276" w:lineRule="auto"/>
            </w:pPr>
            <w:r>
              <w:rPr>
                <w:color w:val="17261F"/>
                <w:sz w:val="18"/>
                <w:szCs w:val="18"/>
              </w:rPr>
              <w:t xml:space="preserve">El marco lógico tenía la estructura correcta pero indicadores sin línea base, sin meta fechada y, sobre todo, sin supuestos: la columna que dice qué debe ser cierto fuera del proyecto para que funcione. Para el próximo ciclo se propone medir el propósito con un indicador que la plataforma ya puede calcular:</w:t>
            </w:r>
          </w:p>
          <w:p>
            <w:pPr>
              <w:ind w:left="300" w:hanging="220"/>
              <w:spacing w:before="0" w:after="40" w:line="276" w:lineRule="auto"/>
            </w:pPr>
            <w:r>
              <w:rPr>
                <w:b/>
                <w:bCs/>
                <w:color w:val="F2B632"/>
                <w:sz w:val="18"/>
                <w:szCs w:val="18"/>
              </w:rPr>
              <w:t xml:space="preserve">•</w:t>
            </w:r>
            <w:r>
              <w:tab/>
            </w:r>
            <w:r>
              <w:rPr>
                <w:b/>
                <w:bCs/>
                <w:color w:val="17261F"/>
                <w:sz w:val="18"/>
                <w:szCs w:val="18"/>
              </w:rPr>
              <w:t xml:space="preserve">Tiempo en rango:</w:t>
            </w:r>
            <w:r>
              <w:rPr>
                <w:color w:val="17261F"/>
                <w:sz w:val="18"/>
                <w:szCs w:val="18"/>
              </w:rPr>
              <w:t xml:space="preserve"> porcentaje de lecturas de cada cultivo dentro del rango ideal de su especie, por semana.</w:t>
            </w:r>
          </w:p>
          <w:p>
            <w:pPr>
              <w:ind w:left="300" w:hanging="220"/>
              <w:spacing w:before="0" w:after="40" w:line="276" w:lineRule="auto"/>
            </w:pPr>
            <w:r>
              <w:rPr>
                <w:b/>
                <w:bCs/>
                <w:color w:val="F2B632"/>
                <w:sz w:val="18"/>
                <w:szCs w:val="18"/>
              </w:rPr>
              <w:t xml:space="preserve">•</w:t>
            </w:r>
            <w:r>
              <w:tab/>
            </w:r>
            <w:r>
              <w:rPr>
                <w:b/>
                <w:bCs/>
                <w:color w:val="17261F"/>
                <w:sz w:val="18"/>
                <w:szCs w:val="18"/>
              </w:rPr>
              <w:t xml:space="preserve">Intervenciones manuales:</w:t>
            </w:r>
            <w:r>
              <w:rPr>
                <w:color w:val="17261F"/>
                <w:sz w:val="18"/>
                <w:szCs w:val="18"/>
              </w:rPr>
              <w:t xml:space="preserve"> comandos enviados por la persona frente a los ejecutados por el agente.</w:t>
            </w:r>
          </w:p>
          <w:p>
            <w:pPr>
              <w:ind w:left="300" w:hanging="220"/>
              <w:spacing w:before="0" w:after="0" w:line="276" w:lineRule="auto"/>
            </w:pPr>
            <w:r>
              <w:rPr>
                <w:b/>
                <w:bCs/>
                <w:color w:val="F2B632"/>
                <w:sz w:val="18"/>
                <w:szCs w:val="18"/>
              </w:rPr>
              <w:t xml:space="preserve">•</w:t>
            </w:r>
            <w:r>
              <w:tab/>
            </w:r>
            <w:r>
              <w:rPr>
                <w:b/>
                <w:bCs/>
                <w:color w:val="17261F"/>
                <w:sz w:val="18"/>
                <w:szCs w:val="18"/>
              </w:rPr>
              <w:t xml:space="preserve">Supuestos explícitos:</w:t>
            </w:r>
            <w:r>
              <w:rPr>
                <w:color w:val="17261F"/>
                <w:sz w:val="18"/>
                <w:szCs w:val="18"/>
              </w:rPr>
              <w:t xml:space="preserve"> el dispositivo tiene conexión estable, los sensores están calibrados y la persona activa el modo automático.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06</w:t>
      </w:r>
    </w:p>
    <w:p>
      <w:pPr>
        <w:pStyle w:val="Heading1"/>
      </w:pPr>
      <w:bookmarkStart w:id="124" w:name="sec_124"/>
      <w:r>
        <w:rPr>
          <w:b/>
          <w:bCs/>
          <w:color w:val="0B3D2B"/>
          <w:sz w:val="34"/>
          <w:szCs w:val="34"/>
        </w:rPr>
        <w:t xml:space="preserve">Estudio de mercado</w:t>
      </w:r>
      <w:bookmarkEnd w:id="124"/>
    </w:p>
    <w:p>
      <w:pPr>
        <w:pStyle w:val="Heading2"/>
      </w:pPr>
      <w:bookmarkStart w:id="125" w:name="sec_125"/>
      <w:r>
        <w:rPr>
          <w:b/>
          <w:bCs/>
          <w:color w:val="067A52"/>
          <w:sz w:val="25"/>
          <w:szCs w:val="25"/>
        </w:rPr>
        <w:t xml:space="preserve">6.1 Demanda y oferta</w:t>
      </w:r>
      <w:bookmarkEnd w:id="125"/>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6688"/>
        <w:gridCol w:w="2672"/>
      </w:tblGrid>
      <w:tr>
        <w:trPr>
          <w:cantSplit/>
          <w:tblHeader/>
        </w:trPr>
        <w:tc>
          <w:tcPr>
            <w:tcW w:w="66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SEGMENTO</w:t>
            </w:r>
          </w:p>
        </w:tc>
        <w:tc>
          <w:tcPr>
            <w:tcW w:w="267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DEMANDA INICIAL ESTIMADA</w:t>
            </w:r>
          </w:p>
        </w:tc>
      </w:tr>
      <w:tr>
        <w:trPr>
          <w:cantSplit/>
        </w:trPr>
        <w:tc>
          <w:tcPr>
            <w:tcW w:w="668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Horticultores urbanos y domésticos (Medellín, Bogotá, Cali)</w:t>
            </w:r>
          </w:p>
        </w:tc>
        <w:tc>
          <w:tcPr>
            <w:tcW w:w="26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500 a 2000 personas</w:t>
            </w:r>
          </w:p>
        </w:tc>
      </w:tr>
      <w:tr>
        <w:trPr>
          <w:cantSplit/>
        </w:trPr>
        <w:tc>
          <w:tcPr>
            <w:tcW w:w="668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Instituciones educativas y semilleros</w:t>
            </w:r>
          </w:p>
        </w:tc>
        <w:tc>
          <w:tcPr>
            <w:tcW w:w="26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 a 150 instituciones</w:t>
            </w:r>
          </w:p>
        </w:tc>
      </w:tr>
      <w:tr>
        <w:trPr>
          <w:cantSplit/>
        </w:trPr>
        <w:tc>
          <w:tcPr>
            <w:tcW w:w="6688" w:type="dxa"/>
            <w:shd w:val="clear" w:color="auto" w:fill="FFFFFF"/>
            <w:tcMar>
              <w:top w:w="70" w:type="dxa"/>
              <w:left w:w="110" w:type="dxa"/>
              <w:bottom w:w="70" w:type="dxa"/>
              <w:right w:w="110" w:type="dxa"/>
            </w:tcMar>
            <w:vAlign w:val="center"/>
          </w:tcPr>
          <w:p>
            <w:pPr>
              <w:spacing w:before="0" w:after="0" w:line="252" w:lineRule="auto"/>
            </w:pPr>
            <w:r>
              <w:rPr>
                <w:b/>
                <w:bCs/>
                <w:i/>
                <w:iCs/>
                <w:color w:val="0A5A3C"/>
                <w:sz w:val="17"/>
                <w:szCs w:val="17"/>
              </w:rPr>
              <w:t xml:space="preserve">Makers</w:t>
            </w:r>
            <w:r>
              <w:rPr>
                <w:b/>
                <w:bCs/>
                <w:color w:val="0A5A3C"/>
                <w:sz w:val="17"/>
                <w:szCs w:val="17"/>
              </w:rPr>
              <w:t xml:space="preserve"> y comunidad IoT</w:t>
            </w:r>
          </w:p>
        </w:tc>
        <w:tc>
          <w:tcPr>
            <w:tcW w:w="26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200 a 500 personas</w:t>
            </w:r>
          </w:p>
        </w:tc>
      </w:tr>
      <w:tr>
        <w:trPr>
          <w:cantSplit/>
        </w:trPr>
        <w:tc>
          <w:tcPr>
            <w:tcW w:w="668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Microproductores agrotecnológicos</w:t>
            </w:r>
          </w:p>
        </w:tc>
        <w:tc>
          <w:tcPr>
            <w:tcW w:w="26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100 a 300 personas</w:t>
            </w:r>
          </w:p>
        </w:tc>
      </w:tr>
    </w:tbl>
    <w:p>
      <w:pPr>
        <w:spacing w:before="160" w:after="0" w:line="240" w:lineRule="auto"/>
        <w:rPr>
          <w:sz w:val="8"/>
        </w:rPr>
      </w:pPr>
    </w:p>
    <w:p>
      <w:pPr>
        <w:spacing w:before="0" w:after="140" w:line="288" w:lineRule="auto"/>
      </w:pPr>
      <w:r>
        <w:rPr>
          <w:color w:val="17261F"/>
          <w:sz w:val="20"/>
          <w:szCs w:val="20"/>
        </w:rPr>
        <w:t xml:space="preserve">La oferta se describió como un oligopolio parcial con tres tipos de oferentes: sistemas comerciales de hidroponía inteligente (500 a 5000 USD, robustos pero caros), plataformas IoT genéricas (baratas pero sin el dominio hidropónico) y desarrollos caseros (gratuitos pero sin soporte). SmartPot se ubicó en el espacio vacío entre ellos: accesible, educativo y listo para usar.</w:t>
      </w:r>
    </w:p>
    <w:p>
      <w:pPr>
        <w:pStyle w:val="Heading2"/>
      </w:pPr>
      <w:bookmarkStart w:id="126" w:name="sec_126"/>
      <w:r>
        <w:rPr>
          <w:b/>
          <w:bCs/>
          <w:color w:val="067A52"/>
          <w:sz w:val="25"/>
          <w:szCs w:val="25"/>
        </w:rPr>
        <w:t xml:space="preserve">6.2 Coherencia de las cifras</w:t>
      </w:r>
      <w:bookmarkEnd w:id="126"/>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98"/>
        <w:gridCol w:w="1954"/>
        <w:gridCol w:w="2286"/>
        <w:gridCol w:w="3722"/>
      </w:tblGrid>
      <w:tr>
        <w:trPr>
          <w:cantSplit/>
          <w:tblHeader/>
        </w:trPr>
        <w:tc>
          <w:tcPr>
            <w:tcW w:w="139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DATO</w:t>
            </w:r>
          </w:p>
        </w:tc>
        <w:tc>
          <w:tcPr>
            <w:tcW w:w="195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PRESENTACIÓN DEL ESTUDIO</w:t>
            </w:r>
          </w:p>
        </w:tc>
        <w:tc>
          <w:tcPr>
            <w:tcW w:w="228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DOCUMENTO DEL ESTUDIO</w:t>
            </w:r>
          </w:p>
        </w:tc>
        <w:tc>
          <w:tcPr>
            <w:tcW w:w="372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OBSERVACIÓN</w:t>
            </w:r>
          </w:p>
        </w:tc>
      </w:tr>
      <w:tr>
        <w:trPr>
          <w:cantSplit/>
        </w:trPr>
        <w:tc>
          <w:tcPr>
            <w:tcW w:w="139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Plan Profesional</w:t>
            </w:r>
          </w:p>
        </w:tc>
        <w:tc>
          <w:tcPr>
            <w:tcW w:w="19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9 a 12 USD al mes</w:t>
            </w:r>
          </w:p>
        </w:tc>
        <w:tc>
          <w:tcPr>
            <w:tcW w:w="22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20 USD al mes</w:t>
            </w:r>
          </w:p>
        </w:tc>
        <w:tc>
          <w:tcPr>
            <w:tcW w:w="37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Dos precios para el mismo plan</w:t>
            </w:r>
          </w:p>
        </w:tc>
      </w:tr>
      <w:tr>
        <w:trPr>
          <w:cantSplit/>
        </w:trPr>
        <w:tc>
          <w:tcPr>
            <w:tcW w:w="139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Plan Empresarial</w:t>
            </w:r>
          </w:p>
        </w:tc>
        <w:tc>
          <w:tcPr>
            <w:tcW w:w="19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 a 100 USD al mes</w:t>
            </w:r>
          </w:p>
        </w:tc>
        <w:tc>
          <w:tcPr>
            <w:tcW w:w="22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100 USD al mes</w:t>
            </w:r>
          </w:p>
        </w:tc>
        <w:tc>
          <w:tcPr>
            <w:tcW w:w="372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Coherente en el tope</w:t>
            </w:r>
          </w:p>
        </w:tc>
      </w:tr>
      <w:tr>
        <w:trPr>
          <w:cantSplit/>
        </w:trPr>
        <w:tc>
          <w:tcPr>
            <w:tcW w:w="139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Costo del MVP</w:t>
            </w:r>
          </w:p>
        </w:tc>
        <w:tc>
          <w:tcPr>
            <w:tcW w:w="19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~20 USD al año</w:t>
            </w:r>
          </w:p>
        </w:tc>
        <w:tc>
          <w:tcPr>
            <w:tcW w:w="22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81 000 a 120 000 COP al año</w:t>
            </w:r>
          </w:p>
        </w:tc>
        <w:tc>
          <w:tcPr>
            <w:tcW w:w="37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mismo documento lista un servidor de 5 a 8 USD al mes, que ya suma 60 a 96 USD al año</w:t>
            </w:r>
          </w:p>
        </w:tc>
      </w:tr>
      <w:tr>
        <w:trPr>
          <w:cantSplit/>
        </w:trPr>
        <w:tc>
          <w:tcPr>
            <w:tcW w:w="139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Crecimiento</w:t>
            </w:r>
          </w:p>
        </w:tc>
        <w:tc>
          <w:tcPr>
            <w:tcW w:w="19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30 % a 40 % anual</w:t>
            </w:r>
          </w:p>
        </w:tc>
        <w:tc>
          <w:tcPr>
            <w:tcW w:w="22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 800–2900 a 2500–5000 personas</w:t>
            </w:r>
          </w:p>
        </w:tc>
        <w:tc>
          <w:tcPr>
            <w:tcW w:w="372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Pasar de un rango al otro implica crecer entre 72 % y 212 %</w:t>
            </w:r>
          </w:p>
        </w:tc>
      </w:tr>
      <w:tr>
        <w:trPr>
          <w:cantSplit/>
        </w:trPr>
        <w:tc>
          <w:tcPr>
            <w:tcW w:w="139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Demanda</w:t>
            </w:r>
          </w:p>
        </w:tc>
        <w:tc>
          <w:tcPr>
            <w:tcW w:w="19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Consumo nacional aparente</w:t>
            </w:r>
          </w:p>
        </w:tc>
        <w:tc>
          <w:tcPr>
            <w:tcW w:w="22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Producción + importaciones − exportaciones</w:t>
            </w:r>
          </w:p>
        </w:tc>
        <w:tc>
          <w:tcPr>
            <w:tcW w:w="37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Fórmula de bienes físicos; no se calculó para un servicio digital</w:t>
            </w:r>
          </w:p>
        </w:tc>
      </w:tr>
      <w:tr>
        <w:trPr>
          <w:cantSplit/>
        </w:trPr>
        <w:tc>
          <w:tcPr>
            <w:tcW w:w="139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Aceptación</w:t>
            </w:r>
          </w:p>
        </w:tc>
        <w:tc>
          <w:tcPr>
            <w:tcW w:w="195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75 % a 85 %</w:t>
            </w:r>
          </w:p>
        </w:tc>
        <w:tc>
          <w:tcPr>
            <w:tcW w:w="22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Probabilidad «alta»</w:t>
            </w:r>
          </w:p>
        </w:tc>
        <w:tc>
          <w:tcPr>
            <w:tcW w:w="372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Sin método ni fuente primaria</w:t>
            </w:r>
          </w:p>
        </w:tc>
      </w:tr>
      <w:tr>
        <w:trPr>
          <w:cantSplit/>
        </w:trPr>
        <w:tc>
          <w:tcPr>
            <w:tcW w:w="139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Valor percibido</w:t>
            </w:r>
          </w:p>
        </w:tc>
        <w:tc>
          <w:tcPr>
            <w:tcW w:w="195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w:t>
            </w:r>
          </w:p>
        </w:tc>
        <w:tc>
          <w:tcPr>
            <w:tcW w:w="22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Ahorro de agua del 90 %</w:t>
            </w:r>
          </w:p>
        </w:tc>
        <w:tc>
          <w:tcPr>
            <w:tcW w:w="37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 un beneficio de la hidroponía, no de SmartPot</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El estudio acertó en lo cualitativo: el nicho entre lo caro y lo casero existe, el canal académico es el natural y el costo de operación es bajo. Falló en lo cuantitativo: los rangos de demanda no salen de un cálculo, el precio cambió entre la presentación y el documento, y ninguna cifra tuvo fuente primaria. Su propia recomendación sigue vigente y es la prioridad comercial: </w:t>
            </w:r>
            <w:r>
              <w:rPr>
                <w:b/>
                <w:bCs/>
                <w:color w:val="17261F"/>
                <w:sz w:val="18"/>
                <w:szCs w:val="18"/>
              </w:rPr>
              <w:t xml:space="preserve">validar la demanda con un piloto académico y métricas de adopción</w:t>
            </w:r>
            <w:r>
              <w:rPr>
                <w:color w:val="17261F"/>
                <w:sz w:val="18"/>
                <w:szCs w:val="18"/>
              </w:rPr>
              <w:t xml:space="preserve"> antes de fijar precios.</w:t>
            </w:r>
          </w:p>
        </w:tc>
      </w:tr>
    </w:tbl>
    <w:p>
      <w:pPr>
        <w:spacing w:before="160" w:after="0" w:line="240" w:lineRule="auto"/>
        <w:rPr>
          <w:sz w:val="8"/>
        </w:rPr>
      </w:pPr>
    </w:p>
    <w:p>
      <w:pPr>
        <w:pStyle w:val="Heading2"/>
      </w:pPr>
      <w:bookmarkStart w:id="127" w:name="sec_127"/>
      <w:r>
        <w:rPr>
          <w:b/>
          <w:bCs/>
          <w:color w:val="067A52"/>
          <w:sz w:val="25"/>
          <w:szCs w:val="25"/>
        </w:rPr>
        <w:t xml:space="preserve">6.3 Qué quedó del estudio</w:t>
      </w:r>
      <w:bookmarkEnd w:id="127"/>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860"/>
        <w:gridCol w:w="6500"/>
      </w:tblGrid>
      <w:tr>
        <w:trPr>
          <w:cantSplit/>
          <w:tblHeader/>
        </w:trPr>
        <w:tc>
          <w:tcPr>
            <w:tcW w:w="286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RECOMENDACIÓN DEL ESTUDIO</w:t>
            </w:r>
          </w:p>
        </w:tc>
        <w:tc>
          <w:tcPr>
            <w:tcW w:w="65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ESTADO</w:t>
            </w:r>
          </w:p>
        </w:tc>
      </w:tr>
      <w:tr>
        <w:trPr>
          <w:cantSplit/>
        </w:trPr>
        <w:tc>
          <w:tcPr>
            <w:tcW w:w="28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Piloto académico con instituciones</w:t>
            </w:r>
          </w:p>
        </w:tc>
        <w:tc>
          <w:tcPr>
            <w:tcW w:w="65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Demo de un solo comando en GHCR y Docker Hub, pensada para aulas y semilleros</w:t>
            </w:r>
          </w:p>
        </w:tc>
      </w:tr>
      <w:tr>
        <w:trPr>
          <w:cantSplit/>
        </w:trPr>
        <w:tc>
          <w:tcPr>
            <w:tcW w:w="28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Métricas de adopción</w:t>
            </w:r>
          </w:p>
        </w:tc>
        <w:tc>
          <w:tcPr>
            <w:tcW w:w="65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Pendiente: la plataforma no registra analítica de uso; se propone un conteo agregado y anónimo de cuentas y cultivos activos</w:t>
            </w:r>
          </w:p>
        </w:tc>
      </w:tr>
      <w:tr>
        <w:trPr>
          <w:cantSplit/>
        </w:trPr>
        <w:tc>
          <w:tcPr>
            <w:tcW w:w="28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Canal directo, comunidad y academia</w:t>
            </w:r>
          </w:p>
        </w:tc>
        <w:tc>
          <w:tcPr>
            <w:tcW w:w="65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Portal en smartpot.app, organización pública en GitHub y documentación en español</w:t>
            </w:r>
          </w:p>
        </w:tc>
      </w:tr>
      <w:tr>
        <w:trPr>
          <w:cantSplit/>
        </w:trPr>
        <w:tc>
          <w:tcPr>
            <w:tcW w:w="28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Modelo </w:t>
            </w:r>
            <w:r>
              <w:rPr>
                <w:b/>
                <w:bCs/>
                <w:i/>
                <w:iCs/>
                <w:color w:val="0A5A3C"/>
                <w:sz w:val="17"/>
                <w:szCs w:val="17"/>
              </w:rPr>
              <w:t xml:space="preserve">freemium</w:t>
            </w:r>
          </w:p>
        </w:tc>
        <w:tc>
          <w:tcPr>
            <w:tcW w:w="65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No implementado: hoy todo es gratuito y de código abierto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07</w:t>
      </w:r>
    </w:p>
    <w:p>
      <w:pPr>
        <w:pStyle w:val="Heading1"/>
      </w:pPr>
      <w:bookmarkStart w:id="128" w:name="sec_128"/>
      <w:r>
        <w:rPr>
          <w:b/>
          <w:bCs/>
          <w:color w:val="0B3D2B"/>
          <w:sz w:val="34"/>
          <w:szCs w:val="34"/>
        </w:rPr>
        <w:t xml:space="preserve">Estudio técnico</w:t>
      </w:r>
      <w:bookmarkEnd w:id="128"/>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088"/>
        <w:gridCol w:w="2626"/>
        <w:gridCol w:w="4646"/>
      </w:tblGrid>
      <w:tr>
        <w:trPr>
          <w:cantSplit/>
          <w:tblHeader/>
        </w:trPr>
        <w:tc>
          <w:tcPr>
            <w:tcW w:w="20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ASPECTO</w:t>
            </w:r>
          </w:p>
        </w:tc>
        <w:tc>
          <w:tcPr>
            <w:tcW w:w="262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PLANTEADO EN LA FORMULACIÓN Y EL ACTA</w:t>
            </w:r>
          </w:p>
        </w:tc>
        <w:tc>
          <w:tcPr>
            <w:tcW w:w="464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RESUELTO EN LA PLATAFORMA</w:t>
            </w:r>
          </w:p>
        </w:tc>
      </w:tr>
      <w:tr>
        <w:trPr>
          <w:cantSplit/>
        </w:trPr>
        <w:tc>
          <w:tcPr>
            <w:tcW w:w="208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Localización</w:t>
            </w:r>
          </w:p>
        </w:tc>
        <w:tc>
          <w:tcPr>
            <w:tcW w:w="26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Capas gratuitas en la nube</w:t>
            </w:r>
          </w:p>
        </w:tc>
        <w:tc>
          <w:tcPr>
            <w:tcW w:w="46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servidor virtual propio con Nginx y TLS; dominios </w:t>
            </w:r>
            <w:r>
              <w:rPr>
                <w:rFonts w:ascii="JetBrains Mono" w:hAnsi="JetBrains Mono" w:eastAsia="JetBrains Mono" w:cs="JetBrains Mono"/>
                <w:color w:val="0A5A3C"/>
                <w:sz w:val="15"/>
                <w:szCs w:val="15"/>
              </w:rPr>
              <w:t xml:space="preserve">smartpot.app</w:t>
            </w:r>
            <w:r>
              <w:rPr>
                <w:color w:val="17261F"/>
                <w:sz w:val="17"/>
                <w:szCs w:val="17"/>
              </w:rPr>
              <w:t xml:space="preserve">, </w:t>
            </w:r>
            <w:r>
              <w:rPr>
                <w:rFonts w:ascii="JetBrains Mono" w:hAnsi="JetBrains Mono" w:eastAsia="JetBrains Mono" w:cs="JetBrains Mono"/>
                <w:color w:val="0A5A3C"/>
                <w:sz w:val="15"/>
                <w:szCs w:val="15"/>
              </w:rPr>
              <w:t xml:space="preserve">api</w:t>
            </w:r>
            <w:r>
              <w:rPr>
                <w:color w:val="17261F"/>
                <w:sz w:val="17"/>
                <w:szCs w:val="17"/>
              </w:rPr>
              <w:t xml:space="preserve">, </w:t>
            </w:r>
            <w:r>
              <w:rPr>
                <w:rFonts w:ascii="JetBrains Mono" w:hAnsi="JetBrains Mono" w:eastAsia="JetBrains Mono" w:cs="JetBrains Mono"/>
                <w:color w:val="0A5A3C"/>
                <w:sz w:val="15"/>
                <w:szCs w:val="15"/>
              </w:rPr>
              <w:t xml:space="preserve">mqtt</w:t>
            </w:r>
            <w:r>
              <w:rPr>
                <w:color w:val="17261F"/>
                <w:sz w:val="17"/>
                <w:szCs w:val="17"/>
              </w:rPr>
              <w:t xml:space="preserve"> y </w:t>
            </w:r>
            <w:r>
              <w:rPr>
                <w:rFonts w:ascii="JetBrains Mono" w:hAnsi="JetBrains Mono" w:eastAsia="JetBrains Mono" w:cs="JetBrains Mono"/>
                <w:color w:val="0A5A3C"/>
                <w:sz w:val="15"/>
                <w:szCs w:val="15"/>
              </w:rPr>
              <w:t xml:space="preserve">mail</w:t>
            </w:r>
          </w:p>
        </w:tc>
      </w:tr>
      <w:tr>
        <w:trPr>
          <w:cantSplit/>
        </w:trPr>
        <w:tc>
          <w:tcPr>
            <w:tcW w:w="208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Tamaño</w:t>
            </w:r>
          </w:p>
        </w:tc>
        <w:tc>
          <w:tcPr>
            <w:tcW w:w="26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MVP para dos especies</w:t>
            </w:r>
          </w:p>
        </w:tc>
        <w:tc>
          <w:tcPr>
            <w:tcW w:w="46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Ocho contenedores; seis especies; una lectura cada 5 s como máximo por cultivo; hasta 5 cultivos virtuales por cuenta; cuatro formas de cultivo</w:t>
            </w:r>
          </w:p>
        </w:tc>
      </w:tr>
      <w:tr>
        <w:trPr>
          <w:cantSplit/>
        </w:trPr>
        <w:tc>
          <w:tcPr>
            <w:tcW w:w="208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Proceso</w:t>
            </w:r>
          </w:p>
        </w:tc>
        <w:tc>
          <w:tcPr>
            <w:tcW w:w="26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ESP32 que envía datos a la API por HTTP</w:t>
            </w:r>
          </w:p>
        </w:tc>
        <w:tc>
          <w:tcPr>
            <w:tcW w:w="46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Telemetría y comandos por MQTT v1 con QoS 1, confirmación y última voluntad</w:t>
            </w:r>
          </w:p>
        </w:tc>
      </w:tr>
      <w:tr>
        <w:trPr>
          <w:cantSplit/>
        </w:trPr>
        <w:tc>
          <w:tcPr>
            <w:tcW w:w="208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Tecnología</w:t>
            </w:r>
          </w:p>
        </w:tc>
        <w:tc>
          <w:tcPr>
            <w:tcW w:w="26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Java 17, H2 o MySQL con JPA, React con Vite</w:t>
            </w:r>
          </w:p>
        </w:tc>
        <w:tc>
          <w:tcPr>
            <w:tcW w:w="46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Java 21 con Spring Boot 4.1, MongoDB 8, Redis, FastAPI con scikit-learn, React 19 como PWA</w:t>
            </w:r>
          </w:p>
        </w:tc>
      </w:tr>
      <w:tr>
        <w:trPr>
          <w:cantSplit/>
        </w:trPr>
        <w:tc>
          <w:tcPr>
            <w:tcW w:w="208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Seguridad</w:t>
            </w:r>
          </w:p>
        </w:tc>
        <w:tc>
          <w:tcPr>
            <w:tcW w:w="26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AES y límite de peticiones</w:t>
            </w:r>
          </w:p>
        </w:tc>
        <w:tc>
          <w:tcPr>
            <w:tcW w:w="46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Lo anterior más control de dueño, cuenta MQTT por cultivo, contenedores endurecidos, CodeQL y SBOM</w:t>
            </w:r>
          </w:p>
        </w:tc>
      </w:tr>
      <w:tr>
        <w:trPr>
          <w:cantSplit/>
        </w:trPr>
        <w:tc>
          <w:tcPr>
            <w:tcW w:w="208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Insumos para el prototipo físico</w:t>
            </w:r>
          </w:p>
        </w:tc>
        <w:tc>
          <w:tcPr>
            <w:tcW w:w="26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Cotización de sensores y actuadores</w:t>
            </w:r>
          </w:p>
        </w:tc>
        <w:tc>
          <w:tcPr>
            <w:tcW w:w="46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Sensores de pH y TDS de 25 a 40 USD cada uno, ESP32 de 20 a 30 USD y bombas de 15 a 50 USD: del orden de 85 a 160 USD sin la estructura hidráulica</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LECTURA CRÍTICA</w:t>
            </w:r>
          </w:p>
          <w:p>
            <w:pPr>
              <w:spacing w:before="0" w:after="0" w:line="276" w:lineRule="auto"/>
            </w:pPr>
            <w:r>
              <w:rPr>
                <w:color w:val="17261F"/>
                <w:sz w:val="18"/>
                <w:szCs w:val="18"/>
              </w:rPr>
              <w:t xml:space="preserve">El estudio técnico original era una lista de tecnologías más que un estudio de capacidad. La plataforma respondió las preguntas que faltaban (cuánto aguanta, dónde corre, cómo se asegura) con decisiones medibles: límites por cultivo, validadores de datos, pruebas de humo de cada imagen y un endpoint </w:t>
            </w:r>
            <w:r>
              <w:rPr>
                <w:rFonts w:ascii="JetBrains Mono" w:hAnsi="JetBrains Mono" w:eastAsia="JetBrains Mono" w:cs="JetBrains Mono"/>
                <w:color w:val="0A5A3C"/>
                <w:sz w:val="16"/>
                <w:szCs w:val="16"/>
              </w:rPr>
              <w:t xml:space="preserve">/health</w:t>
            </w:r>
            <w:r>
              <w:rPr>
                <w:color w:val="17261F"/>
                <w:sz w:val="18"/>
                <w:szCs w:val="18"/>
              </w:rPr>
              <w:t xml:space="preserve"> por servicio.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08</w:t>
      </w:r>
    </w:p>
    <w:p>
      <w:pPr>
        <w:pStyle w:val="Heading1"/>
      </w:pPr>
      <w:bookmarkStart w:id="129" w:name="sec_129"/>
      <w:r>
        <w:rPr>
          <w:b/>
          <w:bCs/>
          <w:color w:val="0B3D2B"/>
          <w:sz w:val="34"/>
          <w:szCs w:val="34"/>
        </w:rPr>
        <w:t xml:space="preserve">Estudio financiero y evaluación</w:t>
      </w:r>
      <w:bookmarkEnd w:id="129"/>
    </w:p>
    <w:p>
      <w:pPr>
        <w:pStyle w:val="Heading2"/>
      </w:pPr>
      <w:bookmarkStart w:id="130" w:name="sec_130"/>
      <w:r>
        <w:rPr>
          <w:b/>
          <w:bCs/>
          <w:color w:val="067A52"/>
          <w:sz w:val="25"/>
          <w:szCs w:val="25"/>
        </w:rPr>
        <w:t xml:space="preserve">8.1 Presupuestos</w:t>
      </w:r>
      <w:bookmarkEnd w:id="130"/>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03"/>
        <w:gridCol w:w="1275"/>
        <w:gridCol w:w="5982"/>
      </w:tblGrid>
      <w:tr>
        <w:trPr>
          <w:cantSplit/>
          <w:tblHeader/>
        </w:trPr>
        <w:tc>
          <w:tcPr>
            <w:tcW w:w="210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DOCUMENTO</w:t>
            </w:r>
          </w:p>
        </w:tc>
        <w:tc>
          <w:tcPr>
            <w:tcW w:w="127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MONTO</w:t>
            </w:r>
          </w:p>
        </w:tc>
        <w:tc>
          <w:tcPr>
            <w:tcW w:w="59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COMPOSICIÓN</w:t>
            </w:r>
          </w:p>
        </w:tc>
      </w:tr>
      <w:tr>
        <w:trPr>
          <w:cantSplit/>
        </w:trPr>
        <w:tc>
          <w:tcPr>
            <w:tcW w:w="21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Acta de constitución</w:t>
            </w:r>
          </w:p>
        </w:tc>
        <w:tc>
          <w:tcPr>
            <w:tcW w:w="12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1 000 000 COP</w:t>
            </w:r>
          </w:p>
        </w:tc>
        <w:tc>
          <w:tcPr>
            <w:tcW w:w="59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40 % infraestructura, 0 % licencias, 50 % tiempo del equipo, 10 % documentación</w:t>
            </w:r>
          </w:p>
        </w:tc>
      </w:tr>
      <w:tr>
        <w:trPr>
          <w:cantSplit/>
        </w:trPr>
        <w:tc>
          <w:tcPr>
            <w:tcW w:w="21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Restricción del mismo acta</w:t>
            </w:r>
          </w:p>
        </w:tc>
        <w:tc>
          <w:tcPr>
            <w:tcW w:w="127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0 a 50 USD</w:t>
            </w:r>
          </w:p>
        </w:tc>
        <w:tc>
          <w:tcPr>
            <w:tcW w:w="59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Solo herramientas abiertas y capas gratuitas</w:t>
            </w:r>
          </w:p>
        </w:tc>
      </w:tr>
      <w:tr>
        <w:trPr>
          <w:cantSplit/>
        </w:trPr>
        <w:tc>
          <w:tcPr>
            <w:tcW w:w="21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Propuesta de investigación</w:t>
            </w:r>
          </w:p>
        </w:tc>
        <w:tc>
          <w:tcPr>
            <w:tcW w:w="12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108 606 000 COP</w:t>
            </w:r>
          </w:p>
        </w:tc>
        <w:tc>
          <w:tcPr>
            <w:tcW w:w="59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45 000 000 COP de flujo institucional y 63 606 000 COP de recursos propios; 67,2 millones en equipos</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B83232"/>
            </w:tcBorders>
            <w:shd w:val="clear" w:color="auto" w:fill="FBE4E4"/>
            <w:tcMar>
              <w:top w:w="140" w:type="dxa"/>
              <w:left w:w="220" w:type="dxa"/>
              <w:bottom w:w="140" w:type="dxa"/>
              <w:right w:w="220" w:type="dxa"/>
            </w:tcMar>
            <w:vAlign w:val="top"/>
          </w:tcPr>
          <w:p>
            <w:pPr>
              <w:spacing w:before="0" w:after="60" w:line="240" w:lineRule="auto"/>
            </w:pPr>
            <w:r>
              <w:rPr>
                <w:b/>
                <w:bCs/>
                <w:color w:val="B83232"/>
                <w:spacing w:val="40"/>
                <w:sz w:val="15"/>
                <w:szCs w:val="15"/>
              </w:rPr>
              <w:t xml:space="preserve">LECTURA CRÍTICA</w:t>
            </w:r>
          </w:p>
          <w:p>
            <w:pPr>
              <w:spacing w:before="0" w:after="0" w:line="276" w:lineRule="auto"/>
            </w:pPr>
            <w:r>
              <w:rPr>
                <w:color w:val="17261F"/>
                <w:sz w:val="18"/>
                <w:szCs w:val="18"/>
              </w:rPr>
              <w:t xml:space="preserve">El acta se contradice: asigna un millón de pesos y a la vez restringe el gasto a 50 USD, unos 200 000 COP. La propuesta de investigación multiplica ese monto por cien y su lista de equipos (cabina para microorganismos, autoclave, incubadora, microscopio) viene de una plantilla de otra disciplina: no corresponde a un sistema hidropónico con ESP32. Un presupuesto de investigación coherente con SmartPot se arma con el prototipo físico (sección 7), el tiempo del equipo y la socialización de resultados.</w:t>
            </w:r>
          </w:p>
        </w:tc>
      </w:tr>
    </w:tbl>
    <w:p>
      <w:pPr>
        <w:spacing w:before="160" w:after="0" w:line="240" w:lineRule="auto"/>
        <w:rPr>
          <w:sz w:val="8"/>
        </w:rPr>
      </w:pPr>
    </w:p>
    <w:p>
      <w:pPr>
        <w:pStyle w:val="Heading2"/>
      </w:pPr>
      <w:bookmarkStart w:id="131" w:name="sec_131"/>
      <w:r>
        <w:rPr>
          <w:b/>
          <w:bCs/>
          <w:color w:val="067A52"/>
          <w:sz w:val="25"/>
          <w:szCs w:val="25"/>
        </w:rPr>
        <w:t xml:space="preserve">8.2 Modelo de evaluación</w:t>
      </w:r>
      <w:bookmarkEnd w:id="131"/>
    </w:p>
    <w:p>
      <w:pPr>
        <w:spacing w:before="0" w:after="140" w:line="288" w:lineRule="auto"/>
      </w:pPr>
      <w:r>
        <w:rPr>
          <w:color w:val="17261F"/>
          <w:sz w:val="20"/>
          <w:szCs w:val="20"/>
        </w:rPr>
        <w:t xml:space="preserve">El proyecto nunca tuvo un flujo de caja. Este modelo lo construye con los datos del estudio de mercado y supuestos explícitos, para responder la pregunta que el estudio dejó abierta: ¿qué tendría que pasar para que SmartPot se sostenga?</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45"/>
        <w:gridCol w:w="4033"/>
        <w:gridCol w:w="3182"/>
      </w:tblGrid>
      <w:tr>
        <w:trPr>
          <w:cantSplit/>
          <w:tblHeader/>
        </w:trPr>
        <w:tc>
          <w:tcPr>
            <w:tcW w:w="214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SUPUESTO</w:t>
            </w:r>
          </w:p>
        </w:tc>
        <w:tc>
          <w:tcPr>
            <w:tcW w:w="403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c>
          <w:tcPr>
            <w:tcW w:w="31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ORIGEN</w:t>
            </w:r>
          </w:p>
        </w:tc>
      </w:tr>
      <w:tr>
        <w:trPr>
          <w:cantSplit/>
        </w:trPr>
        <w:tc>
          <w:tcPr>
            <w:tcW w:w="21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Horizonte</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Año 0 de inversión, año 1 académico y gratuito, años 2 y 3 comerciales</w:t>
            </w:r>
          </w:p>
        </w:tc>
        <w:tc>
          <w:tcPr>
            <w:tcW w:w="31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Fases de precios del estudio</w:t>
            </w:r>
          </w:p>
        </w:tc>
      </w:tr>
      <w:tr>
        <w:trPr>
          <w:cantSplit/>
        </w:trPr>
        <w:tc>
          <w:tcPr>
            <w:tcW w:w="21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Inversión</w:t>
            </w:r>
          </w:p>
        </w:tc>
        <w:tc>
          <w:tcPr>
            <w:tcW w:w="403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1 000 000 COP</w:t>
            </w:r>
          </w:p>
        </w:tc>
        <w:tc>
          <w:tcPr>
            <w:tcW w:w="31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Acta de constitución</w:t>
            </w:r>
          </w:p>
        </w:tc>
      </w:tr>
      <w:tr>
        <w:trPr>
          <w:cantSplit/>
        </w:trPr>
        <w:tc>
          <w:tcPr>
            <w:tcW w:w="21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Operación del MVP</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120 000 COP al año</w:t>
            </w:r>
          </w:p>
        </w:tc>
        <w:tc>
          <w:tcPr>
            <w:tcW w:w="31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Tope del estudio de mercado</w:t>
            </w:r>
          </w:p>
        </w:tc>
      </w:tr>
      <w:tr>
        <w:trPr>
          <w:cantSplit/>
        </w:trPr>
        <w:tc>
          <w:tcPr>
            <w:tcW w:w="21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Operación en escalamiento</w:t>
            </w:r>
          </w:p>
        </w:tc>
        <w:tc>
          <w:tcPr>
            <w:tcW w:w="403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20 USD al mes</w:t>
            </w:r>
          </w:p>
        </w:tc>
        <w:tc>
          <w:tcPr>
            <w:tcW w:w="31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Tope del estudio de mercado</w:t>
            </w:r>
          </w:p>
        </w:tc>
      </w:tr>
      <w:tr>
        <w:trPr>
          <w:cantSplit/>
        </w:trPr>
        <w:tc>
          <w:tcPr>
            <w:tcW w:w="21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Tasa de cambio y de descuento</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4000 COP por USD; 12 % anual</w:t>
            </w:r>
          </w:p>
        </w:tc>
        <w:tc>
          <w:tcPr>
            <w:tcW w:w="31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Supuestos de este análisis</w:t>
            </w:r>
          </w:p>
        </w:tc>
      </w:tr>
      <w:tr>
        <w:trPr>
          <w:cantSplit/>
        </w:trPr>
        <w:tc>
          <w:tcPr>
            <w:tcW w:w="214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Comisión de pago</w:t>
            </w:r>
          </w:p>
        </w:tc>
        <w:tc>
          <w:tcPr>
            <w:tcW w:w="403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5 % del ingreso</w:t>
            </w:r>
          </w:p>
        </w:tc>
        <w:tc>
          <w:tcPr>
            <w:tcW w:w="31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Supuesto de este análisis</w:t>
            </w:r>
          </w:p>
        </w:tc>
      </w:tr>
      <w:tr>
        <w:trPr>
          <w:cantSplit/>
        </w:trPr>
        <w:tc>
          <w:tcPr>
            <w:tcW w:w="214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Costo del equipo</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1 300 000 COP al mes: una persona a medio tiempo desde el año 2</w:t>
            </w:r>
          </w:p>
        </w:tc>
        <w:tc>
          <w:tcPr>
            <w:tcW w:w="31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Rubro de personal de la propuesta de investigación</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602"/>
        <w:gridCol w:w="2637"/>
        <w:gridCol w:w="1748"/>
        <w:gridCol w:w="1185"/>
        <w:gridCol w:w="2188"/>
      </w:tblGrid>
      <w:tr>
        <w:trPr>
          <w:cantSplit/>
          <w:tblHeader/>
        </w:trPr>
        <w:tc>
          <w:tcPr>
            <w:tcW w:w="160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ESCENARIO</w:t>
            </w:r>
          </w:p>
        </w:tc>
        <w:tc>
          <w:tcPr>
            <w:tcW w:w="26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USUARIOS AÑO 2</w:t>
            </w:r>
          </w:p>
        </w:tc>
        <w:tc>
          <w:tcPr>
            <w:tcW w:w="174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CONVERSIÓN A PAGO</w:t>
            </w:r>
          </w:p>
        </w:tc>
        <w:tc>
          <w:tcPr>
            <w:tcW w:w="118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PRECIO</w:t>
            </w:r>
          </w:p>
        </w:tc>
        <w:tc>
          <w:tcPr>
            <w:tcW w:w="21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SUSCRIPCIONES AÑO 2</w:t>
            </w:r>
          </w:p>
        </w:tc>
      </w:tr>
      <w:tr>
        <w:trPr>
          <w:cantSplit/>
        </w:trPr>
        <w:tc>
          <w:tcPr>
            <w:tcW w:w="16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Conservador</w:t>
            </w:r>
          </w:p>
        </w:tc>
        <w:tc>
          <w:tcPr>
            <w:tcW w:w="26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2500 (+30 % al año 3)</w:t>
            </w:r>
          </w:p>
        </w:tc>
        <w:tc>
          <w:tcPr>
            <w:tcW w:w="174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1 %</w:t>
            </w:r>
          </w:p>
        </w:tc>
        <w:tc>
          <w:tcPr>
            <w:tcW w:w="118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9 USD</w:t>
            </w:r>
          </w:p>
        </w:tc>
        <w:tc>
          <w:tcPr>
            <w:tcW w:w="2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25</w:t>
            </w:r>
          </w:p>
        </w:tc>
      </w:tr>
      <w:tr>
        <w:trPr>
          <w:cantSplit/>
        </w:trPr>
        <w:tc>
          <w:tcPr>
            <w:tcW w:w="16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Base</w:t>
            </w:r>
          </w:p>
        </w:tc>
        <w:tc>
          <w:tcPr>
            <w:tcW w:w="26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3750 (+35 %)</w:t>
            </w:r>
          </w:p>
        </w:tc>
        <w:tc>
          <w:tcPr>
            <w:tcW w:w="174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3 %</w:t>
            </w:r>
          </w:p>
        </w:tc>
        <w:tc>
          <w:tcPr>
            <w:tcW w:w="118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10,5 USD</w:t>
            </w:r>
          </w:p>
        </w:tc>
        <w:tc>
          <w:tcPr>
            <w:tcW w:w="2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112</w:t>
            </w:r>
          </w:p>
        </w:tc>
      </w:tr>
      <w:tr>
        <w:trPr>
          <w:cantSplit/>
        </w:trPr>
        <w:tc>
          <w:tcPr>
            <w:tcW w:w="16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Optimista</w:t>
            </w:r>
          </w:p>
        </w:tc>
        <w:tc>
          <w:tcPr>
            <w:tcW w:w="26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5000 (+40 %)</w:t>
            </w:r>
          </w:p>
        </w:tc>
        <w:tc>
          <w:tcPr>
            <w:tcW w:w="174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5 %</w:t>
            </w:r>
          </w:p>
        </w:tc>
        <w:tc>
          <w:tcPr>
            <w:tcW w:w="118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12 USD</w:t>
            </w:r>
          </w:p>
        </w:tc>
        <w:tc>
          <w:tcPr>
            <w:tcW w:w="2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250</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924"/>
        <w:gridCol w:w="2764"/>
        <w:gridCol w:w="1020"/>
        <w:gridCol w:w="2764"/>
        <w:gridCol w:w="888"/>
      </w:tblGrid>
      <w:tr>
        <w:trPr>
          <w:cantSplit/>
          <w:tblHeader/>
        </w:trPr>
        <w:tc>
          <w:tcPr>
            <w:tcW w:w="192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ESCENARIO</w:t>
            </w:r>
          </w:p>
        </w:tc>
        <w:tc>
          <w:tcPr>
            <w:tcW w:w="276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VPN SIN COSTO DEL EQUIPO</w:t>
            </w:r>
          </w:p>
        </w:tc>
        <w:tc>
          <w:tcPr>
            <w:tcW w:w="10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B/C</w:t>
            </w:r>
          </w:p>
        </w:tc>
        <w:tc>
          <w:tcPr>
            <w:tcW w:w="276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VPN CON UNA PERSONA A MEDIO TIEMPO</w:t>
            </w:r>
          </w:p>
        </w:tc>
        <w:tc>
          <w:tcPr>
            <w:tcW w:w="8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B/C</w:t>
            </w:r>
          </w:p>
        </w:tc>
      </w:tr>
      <w:tr>
        <w:trPr>
          <w:cantSplit/>
        </w:trPr>
        <w:tc>
          <w:tcPr>
            <w:tcW w:w="192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Conservador</w:t>
            </w:r>
          </w:p>
        </w:tc>
        <w:tc>
          <w:tcPr>
            <w:tcW w:w="27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14,9 millones COP</w:t>
            </w:r>
          </w:p>
        </w:tc>
        <w:tc>
          <w:tcPr>
            <w:tcW w:w="10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5,07</w:t>
            </w:r>
          </w:p>
        </w:tc>
        <w:tc>
          <w:tcPr>
            <w:tcW w:w="27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−8,6 millones COP</w:t>
            </w:r>
          </w:p>
        </w:tc>
        <w:tc>
          <w:tcPr>
            <w:tcW w:w="8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0,68</w:t>
            </w:r>
          </w:p>
        </w:tc>
      </w:tr>
      <w:tr>
        <w:trPr>
          <w:cantSplit/>
        </w:trPr>
        <w:tc>
          <w:tcPr>
            <w:tcW w:w="192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Base</w:t>
            </w:r>
          </w:p>
        </w:tc>
        <w:tc>
          <w:tcPr>
            <w:tcW w:w="27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92,0 millones COP</w:t>
            </w:r>
          </w:p>
        </w:tc>
        <w:tc>
          <w:tcPr>
            <w:tcW w:w="10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12,91</w:t>
            </w:r>
          </w:p>
        </w:tc>
        <w:tc>
          <w:tcPr>
            <w:tcW w:w="27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68,4 millones COP</w:t>
            </w:r>
          </w:p>
        </w:tc>
        <w:tc>
          <w:tcPr>
            <w:tcW w:w="8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3,19</w:t>
            </w:r>
          </w:p>
        </w:tc>
      </w:tr>
      <w:tr>
        <w:trPr>
          <w:cantSplit/>
        </w:trPr>
        <w:tc>
          <w:tcPr>
            <w:tcW w:w="192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Optimista</w:t>
            </w:r>
          </w:p>
        </w:tc>
        <w:tc>
          <w:tcPr>
            <w:tcW w:w="27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242,6 millones COP</w:t>
            </w:r>
          </w:p>
        </w:tc>
        <w:tc>
          <w:tcPr>
            <w:tcW w:w="10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16,50</w:t>
            </w:r>
          </w:p>
        </w:tc>
        <w:tc>
          <w:tcPr>
            <w:tcW w:w="27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219,1 millones COP</w:t>
            </w:r>
          </w:p>
        </w:tc>
        <w:tc>
          <w:tcPr>
            <w:tcW w:w="8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6,59</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850"/>
        <w:gridCol w:w="3173"/>
        <w:gridCol w:w="3337"/>
      </w:tblGrid>
      <w:tr>
        <w:trPr>
          <w:cantSplit/>
          <w:tblHeader/>
        </w:trPr>
        <w:tc>
          <w:tcPr>
            <w:tcW w:w="285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PRECIO DEL PLAN</w:t>
            </w:r>
          </w:p>
        </w:tc>
        <w:tc>
          <w:tcPr>
            <w:tcW w:w="31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PUNTO DE EQUILIBRIO SIN EQUIPO</w:t>
            </w:r>
          </w:p>
        </w:tc>
        <w:tc>
          <w:tcPr>
            <w:tcW w:w="33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 UNA PERSONA A MEDIO TIEMPO</w:t>
            </w:r>
          </w:p>
        </w:tc>
      </w:tr>
      <w:tr>
        <w:trPr>
          <w:cantSplit/>
        </w:trPr>
        <w:tc>
          <w:tcPr>
            <w:tcW w:w="285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9 USD al mes</w:t>
            </w:r>
          </w:p>
        </w:tc>
        <w:tc>
          <w:tcPr>
            <w:tcW w:w="3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2,6 suscripciones</w:t>
            </w:r>
          </w:p>
        </w:tc>
        <w:tc>
          <w:tcPr>
            <w:tcW w:w="33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40,6 suscripciones</w:t>
            </w:r>
          </w:p>
        </w:tc>
      </w:tr>
      <w:tr>
        <w:trPr>
          <w:cantSplit/>
        </w:trPr>
        <w:tc>
          <w:tcPr>
            <w:tcW w:w="285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10,5 USD al mes</w:t>
            </w:r>
          </w:p>
        </w:tc>
        <w:tc>
          <w:tcPr>
            <w:tcW w:w="31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2,3 suscripciones</w:t>
            </w:r>
          </w:p>
        </w:tc>
        <w:tc>
          <w:tcPr>
            <w:tcW w:w="33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34,8 suscripciones</w:t>
            </w:r>
          </w:p>
        </w:tc>
      </w:tr>
      <w:tr>
        <w:trPr>
          <w:cantSplit/>
        </w:trPr>
        <w:tc>
          <w:tcPr>
            <w:tcW w:w="285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12 USD al mes</w:t>
            </w:r>
          </w:p>
        </w:tc>
        <w:tc>
          <w:tcPr>
            <w:tcW w:w="3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2,0 suscripciones</w:t>
            </w:r>
          </w:p>
        </w:tc>
        <w:tc>
          <w:tcPr>
            <w:tcW w:w="33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30,5 suscripciones</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100" w:line="276" w:lineRule="auto"/>
            </w:pPr>
            <w:r>
              <w:rPr>
                <w:color w:val="17261F"/>
                <w:sz w:val="18"/>
                <w:szCs w:val="18"/>
              </w:rPr>
              <w:t xml:space="preserve">La TIR no aporta aquí: con una inversión de un millón y flujos de decenas de millones da valores de varios cientos por ciento o no existe. Lo que decide la viabilidad es otra cosa:</w:t>
            </w:r>
          </w:p>
          <w:p>
            <w:pPr>
              <w:ind w:left="300" w:hanging="220"/>
              <w:spacing w:before="0" w:after="40" w:line="276" w:lineRule="auto"/>
            </w:pPr>
            <w:r>
              <w:rPr>
                <w:b/>
                <w:bCs/>
                <w:color w:val="F2B632"/>
                <w:sz w:val="18"/>
                <w:szCs w:val="18"/>
              </w:rPr>
              <w:t xml:space="preserve">•</w:t>
            </w:r>
            <w:r>
              <w:tab/>
            </w:r>
            <w:r>
              <w:rPr>
                <w:color w:val="17261F"/>
                <w:sz w:val="18"/>
                <w:szCs w:val="18"/>
              </w:rPr>
              <w:t xml:space="preserve">La infraestructura casi no pesa: dos o tres suscripciones la pagan.</w:t>
            </w:r>
          </w:p>
          <w:p>
            <w:pPr>
              <w:ind w:left="300" w:hanging="220"/>
              <w:spacing w:before="0" w:after="40" w:line="276" w:lineRule="auto"/>
            </w:pPr>
            <w:r>
              <w:rPr>
                <w:b/>
                <w:bCs/>
                <w:color w:val="F2B632"/>
                <w:sz w:val="18"/>
                <w:szCs w:val="18"/>
              </w:rPr>
              <w:t xml:space="preserve">•</w:t>
            </w:r>
            <w:r>
              <w:tab/>
            </w:r>
            <w:r>
              <w:rPr>
                <w:color w:val="17261F"/>
                <w:sz w:val="18"/>
                <w:szCs w:val="18"/>
              </w:rPr>
              <w:t xml:space="preserve">El tiempo de las personas sí: sostener a alguien a medio tiempo exige entre 31 y 41 suscripciones, y el escenario conservador no lo logra.</w:t>
            </w:r>
          </w:p>
          <w:p>
            <w:pPr>
              <w:ind w:left="300" w:hanging="220"/>
              <w:spacing w:before="0" w:after="40" w:line="276" w:lineRule="auto"/>
            </w:pPr>
            <w:r>
              <w:rPr>
                <w:b/>
                <w:bCs/>
                <w:color w:val="F2B632"/>
                <w:sz w:val="18"/>
                <w:szCs w:val="18"/>
              </w:rPr>
              <w:t xml:space="preserve">•</w:t>
            </w:r>
            <w:r>
              <w:tab/>
            </w:r>
            <w:r>
              <w:rPr>
                <w:color w:val="17261F"/>
                <w:sz w:val="18"/>
                <w:szCs w:val="18"/>
              </w:rPr>
              <w:t xml:space="preserve">La variable crítica es la </w:t>
            </w:r>
            <w:r>
              <w:rPr>
                <w:b/>
                <w:bCs/>
                <w:color w:val="17261F"/>
                <w:sz w:val="18"/>
                <w:szCs w:val="18"/>
              </w:rPr>
              <w:t xml:space="preserve">conversión a pago</w:t>
            </w:r>
            <w:r>
              <w:rPr>
                <w:color w:val="17261F"/>
                <w:sz w:val="18"/>
                <w:szCs w:val="18"/>
              </w:rPr>
              <w:t xml:space="preserve">, que nadie ha medido. Por eso la prioridad es el piloto con métricas de adopción, no el modelo de precios.</w:t>
            </w:r>
          </w:p>
          <w:p>
            <w:pPr>
              <w:spacing w:before="0" w:after="0" w:line="276" w:lineRule="auto"/>
            </w:pPr>
            <w:r>
              <w:rPr>
                <w:color w:val="17261F"/>
                <w:sz w:val="18"/>
                <w:szCs w:val="18"/>
              </w:rPr>
              <w:t xml:space="preserve">La evaluación social es favorable en cualquier escenario: el software es abierto, la demo no cuesta y el conocimiento queda documentado para otras instituciones.</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09</w:t>
      </w:r>
    </w:p>
    <w:p>
      <w:pPr>
        <w:pStyle w:val="Heading1"/>
      </w:pPr>
      <w:bookmarkStart w:id="132" w:name="sec_132"/>
      <w:r>
        <w:rPr>
          <w:b/>
          <w:bCs/>
          <w:color w:val="0B3D2B"/>
          <w:sz w:val="34"/>
          <w:szCs w:val="34"/>
        </w:rPr>
        <w:t xml:space="preserve">Propuesta de investigación</w:t>
      </w:r>
      <w:bookmarkEnd w:id="132"/>
    </w:p>
    <w:p>
      <w:pPr>
        <w:spacing w:before="0" w:after="140" w:line="288" w:lineRule="auto"/>
      </w:pPr>
      <w:r>
        <w:rPr>
          <w:color w:val="17261F"/>
          <w:sz w:val="20"/>
          <w:szCs w:val="20"/>
        </w:rPr>
        <w:t xml:space="preserve">La propuesta formuló SmartPot como investigación aplicada de doce meses: </w:t>
      </w:r>
      <w:r>
        <w:rPr>
          <w:i/>
          <w:iCs/>
          <w:color w:val="17261F"/>
          <w:sz w:val="20"/>
          <w:szCs w:val="20"/>
        </w:rPr>
        <w:t xml:space="preserve">sistema IoT asistido por IA para la automatización, supervisión remota y análisis predictivo de las condiciones ambientales en cultivos hidropónicos de lechuga</w:t>
      </w:r>
      <w:r>
        <w:rPr>
          <w:color w:val="17261F"/>
          <w:sz w:val="20"/>
          <w:szCs w:val="20"/>
        </w:rPr>
        <w:t xml:space="preserve">, alineada con los ODS 2, 12 y 13. Su objetivo era pasar de un control reactivo, que actúa cuando la variable ya salió de rango, a uno predictivo.</w:t>
      </w:r>
    </w:p>
    <w:p>
      <w:pPr>
        <w:keepNext/>
        <w:spacing w:before="120" w:after="60" w:line="288" w:lineRule="auto"/>
        <w:jc w:val="center"/>
      </w:pPr>
      <w:r>
        <w:drawing>
          <wp:inline distT="0" distB="0" distL="0" distR="0">
            <wp:extent cx="5943600" cy="6003941"/>
            <wp:docPr id="133" name="SmartPot_36_Research_Phases"/>
            <wp:cNvGraphicFramePr>
              <a:graphicFrameLocks noChangeAspect="1"/>
            </wp:cNvGraphicFramePr>
            <a:graphic>
              <a:graphicData uri="http://schemas.openxmlformats.org/drawingml/2006/picture">
                <pic:pic>
                  <pic:nvPicPr>
                    <pic:cNvPr id="133" name="SmartPot_36_Research_Phases"/>
                    <pic:cNvPicPr/>
                  </pic:nvPicPr>
                  <pic:blipFill>
                    <a:blip r:embed="rIdImg8"/>
                    <a:stretch>
                      <a:fillRect/>
                    </a:stretch>
                  </pic:blipFill>
                  <pic:spPr>
                    <a:xfrm>
                      <a:off x="0" y="0"/>
                      <a:ext cx="5943600" cy="6003941"/>
                    </a:xfrm>
                    <a:prstGeom prst="rect">
                      <a:avLst/>
                    </a:prstGeom>
                  </pic:spPr>
                </pic:pic>
              </a:graphicData>
            </a:graphic>
          </wp:inline>
        </w:drawing>
      </w:r>
    </w:p>
    <w:p>
      <w:pPr>
        <w:spacing w:before="0" w:after="240" w:line="288" w:lineRule="auto"/>
        <w:jc w:val="center"/>
      </w:pPr>
      <w:r>
        <w:rPr>
          <w:b/>
          <w:bCs/>
          <w:color w:val="067A52"/>
          <w:sz w:val="16"/>
          <w:szCs w:val="16"/>
        </w:rPr>
        <w:t xml:space="preserve">Figura 6</w:t>
      </w:r>
      <w:r>
        <w:rPr>
          <w:i/>
          <w:iCs/>
          <w:color w:val="5B6B63"/>
          <w:sz w:val="16"/>
          <w:szCs w:val="16"/>
        </w:rPr>
        <w:t xml:space="preserve">  ·  Fases de la propuesta de investigación y su estado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44"/>
        <w:gridCol w:w="3578"/>
        <w:gridCol w:w="4438"/>
      </w:tblGrid>
      <w:tr>
        <w:trPr>
          <w:cantSplit/>
          <w:tblHeader/>
        </w:trPr>
        <w:tc>
          <w:tcPr>
            <w:tcW w:w="134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ELEMENTO</w:t>
            </w:r>
          </w:p>
        </w:tc>
        <w:tc>
          <w:tcPr>
            <w:tcW w:w="35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PROPUESTA</w:t>
            </w:r>
          </w:p>
        </w:tc>
        <w:tc>
          <w:tcPr>
            <w:tcW w:w="443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LECTURA CRÍTICA</w:t>
            </w:r>
          </w:p>
        </w:tc>
      </w:tr>
      <w:tr>
        <w:trPr>
          <w:cantSplit/>
        </w:trPr>
        <w:tc>
          <w:tcPr>
            <w:tcW w:w="134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Hipótesis</w:t>
            </w:r>
          </w:p>
        </w:tc>
        <w:tc>
          <w:tcPr>
            <w:tcW w:w="35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Implícita: el control asistido por IA mantiene mejor el cultivo que el manual</w:t>
            </w:r>
          </w:p>
        </w:tc>
        <w:tc>
          <w:tcPr>
            <w:tcW w:w="44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Conviene escribirla y ligarla a métricas: tiempo en rango, intervenciones, biomasa fresca y litros de agua y solución</w:t>
            </w:r>
          </w:p>
        </w:tc>
      </w:tr>
      <w:tr>
        <w:trPr>
          <w:cantSplit/>
        </w:trPr>
        <w:tc>
          <w:tcPr>
            <w:tcW w:w="134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Modelos</w:t>
            </w:r>
          </w:p>
        </w:tc>
        <w:tc>
          <w:tcPr>
            <w:tcW w:w="35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Regresión y redes LSTM</w:t>
            </w:r>
          </w:p>
        </w:tc>
        <w:tc>
          <w:tcPr>
            <w:tcW w:w="44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Una LSTM necesita meses de datos etiquetados; la plataforma empezó con técnicas explicables y aprende con lo que llega (sección 28)</w:t>
            </w:r>
          </w:p>
        </w:tc>
      </w:tr>
      <w:tr>
        <w:trPr>
          <w:cantSplit/>
        </w:trPr>
        <w:tc>
          <w:tcPr>
            <w:tcW w:w="134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Datos</w:t>
            </w:r>
          </w:p>
        </w:tc>
        <w:tc>
          <w:tcPr>
            <w:tcW w:w="35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Modo </w:t>
            </w:r>
            <w:r>
              <w:rPr>
                <w:i/>
                <w:iCs/>
                <w:color w:val="17261F"/>
                <w:sz w:val="17"/>
                <w:szCs w:val="17"/>
              </w:rPr>
              <w:t xml:space="preserve">data logger</w:t>
            </w:r>
            <w:r>
              <w:rPr>
                <w:color w:val="17261F"/>
                <w:sz w:val="17"/>
                <w:szCs w:val="17"/>
              </w:rPr>
              <w:t xml:space="preserve"> durante un ciclo de 30 a 45 días</w:t>
            </w:r>
          </w:p>
        </w:tc>
        <w:tc>
          <w:tcPr>
            <w:tcW w:w="44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Ya existe: la IA guarda las lecturas reales, seudonimizadas, y reentrena por especie</w:t>
            </w:r>
          </w:p>
        </w:tc>
      </w:tr>
      <w:tr>
        <w:trPr>
          <w:cantSplit/>
        </w:trPr>
        <w:tc>
          <w:tcPr>
            <w:tcW w:w="134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Validación</w:t>
            </w:r>
          </w:p>
        </w:tc>
        <w:tc>
          <w:tcPr>
            <w:tcW w:w="35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 frente a control manual en un segundo ciclo</w:t>
            </w:r>
          </w:p>
        </w:tc>
        <w:tc>
          <w:tcPr>
            <w:tcW w:w="44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Pendiente: exige el montaje físico</w:t>
            </w:r>
          </w:p>
        </w:tc>
      </w:tr>
      <w:tr>
        <w:trPr>
          <w:cantSplit/>
        </w:trPr>
        <w:tc>
          <w:tcPr>
            <w:tcW w:w="134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Productos</w:t>
            </w:r>
          </w:p>
        </w:tc>
        <w:tc>
          <w:tcPr>
            <w:tcW w:w="35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Artículo y socialización en un evento</w:t>
            </w:r>
          </w:p>
        </w:tc>
        <w:tc>
          <w:tcPr>
            <w:tcW w:w="44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Pendiente; esta documentación es la base del artículo</w:t>
            </w:r>
          </w:p>
        </w:tc>
      </w:tr>
      <w:tr>
        <w:trPr>
          <w:cantSplit/>
        </w:trPr>
        <w:tc>
          <w:tcPr>
            <w:tcW w:w="134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Bibliografía</w:t>
            </w:r>
          </w:p>
        </w:tc>
        <w:tc>
          <w:tcPr>
            <w:tcW w:w="35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Mínimo 20 referencias</w:t>
            </w:r>
          </w:p>
        </w:tc>
        <w:tc>
          <w:tcPr>
            <w:tcW w:w="44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Tiene 10; hay que completarla</w:t>
            </w:r>
          </w:p>
        </w:tc>
      </w:tr>
    </w:tbl>
    <w:p>
      <w:pPr>
        <w:spacing w:before="160" w:after="0" w:line="240" w:lineRule="auto"/>
        <w:rPr>
          <w:sz w:val="8"/>
        </w:rPr>
      </w:pPr>
    </w:p>
    <w:p>
      <w:pPr>
        <w:spacing w:before="0" w:after="140" w:line="288" w:lineRule="auto"/>
      </w:pPr>
      <w:r>
        <w:rPr>
          <w:color w:val="17261F"/>
          <w:sz w:val="20"/>
          <w:szCs w:val="20"/>
        </w:rPr>
        <w:t xml:space="preserve">Referencias de la propuesta, útiles para el trabajo futuro: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5305"/>
        <w:gridCol w:w="4055"/>
      </w:tblGrid>
      <w:tr>
        <w:trPr>
          <w:cantSplit/>
          <w:tblHeader/>
        </w:trPr>
        <w:tc>
          <w:tcPr>
            <w:tcW w:w="530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REFERENCIA</w:t>
            </w:r>
          </w:p>
        </w:tc>
        <w:tc>
          <w:tcPr>
            <w:tcW w:w="405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APORTE</w:t>
            </w:r>
          </w:p>
        </w:tc>
      </w:tr>
      <w:tr>
        <w:trPr>
          <w:cantSplit/>
        </w:trPr>
        <w:tc>
          <w:tcPr>
            <w:tcW w:w="530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Kurniasari et al. (2025), </w:t>
            </w:r>
            <w:r>
              <w:rPr>
                <w:b/>
                <w:bCs/>
                <w:i/>
                <w:iCs/>
                <w:color w:val="0A5A3C"/>
                <w:sz w:val="17"/>
                <w:szCs w:val="17"/>
              </w:rPr>
              <w:t xml:space="preserve">IOP Conf. Series: Earth and Environmental Science</w:t>
            </w:r>
          </w:p>
        </w:tc>
        <w:tc>
          <w:tcPr>
            <w:tcW w:w="40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Hidroponía con ESP32 y monitoreo en tiempo real</w:t>
            </w:r>
          </w:p>
        </w:tc>
      </w:tr>
      <w:tr>
        <w:trPr>
          <w:cantSplit/>
        </w:trPr>
        <w:tc>
          <w:tcPr>
            <w:tcW w:w="530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Kushawaha et al. (2024), </w:t>
            </w:r>
            <w:r>
              <w:rPr>
                <w:b/>
                <w:bCs/>
                <w:i/>
                <w:iCs/>
                <w:color w:val="0A5A3C"/>
                <w:sz w:val="17"/>
                <w:szCs w:val="17"/>
              </w:rPr>
              <w:t xml:space="preserve">MethodsX</w:t>
            </w:r>
          </w:p>
        </w:tc>
        <w:tc>
          <w:tcPr>
            <w:tcW w:w="40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Sistema hidropónico doméstico, pequeño e inteligente</w:t>
            </w:r>
          </w:p>
        </w:tc>
      </w:tr>
      <w:tr>
        <w:trPr>
          <w:cantSplit/>
        </w:trPr>
        <w:tc>
          <w:tcPr>
            <w:tcW w:w="530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Munaganuri, Yamarthi y Bolem (2025), </w:t>
            </w:r>
            <w:r>
              <w:rPr>
                <w:b/>
                <w:bCs/>
                <w:i/>
                <w:iCs/>
                <w:color w:val="0A5A3C"/>
                <w:sz w:val="17"/>
                <w:szCs w:val="17"/>
              </w:rPr>
              <w:t xml:space="preserve">PeerJ Computer Science</w:t>
            </w:r>
          </w:p>
        </w:tc>
        <w:tc>
          <w:tcPr>
            <w:tcW w:w="40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LSTM para agricultura inteligente</w:t>
            </w:r>
          </w:p>
        </w:tc>
      </w:tr>
      <w:tr>
        <w:trPr>
          <w:cantSplit/>
        </w:trPr>
        <w:tc>
          <w:tcPr>
            <w:tcW w:w="530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Rajaseger et al. (2023), </w:t>
            </w:r>
            <w:r>
              <w:rPr>
                <w:b/>
                <w:bCs/>
                <w:i/>
                <w:iCs/>
                <w:color w:val="0A5A3C"/>
                <w:sz w:val="17"/>
                <w:szCs w:val="17"/>
              </w:rPr>
              <w:t xml:space="preserve">Bioinformation</w:t>
            </w:r>
          </w:p>
        </w:tc>
        <w:tc>
          <w:tcPr>
            <w:tcW w:w="40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Tendencias de la hidroponía sostenible</w:t>
            </w:r>
          </w:p>
        </w:tc>
      </w:tr>
      <w:tr>
        <w:trPr>
          <w:cantSplit/>
        </w:trPr>
        <w:tc>
          <w:tcPr>
            <w:tcW w:w="530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Stevens et al. (2024), </w:t>
            </w:r>
            <w:r>
              <w:rPr>
                <w:b/>
                <w:bCs/>
                <w:i/>
                <w:iCs/>
                <w:color w:val="0A5A3C"/>
                <w:sz w:val="17"/>
                <w:szCs w:val="17"/>
              </w:rPr>
              <w:t xml:space="preserve">PLoS ONE</w:t>
            </w:r>
          </w:p>
        </w:tc>
        <w:tc>
          <w:tcPr>
            <w:tcW w:w="40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Manejo de nutrientes de bajo costo en microescala</w:t>
            </w:r>
          </w:p>
        </w:tc>
      </w:tr>
      <w:tr>
        <w:trPr>
          <w:cantSplit/>
        </w:trPr>
        <w:tc>
          <w:tcPr>
            <w:tcW w:w="5305" w:type="dxa"/>
            <w:shd w:val="clear" w:color="auto" w:fill="F2F7F4"/>
            <w:tcMar>
              <w:top w:w="70" w:type="dxa"/>
              <w:left w:w="110" w:type="dxa"/>
              <w:bottom w:w="70" w:type="dxa"/>
              <w:right w:w="110" w:type="dxa"/>
            </w:tcMar>
            <w:vAlign w:val="center"/>
          </w:tcPr>
          <w:p>
            <w:pPr>
              <w:spacing w:before="0" w:after="0" w:line="252" w:lineRule="auto"/>
            </w:pPr>
            <w:r>
              <w:rPr>
                <w:b/>
                <w:bCs/>
                <w:i/>
                <w:iCs/>
                <w:color w:val="0A5A3C"/>
                <w:sz w:val="17"/>
                <w:szCs w:val="17"/>
              </w:rPr>
              <w:t xml:space="preserve">The Aquaponic Ecosystem Using IoT and IA Solutions</w:t>
            </w:r>
            <w:r>
              <w:rPr>
                <w:b/>
                <w:bCs/>
                <w:color w:val="0A5A3C"/>
                <w:sz w:val="17"/>
                <w:szCs w:val="17"/>
              </w:rPr>
              <w:t xml:space="preserve"> (2022), </w:t>
            </w:r>
            <w:r>
              <w:rPr>
                <w:b/>
                <w:bCs/>
                <w:i/>
                <w:iCs/>
                <w:color w:val="0A5A3C"/>
                <w:sz w:val="17"/>
                <w:szCs w:val="17"/>
              </w:rPr>
              <w:t xml:space="preserve">IJWLTT</w:t>
            </w:r>
          </w:p>
        </w:tc>
        <w:tc>
          <w:tcPr>
            <w:tcW w:w="40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IoT e IA en acuaponía</w:t>
            </w:r>
          </w:p>
        </w:tc>
      </w:tr>
      <w:tr>
        <w:trPr>
          <w:cantSplit/>
        </w:trPr>
        <w:tc>
          <w:tcPr>
            <w:tcW w:w="530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Ullah et al. (2019), </w:t>
            </w:r>
            <w:r>
              <w:rPr>
                <w:b/>
                <w:bCs/>
                <w:i/>
                <w:iCs/>
                <w:color w:val="0A5A3C"/>
                <w:sz w:val="17"/>
                <w:szCs w:val="17"/>
              </w:rPr>
              <w:t xml:space="preserve">Intelligent Control and Automation</w:t>
            </w:r>
          </w:p>
        </w:tc>
        <w:tc>
          <w:tcPr>
            <w:tcW w:w="40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Monitoreo y control hidropónico de bajo costo</w:t>
            </w:r>
          </w:p>
        </w:tc>
      </w:tr>
      <w:tr>
        <w:trPr>
          <w:cantSplit/>
        </w:trPr>
        <w:tc>
          <w:tcPr>
            <w:tcW w:w="530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Lowe, Qin y Mao (2022), </w:t>
            </w:r>
            <w:r>
              <w:rPr>
                <w:b/>
                <w:bCs/>
                <w:i/>
                <w:iCs/>
                <w:color w:val="0A5A3C"/>
                <w:sz w:val="17"/>
                <w:szCs w:val="17"/>
              </w:rPr>
              <w:t xml:space="preserve">Water</w:t>
            </w:r>
          </w:p>
        </w:tc>
        <w:tc>
          <w:tcPr>
            <w:tcW w:w="40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Aprendizaje automático en tratamiento y monitoreo de agua</w:t>
            </w:r>
          </w:p>
        </w:tc>
      </w:tr>
      <w:tr>
        <w:trPr>
          <w:cantSplit/>
        </w:trPr>
        <w:tc>
          <w:tcPr>
            <w:tcW w:w="530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Pandi et al. (2024), </w:t>
            </w:r>
            <w:r>
              <w:rPr>
                <w:b/>
                <w:bCs/>
                <w:i/>
                <w:iCs/>
                <w:color w:val="0A5A3C"/>
                <w:sz w:val="17"/>
                <w:szCs w:val="17"/>
              </w:rPr>
              <w:t xml:space="preserve">Earth Science Informatics</w:t>
            </w:r>
          </w:p>
        </w:tc>
        <w:tc>
          <w:tcPr>
            <w:tcW w:w="40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Monitoreo ambiental con IA para hidroponía</w:t>
            </w:r>
          </w:p>
        </w:tc>
      </w:tr>
      <w:tr>
        <w:trPr>
          <w:cantSplit/>
        </w:trPr>
        <w:tc>
          <w:tcPr>
            <w:tcW w:w="530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Mellit et al. (2021), </w:t>
            </w:r>
            <w:r>
              <w:rPr>
                <w:b/>
                <w:bCs/>
                <w:i/>
                <w:iCs/>
                <w:color w:val="0A5A3C"/>
                <w:sz w:val="17"/>
                <w:szCs w:val="17"/>
              </w:rPr>
              <w:t xml:space="preserve">Energies</w:t>
            </w:r>
          </w:p>
        </w:tc>
        <w:tc>
          <w:tcPr>
            <w:tcW w:w="40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Monitoreo remoto de invernaderos con IoT y redes profundas</w:t>
            </w:r>
          </w:p>
        </w:tc>
      </w:tr>
    </w:tbl>
    <w:p>
      <w:pPr>
        <w:spacing w:before="160" w:after="0" w:line="240" w:lineRule="auto"/>
        <w:rPr>
          <w:sz w:val="8"/>
        </w:r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w:t>
            </w:r>
          </w:p>
          <w:p>
            <w:pPr>
              <w:spacing w:before="0" w:after="0" w:line="240" w:lineRule="auto"/>
            </w:pPr>
            <w:r>
              <w:rPr>
                <w:rFonts w:ascii="Century Gothic" w:hAnsi="Century Gothic" w:eastAsia="Century Gothic" w:cs="Century Gothic"/>
                <w:b/>
                <w:bCs/>
                <w:color w:val="FFFFFF"/>
                <w:sz w:val="44"/>
                <w:szCs w:val="44"/>
              </w:rPr>
              <w:t xml:space="preserve">Gestión de proyectos TI</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10</w:t>
      </w:r>
    </w:p>
    <w:p>
      <w:pPr>
        <w:pStyle w:val="Heading1"/>
      </w:pPr>
      <w:bookmarkStart w:id="134" w:name="sec_134"/>
      <w:r>
        <w:rPr>
          <w:b/>
          <w:bCs/>
          <w:color w:val="0B3D2B"/>
          <w:sz w:val="34"/>
          <w:szCs w:val="34"/>
        </w:rPr>
        <w:t xml:space="preserve">Acta de constitución: lo que fijó y lo que pasó</w:t>
      </w:r>
      <w:bookmarkEnd w:id="134"/>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20"/>
        <w:gridCol w:w="4033"/>
        <w:gridCol w:w="4007"/>
      </w:tblGrid>
      <w:tr>
        <w:trPr>
          <w:cantSplit/>
          <w:tblHeader/>
        </w:trPr>
        <w:tc>
          <w:tcPr>
            <w:tcW w:w="13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DIMENSIÓN</w:t>
            </w:r>
          </w:p>
        </w:tc>
        <w:tc>
          <w:tcPr>
            <w:tcW w:w="403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OBJETIVO E INDICADOR DEL ACTA</w:t>
            </w:r>
          </w:p>
        </w:tc>
        <w:tc>
          <w:tcPr>
            <w:tcW w:w="400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RESULTADO</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Alcance</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90 % de las funcionalidades críticas entregadas</w:t>
            </w:r>
          </w:p>
        </w:tc>
        <w:tc>
          <w:tcPr>
            <w:tcW w:w="400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13 de 17 requisitos funcionales cumplidos (76 %), 3 parciales y 1 replanteado; 16 de 17 con avance (94 %)</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Tiempo</w:t>
            </w:r>
          </w:p>
        </w:tc>
        <w:tc>
          <w:tcPr>
            <w:tcW w:w="403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Fase 1 de marzo a abril y fase 2 de abril a julio de 2026, con desviación máxima de una semana</w:t>
            </w:r>
          </w:p>
        </w:tc>
        <w:tc>
          <w:tcPr>
            <w:tcW w:w="400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Incumplido: de marzo a junio hubo poca construcción y el grueso llegó en septiembre de 2026</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Costo</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0 % de sobrecosto</w:t>
            </w:r>
          </w:p>
        </w:tc>
        <w:tc>
          <w:tcPr>
            <w:tcW w:w="400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en licencias (todo es abierto); el servidor propio no estaba previsto en el acta</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Calidad</w:t>
            </w:r>
          </w:p>
        </w:tc>
        <w:tc>
          <w:tcPr>
            <w:tcW w:w="403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Cobertura de pruebas de al menos 80 %; menos de 3 defectos críticos al cierre</w:t>
            </w:r>
          </w:p>
        </w:tc>
        <w:tc>
          <w:tcPr>
            <w:tcW w:w="400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Sin defectos críticos abiertos al cierre del tercer ciclo; la cobertura no se mide formalmente</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Relevancia</w:t>
            </w:r>
          </w:p>
        </w:tc>
        <w:tc>
          <w:tcPr>
            <w:tcW w:w="403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Prototipo presentado y aprobado</w:t>
            </w:r>
          </w:p>
        </w:tc>
        <w:tc>
          <w:tcPr>
            <w:tcW w:w="400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Plataforma en producción, abierta y con demo pública</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4067"/>
        <w:gridCol w:w="5293"/>
      </w:tblGrid>
      <w:tr>
        <w:trPr>
          <w:cantSplit/>
          <w:tblHeader/>
        </w:trPr>
        <w:tc>
          <w:tcPr>
            <w:tcW w:w="406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PREMISA DEL ACTA</w:t>
            </w:r>
          </w:p>
        </w:tc>
        <w:tc>
          <w:tcPr>
            <w:tcW w:w="529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PASÓ</w:t>
            </w:r>
          </w:p>
        </w:tc>
      </w:tr>
      <w:tr>
        <w:trPr>
          <w:cantSplit/>
        </w:trPr>
        <w:tc>
          <w:tcPr>
            <w:tcW w:w="406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Equipo de cuatro personas: gerente, dos desarrolladores y un analista</w:t>
            </w:r>
          </w:p>
        </w:tc>
        <w:tc>
          <w:tcPr>
            <w:tcW w:w="529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Cerca de tres de cada cuatro commits humanos los hizo una sola persona</w:t>
            </w:r>
          </w:p>
        </w:tc>
      </w:tr>
      <w:tr>
        <w:trPr>
          <w:cantSplit/>
        </w:trPr>
        <w:tc>
          <w:tcPr>
            <w:tcW w:w="406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Capas gratuitas de nube como infraestructura</w:t>
            </w:r>
          </w:p>
        </w:tc>
        <w:tc>
          <w:tcPr>
            <w:tcW w:w="529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 abandonaron por un servidor propio: las cuotas y la seguridad no se podían controlar</w:t>
            </w:r>
          </w:p>
        </w:tc>
      </w:tr>
      <w:tr>
        <w:trPr>
          <w:cantSplit/>
        </w:trPr>
        <w:tc>
          <w:tcPr>
            <w:tcW w:w="406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Hardware físico fuera de alcance</w:t>
            </w:r>
          </w:p>
        </w:tc>
        <w:tc>
          <w:tcPr>
            <w:tcW w:w="529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 respetó; la simulación creció hasta tener cultivos virtuales siempre encendidos</w:t>
            </w:r>
          </w:p>
        </w:tc>
      </w:tr>
      <w:tr>
        <w:trPr>
          <w:cantSplit/>
        </w:trPr>
        <w:tc>
          <w:tcPr>
            <w:tcW w:w="406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Scrum con sprints de dos semanas</w:t>
            </w:r>
          </w:p>
        </w:tc>
        <w:tc>
          <w:tcPr>
            <w:tcW w:w="529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línea base del cronograma usó sprints de tres a cinco días y la construcción se hizo en ciclos (sección 15)</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El acta es el documento de gestión más completo del proyecto: objetivos con indicador, riesgos con controles, criterios de aprobación y de cierre, y niveles de autoridad. Su debilidad fue la de muchos proyectos académicos: se escribió para aprobar la planeación y no se volvió a abrir. Dos de sus criterios de cierre se habrían disparado (el alcance creció más del 30 % y el calendario no se cumplió), y ninguno generó una solicitud de cambio.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11</w:t>
      </w:r>
    </w:p>
    <w:p>
      <w:pPr>
        <w:pStyle w:val="Heading1"/>
      </w:pPr>
      <w:bookmarkStart w:id="135" w:name="sec_135"/>
      <w:r>
        <w:rPr>
          <w:b/>
          <w:bCs/>
          <w:color w:val="0B3D2B"/>
          <w:sz w:val="34"/>
          <w:szCs w:val="34"/>
        </w:rPr>
        <w:t xml:space="preserve">Alcance</w:t>
      </w:r>
      <w:bookmarkEnd w:id="135"/>
    </w:p>
    <w:p>
      <w:pPr>
        <w:pStyle w:val="Heading2"/>
      </w:pPr>
      <w:bookmarkStart w:id="136" w:name="sec_136"/>
      <w:r>
        <w:rPr>
          <w:b/>
          <w:bCs/>
          <w:color w:val="067A52"/>
          <w:sz w:val="25"/>
          <w:szCs w:val="25"/>
        </w:rPr>
        <w:t xml:space="preserve">11.1 Estructura de desglose del trabajo</w:t>
      </w:r>
      <w:bookmarkEnd w:id="136"/>
    </w:p>
    <w:p>
      <w:pPr>
        <w:spacing w:before="0" w:after="140" w:line="288" w:lineRule="auto"/>
      </w:pPr>
      <w:r>
        <w:rPr>
          <w:color w:val="17261F"/>
          <w:sz w:val="20"/>
          <w:szCs w:val="20"/>
        </w:rPr>
        <w:t xml:space="preserve">La EDT se construyó en cuatro niveles; este es su primer nivel y los paquetes de trabajo.</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pgNumType w:start="2"/>
          <w:cols w:space="720"/>
        </w:sectPr>
      </w:pPr>
    </w:p>
    <w:p>
      <w:pPr>
        <w:keepNext/>
        <w:spacing w:before="0" w:after="60" w:line="288" w:lineRule="auto"/>
        <w:jc w:val="center"/>
      </w:pPr>
      <w:r>
        <w:drawing>
          <wp:inline distT="0" distB="0" distL="0" distR="0">
            <wp:extent cx="8229600" cy="3456628"/>
            <wp:docPr id="137" name="SmartPot_21_WBS"/>
            <wp:cNvGraphicFramePr>
              <a:graphicFrameLocks noChangeAspect="1"/>
            </wp:cNvGraphicFramePr>
            <a:graphic>
              <a:graphicData uri="http://schemas.openxmlformats.org/drawingml/2006/picture">
                <pic:pic>
                  <pic:nvPicPr>
                    <pic:cNvPr id="137" name="SmartPot_21_WBS"/>
                    <pic:cNvPicPr/>
                  </pic:nvPicPr>
                  <pic:blipFill>
                    <a:blip r:embed="rIdImg9"/>
                    <a:stretch>
                      <a:fillRect/>
                    </a:stretch>
                  </pic:blipFill>
                  <pic:spPr>
                    <a:xfrm>
                      <a:off x="0" y="0"/>
                      <a:ext cx="8229600" cy="3456628"/>
                    </a:xfrm>
                    <a:prstGeom prst="rect">
                      <a:avLst/>
                    </a:prstGeom>
                  </pic:spPr>
                </pic:pic>
              </a:graphicData>
            </a:graphic>
          </wp:inline>
        </w:drawing>
      </w:r>
    </w:p>
    <w:p>
      <w:pPr>
        <w:spacing w:before="0" w:after="0" w:line="288" w:lineRule="auto"/>
        <w:jc w:val="center"/>
      </w:pPr>
      <w:r>
        <w:rPr>
          <w:b/>
          <w:bCs/>
          <w:color w:val="067A52"/>
          <w:sz w:val="16"/>
          <w:szCs w:val="16"/>
        </w:rPr>
        <w:t xml:space="preserve">Figura 7</w:t>
      </w:r>
      <w:r>
        <w:rPr>
          <w:i/>
          <w:iCs/>
          <w:color w:val="5B6B63"/>
          <w:sz w:val="16"/>
          <w:szCs w:val="16"/>
        </w:rPr>
        <w:t xml:space="preserve">  ·  Estructura de desglose del trabajo</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pStyle w:val="Heading2"/>
      </w:pPr>
      <w:bookmarkStart w:id="138" w:name="sec_138"/>
      <w:r>
        <w:rPr>
          <w:b/>
          <w:bCs/>
          <w:color w:val="067A52"/>
          <w:sz w:val="25"/>
          <w:szCs w:val="25"/>
        </w:rPr>
        <w:t xml:space="preserve">11.2 Priorización y MVP</w:t>
      </w:r>
      <w:bookmarkEnd w:id="138"/>
    </w:p>
    <w:p>
      <w:pPr>
        <w:spacing w:before="0" w:after="140" w:line="288" w:lineRule="auto"/>
      </w:pPr>
      <w:r>
        <w:rPr>
          <w:color w:val="17261F"/>
          <w:sz w:val="20"/>
          <w:szCs w:val="20"/>
        </w:rPr>
        <w:t xml:space="preserve">La matriz de Eisenhower ordenó el trabajo en cuatro grupos y definió el producto mínimo viable.</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20"/>
        <w:gridCol w:w="4401"/>
        <w:gridCol w:w="3639"/>
      </w:tblGrid>
      <w:tr>
        <w:trPr>
          <w:cantSplit/>
          <w:tblHeader/>
        </w:trPr>
        <w:tc>
          <w:tcPr>
            <w:tcW w:w="13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CUADRANTE</w:t>
            </w:r>
          </w:p>
        </w:tc>
        <w:tc>
          <w:tcPr>
            <w:tcW w:w="440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TAREAS</w:t>
            </w:r>
          </w:p>
        </w:tc>
        <w:tc>
          <w:tcPr>
            <w:tcW w:w="363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HOY</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Hacer</w:t>
            </w:r>
          </w:p>
        </w:tc>
        <w:tc>
          <w:tcPr>
            <w:tcW w:w="440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Arquitectura React, Spring Boot y base de datos; simulación básica en Wokwi; primer endpoint que recibe datos</w:t>
            </w:r>
          </w:p>
        </w:tc>
        <w:tc>
          <w:tcPr>
            <w:tcW w:w="36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y superado</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Planificar</w:t>
            </w:r>
          </w:p>
        </w:tc>
        <w:tc>
          <w:tcPr>
            <w:tcW w:w="440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Backend completo, frontend, control automático y pruebas de integración</w:t>
            </w:r>
          </w:p>
        </w:tc>
        <w:tc>
          <w:tcPr>
            <w:tcW w:w="36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Cumplido</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Delegar</w:t>
            </w:r>
          </w:p>
        </w:tc>
        <w:tc>
          <w:tcPr>
            <w:tcW w:w="440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Investigación de mercado, documentación de usuario y diseño visual avanzado</w:t>
            </w:r>
          </w:p>
        </w:tc>
        <w:tc>
          <w:tcPr>
            <w:tcW w:w="36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Hechos por el equipo; el diseño visual se resolvió con la paleta SmartPot validada</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Eliminar</w:t>
            </w:r>
          </w:p>
        </w:tc>
        <w:tc>
          <w:tcPr>
            <w:tcW w:w="440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Aplicación móvil, asistentes de voz y cultivos exóticos</w:t>
            </w:r>
          </w:p>
        </w:tc>
        <w:tc>
          <w:tcPr>
            <w:tcW w:w="36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PWA instalable cubre el móvil; la voz sigue fuera; hay seis especies comunes</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6382"/>
        <w:gridCol w:w="2978"/>
      </w:tblGrid>
      <w:tr>
        <w:trPr>
          <w:cantSplit/>
          <w:tblHeader/>
        </w:trPr>
        <w:tc>
          <w:tcPr>
            <w:tcW w:w="63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FUNCIÓN DEL MVP</w:t>
            </w:r>
          </w:p>
        </w:tc>
        <w:tc>
          <w:tcPr>
            <w:tcW w:w="29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ESTADO</w:t>
            </w:r>
          </w:p>
        </w:tc>
      </w:tr>
      <w:tr>
        <w:trPr>
          <w:cantSplit/>
        </w:trPr>
        <w:tc>
          <w:tcPr>
            <w:tcW w:w="638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Monitoreo en tiempo real de pH, temperatura y conductividad</w:t>
            </w:r>
          </w:p>
        </w:tc>
        <w:tc>
          <w:tcPr>
            <w:tcW w:w="29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con siete variables</w:t>
            </w:r>
          </w:p>
        </w:tc>
      </w:tr>
      <w:tr>
        <w:trPr>
          <w:cantSplit/>
        </w:trPr>
        <w:tc>
          <w:tcPr>
            <w:tcW w:w="638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Comunicación completa: ESP32, backend, base de datos y frontend</w:t>
            </w:r>
          </w:p>
        </w:tc>
        <w:tc>
          <w:tcPr>
            <w:tcW w:w="29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Cumplido con MQTT v1</w:t>
            </w:r>
          </w:p>
        </w:tc>
      </w:tr>
      <w:tr>
        <w:trPr>
          <w:cantSplit/>
        </w:trPr>
        <w:tc>
          <w:tcPr>
            <w:tcW w:w="638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Control manual de actuadores desde la web</w:t>
            </w:r>
          </w:p>
        </w:tc>
        <w:tc>
          <w:tcPr>
            <w:tcW w:w="29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 también en bloque</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LECTURA CRÍTICA</w:t>
            </w:r>
          </w:p>
          <w:p>
            <w:pPr>
              <w:spacing w:before="0" w:after="0" w:line="276" w:lineRule="auto"/>
            </w:pPr>
            <w:r>
              <w:rPr>
                <w:color w:val="17261F"/>
                <w:sz w:val="18"/>
                <w:szCs w:val="18"/>
              </w:rPr>
              <w:t xml:space="preserve">Eliminar la aplicación móvil fue una buena decisión que la PWA volvió innecesaria de revisar: una sola base de código se instala en el teléfono y en el escritorio. El MVP estaba bien definido, con tres funciones verificables; es el artefacto de la formulación que mejor resistió el paso del tiempo.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12</w:t>
      </w:r>
    </w:p>
    <w:p>
      <w:pPr>
        <w:pStyle w:val="Heading1"/>
      </w:pPr>
      <w:bookmarkStart w:id="139" w:name="sec_139"/>
      <w:r>
        <w:rPr>
          <w:b/>
          <w:bCs/>
          <w:color w:val="0B3D2B"/>
          <w:sz w:val="34"/>
          <w:szCs w:val="34"/>
        </w:rPr>
        <w:t xml:space="preserve">Cronograma</w:t>
      </w:r>
      <w:bookmarkEnd w:id="139"/>
    </w:p>
    <w:p>
      <w:pPr>
        <w:pStyle w:val="Heading2"/>
      </w:pPr>
      <w:bookmarkStart w:id="140" w:name="sec_140"/>
      <w:r>
        <w:rPr>
          <w:b/>
          <w:bCs/>
          <w:color w:val="067A52"/>
          <w:sz w:val="25"/>
          <w:szCs w:val="25"/>
        </w:rPr>
        <w:t xml:space="preserve">12.1 Red de precedencias</w:t>
      </w:r>
      <w:bookmarkEnd w:id="140"/>
    </w:p>
    <w:p>
      <w:pPr>
        <w:spacing w:before="0" w:after="140" w:line="288" w:lineRule="auto"/>
      </w:pPr>
      <w:r>
        <w:rPr>
          <w:color w:val="17261F"/>
          <w:sz w:val="20"/>
          <w:szCs w:val="20"/>
        </w:rPr>
        <w:t xml:space="preserve">La tabla de precedencias de la formulación codificó las actividades por fase (AN análisis, DI diseño, DE desarrollo, PR pruebas) con su duración y responsable.</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keepNext/>
        <w:spacing w:before="0" w:after="60" w:line="288" w:lineRule="auto"/>
        <w:jc w:val="center"/>
      </w:pPr>
      <w:r>
        <w:drawing>
          <wp:inline distT="0" distB="0" distL="0" distR="0">
            <wp:extent cx="8229600" cy="1841629"/>
            <wp:docPr id="141" name="SmartPot_22_Precedence_Network"/>
            <wp:cNvGraphicFramePr>
              <a:graphicFrameLocks noChangeAspect="1"/>
            </wp:cNvGraphicFramePr>
            <a:graphic>
              <a:graphicData uri="http://schemas.openxmlformats.org/drawingml/2006/picture">
                <pic:pic>
                  <pic:nvPicPr>
                    <pic:cNvPr id="141" name="SmartPot_22_Precedence_Network"/>
                    <pic:cNvPicPr/>
                  </pic:nvPicPr>
                  <pic:blipFill>
                    <a:blip r:embed="rIdImg10"/>
                    <a:stretch>
                      <a:fillRect/>
                    </a:stretch>
                  </pic:blipFill>
                  <pic:spPr>
                    <a:xfrm>
                      <a:off x="0" y="0"/>
                      <a:ext cx="8229600" cy="1841629"/>
                    </a:xfrm>
                    <a:prstGeom prst="rect">
                      <a:avLst/>
                    </a:prstGeom>
                  </pic:spPr>
                </pic:pic>
              </a:graphicData>
            </a:graphic>
          </wp:inline>
        </w:drawing>
      </w:r>
    </w:p>
    <w:p>
      <w:pPr>
        <w:spacing w:before="0" w:after="0" w:line="288" w:lineRule="auto"/>
        <w:jc w:val="center"/>
      </w:pPr>
      <w:r>
        <w:rPr>
          <w:b/>
          <w:bCs/>
          <w:color w:val="067A52"/>
          <w:sz w:val="16"/>
          <w:szCs w:val="16"/>
        </w:rPr>
        <w:t xml:space="preserve">Figura 8</w:t>
      </w:r>
      <w:r>
        <w:rPr>
          <w:i/>
          <w:iCs/>
          <w:color w:val="5B6B63"/>
          <w:sz w:val="16"/>
          <w:szCs w:val="16"/>
        </w:rPr>
        <w:t xml:space="preserve">  ·  Red de precedencias de la formulación</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LECTURA CRÍTICA</w:t>
            </w:r>
          </w:p>
          <w:p>
            <w:pPr>
              <w:spacing w:before="0" w:after="0" w:line="276" w:lineRule="auto"/>
            </w:pPr>
            <w:r>
              <w:rPr>
                <w:color w:val="17261F"/>
                <w:sz w:val="18"/>
                <w:szCs w:val="18"/>
              </w:rPr>
              <w:t xml:space="preserve">La red hace depender el frontend (DE-04) de un backend terminado (DE-03), lo que alarga la ruta crítica en cuatro semanas. El acta proponía lo contrario en su plan de riesgos: documentar los contratos de la API desde el inicio y usar </w:t>
            </w:r>
            <w:r>
              <w:rPr>
                <w:i/>
                <w:iCs/>
                <w:color w:val="17261F"/>
                <w:sz w:val="18"/>
                <w:szCs w:val="18"/>
              </w:rPr>
              <w:t xml:space="preserve">mocks</w:t>
            </w:r>
            <w:r>
              <w:rPr>
                <w:color w:val="17261F"/>
                <w:sz w:val="18"/>
                <w:szCs w:val="18"/>
              </w:rPr>
              <w:t xml:space="preserve"> para desacoplar capas. Con los contratos primero, backend y frontend pueden avanzar en paralelo; así se trabajó después con OpenAPI en </w:t>
            </w:r>
            <w:r>
              <w:rPr>
                <w:rFonts w:ascii="JetBrains Mono" w:hAnsi="JetBrains Mono" w:eastAsia="JetBrains Mono" w:cs="JetBrains Mono"/>
                <w:color w:val="0A5A3C"/>
                <w:sz w:val="16"/>
                <w:szCs w:val="16"/>
              </w:rPr>
              <w:t xml:space="preserve">/docs</w:t>
            </w:r>
            <w:r>
              <w:rPr>
                <w:color w:val="17261F"/>
                <w:sz w:val="18"/>
                <w:szCs w:val="18"/>
              </w:rPr>
              <w:t xml:space="preserve"> y el contrato MQTT v1.</w:t>
            </w:r>
          </w:p>
        </w:tc>
      </w:tr>
    </w:tbl>
    <w:p>
      <w:pPr>
        <w:spacing w:before="160" w:after="0" w:line="240" w:lineRule="auto"/>
        <w:rPr>
          <w:sz w:val="8"/>
        </w:rPr>
      </w:pPr>
    </w:p>
    <w:p>
      <w:pPr>
        <w:pStyle w:val="Heading2"/>
      </w:pPr>
      <w:bookmarkStart w:id="142" w:name="sec_142"/>
      <w:r>
        <w:rPr>
          <w:b/>
          <w:bCs/>
          <w:color w:val="067A52"/>
          <w:sz w:val="25"/>
          <w:szCs w:val="25"/>
        </w:rPr>
        <w:t xml:space="preserve">12.2 Ruta crítica</w:t>
      </w:r>
      <w:bookmarkEnd w:id="142"/>
    </w:p>
    <w:p>
      <w:pPr>
        <w:spacing w:before="0" w:after="140" w:line="288" w:lineRule="auto"/>
      </w:pPr>
      <w:r>
        <w:rPr>
          <w:color w:val="17261F"/>
          <w:sz w:val="20"/>
          <w:szCs w:val="20"/>
        </w:rPr>
        <w:t xml:space="preserve">En la gestión del proyecto el cronograma se llevó a MS Project con estimaciones PERT, una EDT de cuatro niveles y el método de la ruta crítica. El informe de tareas críticas lista 57 actividades sin holgura, desde la redacción del acta hasta el archivo del repositorio.</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keepNext/>
        <w:spacing w:before="0" w:after="60" w:line="288" w:lineRule="auto"/>
        <w:jc w:val="center"/>
      </w:pPr>
      <w:r>
        <w:drawing>
          <wp:inline distT="0" distB="0" distL="0" distR="0">
            <wp:extent cx="8229600" cy="3017520"/>
            <wp:docPr id="143" name="SmartPot_23_Critical_Path_Gantt"/>
            <wp:cNvGraphicFramePr>
              <a:graphicFrameLocks noChangeAspect="1"/>
            </wp:cNvGraphicFramePr>
            <a:graphic>
              <a:graphicData uri="http://schemas.openxmlformats.org/drawingml/2006/picture">
                <pic:pic>
                  <pic:nvPicPr>
                    <pic:cNvPr id="143" name="SmartPot_23_Critical_Path_Gantt"/>
                    <pic:cNvPicPr/>
                  </pic:nvPicPr>
                  <pic:blipFill>
                    <a:blip r:embed="rIdImg11"/>
                    <a:stretch>
                      <a:fillRect/>
                    </a:stretch>
                  </pic:blipFill>
                  <pic:spPr>
                    <a:xfrm>
                      <a:off x="0" y="0"/>
                      <a:ext cx="8229600" cy="3017520"/>
                    </a:xfrm>
                    <a:prstGeom prst="rect">
                      <a:avLst/>
                    </a:prstGeom>
                  </pic:spPr>
                </pic:pic>
              </a:graphicData>
            </a:graphic>
          </wp:inline>
        </w:drawing>
      </w:r>
    </w:p>
    <w:p>
      <w:pPr>
        <w:spacing w:before="0" w:after="0" w:line="288" w:lineRule="auto"/>
        <w:jc w:val="center"/>
      </w:pPr>
      <w:r>
        <w:rPr>
          <w:b/>
          <w:bCs/>
          <w:color w:val="067A52"/>
          <w:sz w:val="16"/>
          <w:szCs w:val="16"/>
        </w:rPr>
        <w:t xml:space="preserve">Figura 9</w:t>
      </w:r>
      <w:r>
        <w:rPr>
          <w:i/>
          <w:iCs/>
          <w:color w:val="5B6B63"/>
          <w:sz w:val="16"/>
          <w:szCs w:val="16"/>
        </w:rPr>
        <w:t xml:space="preserve">  ·  Ruta crítica de la línea base</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295"/>
        <w:gridCol w:w="2208"/>
        <w:gridCol w:w="4857"/>
      </w:tblGrid>
      <w:tr>
        <w:trPr>
          <w:cantSplit/>
          <w:tblHeader/>
        </w:trPr>
        <w:tc>
          <w:tcPr>
            <w:tcW w:w="229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VERSIÓN DEL PLAN</w:t>
            </w:r>
          </w:p>
        </w:tc>
        <w:tc>
          <w:tcPr>
            <w:tcW w:w="220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FIN DEL PROYECTO</w:t>
            </w:r>
          </w:p>
        </w:tc>
        <w:tc>
          <w:tcPr>
            <w:tcW w:w="485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OBSERVACIÓN</w:t>
            </w:r>
          </w:p>
        </w:tc>
      </w:tr>
      <w:tr>
        <w:trPr>
          <w:cantSplit/>
        </w:trPr>
        <w:tc>
          <w:tcPr>
            <w:tcW w:w="229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Formulación</w:t>
            </w:r>
          </w:p>
        </w:tc>
        <w:tc>
          <w:tcPr>
            <w:tcW w:w="220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Diciembre (un semestre)</w:t>
            </w:r>
          </w:p>
        </w:tc>
        <w:tc>
          <w:tcPr>
            <w:tcW w:w="4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Cuatro fases mensuales</w:t>
            </w:r>
          </w:p>
        </w:tc>
      </w:tr>
      <w:tr>
        <w:trPr>
          <w:cantSplit/>
        </w:trPr>
        <w:tc>
          <w:tcPr>
            <w:tcW w:w="229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Hitos del acta</w:t>
            </w:r>
          </w:p>
        </w:tc>
        <w:tc>
          <w:tcPr>
            <w:tcW w:w="220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24 de julio de 2026</w:t>
            </w:r>
          </w:p>
        </w:tc>
        <w:tc>
          <w:tcPr>
            <w:tcW w:w="4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Ocho hitos entre el 16 de marzo y el 24 de julio</w:t>
            </w:r>
          </w:p>
        </w:tc>
      </w:tr>
      <w:tr>
        <w:trPr>
          <w:cantSplit/>
        </w:trPr>
        <w:tc>
          <w:tcPr>
            <w:tcW w:w="229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Línea base en MS Project</w:t>
            </w:r>
          </w:p>
        </w:tc>
        <w:tc>
          <w:tcPr>
            <w:tcW w:w="220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11 de mayo de 2026</w:t>
            </w:r>
          </w:p>
        </w:tc>
        <w:tc>
          <w:tcPr>
            <w:tcW w:w="4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Tareas de uno a dos días y sprints de tres a cinco días</w:t>
            </w:r>
          </w:p>
        </w:tc>
      </w:tr>
      <w:tr>
        <w:trPr>
          <w:cantSplit/>
        </w:trPr>
        <w:tc>
          <w:tcPr>
            <w:tcW w:w="229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Plan nivelado</w:t>
            </w:r>
          </w:p>
        </w:tc>
        <w:tc>
          <w:tcPr>
            <w:tcW w:w="220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de junio de 2026</w:t>
            </w:r>
          </w:p>
        </w:tc>
        <w:tc>
          <w:tcPr>
            <w:tcW w:w="4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56,06 días de duración tras eliminar sobreasignaciones</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El mismo alcance tuvo tres fechas de fin distintas. La línea base comprimió el plan del acta: terminaba dos meses y medio antes del último hito, con sprints de menos de una semana aunque el acta fijaba dos, y con actividades como «implementar la autenticación en dos pasos» en un día. Además, el informe de tareas críticas muestra todas las actividades al 0 % y en estado «retrasada»: el avance nunca se registró, así que el cronograma no podía avisar de ningún desvío. La lección práctica fue reemplazar el porcentaje declarado por evidencia automática: pruebas y QA en verde por cambio, y despliegues trazables.</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13</w:t>
      </w:r>
    </w:p>
    <w:p>
      <w:pPr>
        <w:pStyle w:val="Heading1"/>
      </w:pPr>
      <w:bookmarkStart w:id="144" w:name="sec_144"/>
      <w:r>
        <w:rPr>
          <w:b/>
          <w:bCs/>
          <w:color w:val="0B3D2B"/>
          <w:sz w:val="34"/>
          <w:szCs w:val="34"/>
        </w:rPr>
        <w:t xml:space="preserve">Recursos, asignación y nivelación</w:t>
      </w:r>
      <w:bookmarkEnd w:id="144"/>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87"/>
        <w:gridCol w:w="4522"/>
        <w:gridCol w:w="3351"/>
      </w:tblGrid>
      <w:tr>
        <w:trPr>
          <w:cantSplit/>
          <w:tblHeader/>
        </w:trPr>
        <w:tc>
          <w:tcPr>
            <w:tcW w:w="14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TIPO</w:t>
            </w:r>
          </w:p>
        </w:tc>
        <w:tc>
          <w:tcPr>
            <w:tcW w:w="452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RECURSOS</w:t>
            </w:r>
          </w:p>
        </w:tc>
        <w:tc>
          <w:tcPr>
            <w:tcW w:w="335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CRITERIO DE COSTO</w:t>
            </w:r>
          </w:p>
        </w:tc>
      </w:tr>
      <w:tr>
        <w:trPr>
          <w:cantSplit/>
        </w:trPr>
        <w:tc>
          <w:tcPr>
            <w:tcW w:w="1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Personas (4)</w:t>
            </w:r>
          </w:p>
        </w:tc>
        <w:tc>
          <w:tcPr>
            <w:tcW w:w="45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Gerente de proyecto, desarrollador </w:t>
            </w:r>
            <w:r>
              <w:rPr>
                <w:i/>
                <w:iCs/>
                <w:color w:val="17261F"/>
                <w:sz w:val="17"/>
                <w:szCs w:val="17"/>
              </w:rPr>
              <w:t xml:space="preserve">full stack</w:t>
            </w:r>
            <w:r>
              <w:rPr>
                <w:color w:val="17261F"/>
                <w:sz w:val="17"/>
                <w:szCs w:val="17"/>
              </w:rPr>
              <w:t xml:space="preserve"> 1, desarrollador </w:t>
            </w:r>
            <w:r>
              <w:rPr>
                <w:i/>
                <w:iCs/>
                <w:color w:val="17261F"/>
                <w:sz w:val="17"/>
                <w:szCs w:val="17"/>
              </w:rPr>
              <w:t xml:space="preserve">full stack</w:t>
            </w:r>
            <w:r>
              <w:rPr>
                <w:color w:val="17261F"/>
                <w:sz w:val="17"/>
                <w:szCs w:val="17"/>
              </w:rPr>
              <w:t xml:space="preserve"> 2, analista y </w:t>
            </w:r>
            <w:r>
              <w:rPr>
                <w:i/>
                <w:iCs/>
                <w:color w:val="17261F"/>
                <w:sz w:val="17"/>
                <w:szCs w:val="17"/>
              </w:rPr>
              <w:t xml:space="preserve">tester</w:t>
            </w:r>
          </w:p>
        </w:tc>
        <w:tc>
          <w:tcPr>
            <w:tcW w:w="33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Tasa estándar por hora</w:t>
            </w:r>
          </w:p>
        </w:tc>
      </w:tr>
      <w:tr>
        <w:trPr>
          <w:cantSplit/>
        </w:trPr>
        <w:tc>
          <w:tcPr>
            <w:tcW w:w="1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Equipos (4)</w:t>
            </w:r>
          </w:p>
        </w:tc>
        <w:tc>
          <w:tcPr>
            <w:tcW w:w="452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computador por persona</w:t>
            </w:r>
          </w:p>
        </w:tc>
        <w:tc>
          <w:tcPr>
            <w:tcW w:w="33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Costo cero: equipos propios</w:t>
            </w:r>
          </w:p>
        </w:tc>
      </w:tr>
      <w:tr>
        <w:trPr>
          <w:cantSplit/>
        </w:trPr>
        <w:tc>
          <w:tcPr>
            <w:tcW w:w="1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Plataformas (3)</w:t>
            </w:r>
          </w:p>
        </w:tc>
        <w:tc>
          <w:tcPr>
            <w:tcW w:w="452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IoT y simulación; backend y base de datos; frontend y despliegue web</w:t>
            </w:r>
          </w:p>
        </w:tc>
        <w:tc>
          <w:tcPr>
            <w:tcW w:w="33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Costo total; solo backend y base de datos con 20 USD de contingencia</w:t>
            </w:r>
          </w:p>
        </w:tc>
      </w:tr>
      <w:tr>
        <w:trPr>
          <w:cantSplit/>
        </w:trPr>
        <w:tc>
          <w:tcPr>
            <w:tcW w:w="1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Herramientas (2)</w:t>
            </w:r>
          </w:p>
        </w:tc>
        <w:tc>
          <w:tcPr>
            <w:tcW w:w="452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Repositorio e integración continua; desarrollo y pruebas</w:t>
            </w:r>
          </w:p>
        </w:tc>
        <w:tc>
          <w:tcPr>
            <w:tcW w:w="33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Costo cero: gratuitas</w:t>
            </w:r>
          </w:p>
        </w:tc>
      </w:tr>
    </w:tbl>
    <w:p>
      <w:pPr>
        <w:spacing w:before="160" w:after="0" w:line="240" w:lineRule="auto"/>
        <w:rPr>
          <w:sz w:val="8"/>
        </w:r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660"/>
        <w:gridCol w:w="1969"/>
        <w:gridCol w:w="3731"/>
      </w:tblGrid>
      <w:tr>
        <w:trPr>
          <w:cantSplit/>
          <w:tblHeader/>
        </w:trPr>
        <w:tc>
          <w:tcPr>
            <w:tcW w:w="366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TIPO DE ACTIVIDAD</w:t>
            </w:r>
          </w:p>
        </w:tc>
        <w:tc>
          <w:tcPr>
            <w:tcW w:w="196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RECURSO BASE</w:t>
            </w:r>
          </w:p>
        </w:tc>
        <w:tc>
          <w:tcPr>
            <w:tcW w:w="373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RECURSOS ADICIONALES</w:t>
            </w:r>
          </w:p>
        </w:tc>
      </w:tr>
      <w:tr>
        <w:trPr>
          <w:cantSplit/>
        </w:trPr>
        <w:tc>
          <w:tcPr>
            <w:tcW w:w="36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Gestión, alcance, riesgos, comunicaciones y cierre</w:t>
            </w:r>
          </w:p>
        </w:tc>
        <w:tc>
          <w:tcPr>
            <w:tcW w:w="196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Gerente con su equipo</w:t>
            </w:r>
          </w:p>
        </w:tc>
        <w:tc>
          <w:tcPr>
            <w:tcW w:w="37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Repositorio o herramientas solo si la tarea las usa</w:t>
            </w:r>
          </w:p>
        </w:tc>
      </w:tr>
      <w:tr>
        <w:trPr>
          <w:cantSplit/>
        </w:trPr>
        <w:tc>
          <w:tcPr>
            <w:tcW w:w="36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Requisitos, trazabilidad, validación y pruebas</w:t>
            </w:r>
          </w:p>
        </w:tc>
        <w:tc>
          <w:tcPr>
            <w:tcW w:w="196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Analista con su equipo</w:t>
            </w:r>
          </w:p>
        </w:tc>
        <w:tc>
          <w:tcPr>
            <w:tcW w:w="37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Herramientas de pruebas y plataformas involucradas</w:t>
            </w:r>
          </w:p>
        </w:tc>
      </w:tr>
      <w:tr>
        <w:trPr>
          <w:cantSplit/>
        </w:trPr>
        <w:tc>
          <w:tcPr>
            <w:tcW w:w="36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Diseño técnico, backend, seguridad y API</w:t>
            </w:r>
          </w:p>
        </w:tc>
        <w:tc>
          <w:tcPr>
            <w:tcW w:w="196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Desarrollador 1</w:t>
            </w:r>
          </w:p>
        </w:tc>
        <w:tc>
          <w:tcPr>
            <w:tcW w:w="37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Backend y base de datos, simulación, repositorio</w:t>
            </w:r>
          </w:p>
        </w:tc>
      </w:tr>
      <w:tr>
        <w:trPr>
          <w:cantSplit/>
        </w:trPr>
        <w:tc>
          <w:tcPr>
            <w:tcW w:w="36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Frontend, tablero e interfaz</w:t>
            </w:r>
          </w:p>
        </w:tc>
        <w:tc>
          <w:tcPr>
            <w:tcW w:w="196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Desarrollador 2</w:t>
            </w:r>
          </w:p>
        </w:tc>
        <w:tc>
          <w:tcPr>
            <w:tcW w:w="37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Frontend y despliegue web</w:t>
            </w:r>
          </w:p>
        </w:tc>
      </w:tr>
      <w:tr>
        <w:trPr>
          <w:cantSplit/>
        </w:trPr>
        <w:tc>
          <w:tcPr>
            <w:tcW w:w="36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Simulación IoT e integración con el ESP32 virtual</w:t>
            </w:r>
          </w:p>
        </w:tc>
        <w:tc>
          <w:tcPr>
            <w:tcW w:w="196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Desarrollador 1</w:t>
            </w:r>
          </w:p>
        </w:tc>
        <w:tc>
          <w:tcPr>
            <w:tcW w:w="37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Simulación y backend</w:t>
            </w:r>
          </w:p>
        </w:tc>
      </w:tr>
    </w:tbl>
    <w:p>
      <w:pPr>
        <w:spacing w:before="160" w:after="0" w:line="240" w:lineRule="auto"/>
        <w:rPr>
          <w:sz w:val="8"/>
        </w:rPr>
      </w:pPr>
    </w:p>
    <w:p>
      <w:pPr>
        <w:spacing w:before="0" w:after="140" w:line="288" w:lineRule="auto"/>
      </w:pPr>
      <w:r>
        <w:rPr>
          <w:color w:val="17261F"/>
          <w:sz w:val="20"/>
          <w:szCs w:val="20"/>
        </w:rPr>
        <w:t xml:space="preserve">La nivelación fue manual: se movieron horas entre días cercanos hasta que ninguna persona superara 8 horas por jornada, sin sumar recursos que el equipo no tenía. El cierre pasó al 10 de junio de 2026.</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809"/>
        <w:gridCol w:w="6551"/>
      </w:tblGrid>
      <w:tr>
        <w:trPr>
          <w:cantSplit/>
          <w:tblHeader/>
        </w:trPr>
        <w:tc>
          <w:tcPr>
            <w:tcW w:w="280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TRABAJO DEL INFORME</w:t>
            </w:r>
          </w:p>
        </w:tc>
        <w:tc>
          <w:tcPr>
            <w:tcW w:w="655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PROCESO DEL PMBOK (6.ª EDICIÓN)</w:t>
            </w:r>
          </w:p>
        </w:tc>
      </w:tr>
      <w:tr>
        <w:trPr>
          <w:cantSplit/>
        </w:trPr>
        <w:tc>
          <w:tcPr>
            <w:tcW w:w="280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Ruta crítica</w:t>
            </w:r>
          </w:p>
        </w:tc>
        <w:tc>
          <w:tcPr>
            <w:tcW w:w="65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6.5 Desarrollar el cronograma</w:t>
            </w:r>
          </w:p>
        </w:tc>
      </w:tr>
      <w:tr>
        <w:trPr>
          <w:cantSplit/>
        </w:trPr>
        <w:tc>
          <w:tcPr>
            <w:tcW w:w="280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Hoja de recursos</w:t>
            </w:r>
          </w:p>
        </w:tc>
        <w:tc>
          <w:tcPr>
            <w:tcW w:w="65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9.3 Adquirir los recursos (el informe lo rotuló 9.2)</w:t>
            </w:r>
          </w:p>
        </w:tc>
      </w:tr>
      <w:tr>
        <w:trPr>
          <w:cantSplit/>
        </w:trPr>
        <w:tc>
          <w:tcPr>
            <w:tcW w:w="280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Asignación a actividades</w:t>
            </w:r>
          </w:p>
        </w:tc>
        <w:tc>
          <w:tcPr>
            <w:tcW w:w="65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9.2 Estimar los recursos de las actividades</w:t>
            </w:r>
          </w:p>
        </w:tc>
      </w:tr>
      <w:tr>
        <w:trPr>
          <w:cantSplit/>
        </w:trPr>
        <w:tc>
          <w:tcPr>
            <w:tcW w:w="280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Eliminación de sobreasignaciones</w:t>
            </w:r>
          </w:p>
        </w:tc>
        <w:tc>
          <w:tcPr>
            <w:tcW w:w="65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9.6 Controlar los recursos, 6.6 Controlar el cronograma y 4.6 Control integrado de cambios</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LECTURA CRÍTICA</w:t>
            </w:r>
          </w:p>
          <w:p>
            <w:pPr>
              <w:spacing w:before="0" w:after="0" w:line="276" w:lineRule="auto"/>
            </w:pPr>
            <w:r>
              <w:rPr>
                <w:color w:val="17261F"/>
                <w:sz w:val="18"/>
                <w:szCs w:val="18"/>
              </w:rPr>
              <w:t xml:space="preserve">El informe de gestión es el mejor razonado de los documentos: explica qué se hizo, cómo y por qué, y acepta que alargar el plazo era más honesto que sostener cargas imposibles. Queda una deuda: el presupuesto del acta dedica la mitad al tiempo del equipo, pero el informe no reporta la línea base de costo que resultó de las tarifas. Cerrar ese círculo permite comparar el costo planeado con el valor ganado.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14</w:t>
      </w:r>
    </w:p>
    <w:p>
      <w:pPr>
        <w:pStyle w:val="Heading1"/>
      </w:pPr>
      <w:bookmarkStart w:id="145" w:name="sec_145"/>
      <w:r>
        <w:rPr>
          <w:b/>
          <w:bCs/>
          <w:color w:val="0B3D2B"/>
          <w:sz w:val="34"/>
          <w:szCs w:val="34"/>
        </w:rPr>
        <w:t xml:space="preserve">Riesgos</w:t>
      </w:r>
      <w:bookmarkEnd w:id="145"/>
    </w:p>
    <w:p>
      <w:pPr>
        <w:keepNext/>
        <w:spacing w:before="120" w:after="60" w:line="288" w:lineRule="auto"/>
        <w:jc w:val="center"/>
      </w:pPr>
      <w:r>
        <w:drawing>
          <wp:inline distT="0" distB="0" distL="0" distR="0">
            <wp:extent cx="4257270" cy="7112000"/>
            <wp:docPr id="146" name="SmartPot_25_Risk_Outcomes"/>
            <wp:cNvGraphicFramePr>
              <a:graphicFrameLocks noChangeAspect="1"/>
            </wp:cNvGraphicFramePr>
            <a:graphic>
              <a:graphicData uri="http://schemas.openxmlformats.org/drawingml/2006/picture">
                <pic:pic>
                  <pic:nvPicPr>
                    <pic:cNvPr id="146" name="SmartPot_25_Risk_Outcomes"/>
                    <pic:cNvPicPr/>
                  </pic:nvPicPr>
                  <pic:blipFill>
                    <a:blip r:embed="rIdImg12"/>
                    <a:stretch>
                      <a:fillRect/>
                    </a:stretch>
                  </pic:blipFill>
                  <pic:spPr>
                    <a:xfrm>
                      <a:off x="0" y="0"/>
                      <a:ext cx="4257270"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10</w:t>
      </w:r>
      <w:r>
        <w:rPr>
          <w:i/>
          <w:iCs/>
          <w:color w:val="5B6B63"/>
          <w:sz w:val="16"/>
          <w:szCs w:val="16"/>
        </w:rPr>
        <w:t xml:space="preserve">  ·  Riesgos del acta y su desenlace</w:t>
      </w:r>
    </w:p>
    <w:p>
      <w:pPr>
        <w:spacing w:before="0" w:after="140" w:line="288" w:lineRule="auto"/>
      </w:pPr>
      <w:r>
        <w:rPr>
          <w:color w:val="17261F"/>
          <w:sz w:val="20"/>
          <w:szCs w:val="20"/>
        </w:rPr>
        <w:t xml:space="preserve">El desenlace de cada riesgo del acta está en el </w:t>
      </w:r>
      <w:r>
        <w:rPr>
          <w:color w:val="1F6FA0"/>
          <w:sz w:val="20"/>
          <w:szCs w:val="20"/>
        </w:rPr>
        <w:t xml:space="preserve">recorrido del proyecto</w:t>
      </w:r>
      <w:r>
        <w:rPr>
          <w:color w:val="17261F"/>
          <w:sz w:val="20"/>
          <w:szCs w:val="20"/>
        </w:rPr>
        <w:t xml:space="preserve">. Aquí interesa lo que el registro </w:t>
      </w:r>
      <w:r>
        <w:rPr>
          <w:b/>
          <w:bCs/>
          <w:color w:val="17261F"/>
          <w:sz w:val="20"/>
          <w:szCs w:val="20"/>
        </w:rPr>
        <w:t xml:space="preserve">no</w:t>
      </w:r>
      <w:r>
        <w:rPr>
          <w:color w:val="17261F"/>
          <w:sz w:val="20"/>
          <w:szCs w:val="20"/>
        </w:rPr>
        <w:t xml:space="preserve"> vio: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36"/>
        <w:gridCol w:w="3645"/>
        <w:gridCol w:w="3579"/>
      </w:tblGrid>
      <w:tr>
        <w:trPr>
          <w:cantSplit/>
          <w:tblHeader/>
        </w:trPr>
        <w:tc>
          <w:tcPr>
            <w:tcW w:w="213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RIESGO NO IDENTIFICADO</w:t>
            </w:r>
          </w:p>
        </w:tc>
        <w:tc>
          <w:tcPr>
            <w:tcW w:w="364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APARECIÓ</w:t>
            </w:r>
          </w:p>
        </w:tc>
        <w:tc>
          <w:tcPr>
            <w:tcW w:w="357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RESPUESTA</w:t>
            </w:r>
          </w:p>
        </w:tc>
      </w:tr>
      <w:tr>
        <w:trPr>
          <w:cantSplit/>
        </w:trPr>
        <w:tc>
          <w:tcPr>
            <w:tcW w:w="21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Configuración que rompe producción</w:t>
            </w:r>
          </w:p>
        </w:tc>
        <w:tc>
          <w:tcPr>
            <w:tcW w:w="364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Tras cambiar el prefijo a </w:t>
            </w:r>
            <w:r>
              <w:rPr>
                <w:rFonts w:ascii="JetBrains Mono" w:hAnsi="JetBrains Mono" w:eastAsia="JetBrains Mono" w:cs="JetBrains Mono"/>
                <w:color w:val="0A5A3C"/>
                <w:sz w:val="15"/>
                <w:szCs w:val="15"/>
              </w:rPr>
              <w:t xml:space="preserve">/api/v1</w:t>
            </w:r>
            <w:r>
              <w:rPr>
                <w:color w:val="17261F"/>
                <w:sz w:val="17"/>
                <w:szCs w:val="17"/>
              </w:rPr>
              <w:t xml:space="preserve">, las rutas públicas quedaron con el prefijo viejo y todo respondía 401</w:t>
            </w:r>
          </w:p>
        </w:tc>
        <w:tc>
          <w:tcPr>
            <w:tcW w:w="35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controladores con la cadena de seguridad real y un E2E que se registra e ingresa en cada cambio</w:t>
            </w:r>
          </w:p>
        </w:tc>
      </w:tr>
      <w:tr>
        <w:trPr>
          <w:cantSplit/>
        </w:trPr>
        <w:tc>
          <w:tcPr>
            <w:tcW w:w="21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Servicios expuestos</w:t>
            </w:r>
          </w:p>
        </w:tc>
        <w:tc>
          <w:tcPr>
            <w:tcW w:w="364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Base de datos, caché, correo y API publicados en todas las interfaces</w:t>
            </w:r>
          </w:p>
        </w:tc>
        <w:tc>
          <w:tcPr>
            <w:tcW w:w="35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Redes internas de Docker, UFW cerrado y solo Nginx expuesto</w:t>
            </w:r>
          </w:p>
        </w:tc>
      </w:tr>
      <w:tr>
        <w:trPr>
          <w:cantSplit/>
        </w:trPr>
        <w:tc>
          <w:tcPr>
            <w:tcW w:w="21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Acceso a cultivos ajenos</w:t>
            </w:r>
          </w:p>
        </w:tc>
        <w:tc>
          <w:tcPr>
            <w:tcW w:w="364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Rutas sin control de dueño</w:t>
            </w:r>
          </w:p>
        </w:tc>
        <w:tc>
          <w:tcPr>
            <w:tcW w:w="35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Control de dueño en cada servicio y pruebas que lo verifican</w:t>
            </w:r>
          </w:p>
        </w:tc>
      </w:tr>
      <w:tr>
        <w:trPr>
          <w:cantSplit/>
        </w:trPr>
        <w:tc>
          <w:tcPr>
            <w:tcW w:w="213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Dependencia de una persona</w:t>
            </w:r>
          </w:p>
        </w:tc>
        <w:tc>
          <w:tcPr>
            <w:tcW w:w="364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Tres de cada cuatro commits humanos de una sola persona</w:t>
            </w:r>
          </w:p>
        </w:tc>
        <w:tc>
          <w:tcPr>
            <w:tcW w:w="357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Documentación completa, demo reproducible y convenciones iguales en todos los repositorios</w:t>
            </w:r>
          </w:p>
        </w:tc>
      </w:tr>
      <w:tr>
        <w:trPr>
          <w:cantSplit/>
        </w:trPr>
        <w:tc>
          <w:tcPr>
            <w:tcW w:w="213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Datos personales en documentos</w:t>
            </w:r>
          </w:p>
        </w:tc>
        <w:tc>
          <w:tcPr>
            <w:tcW w:w="364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Documentos de trabajo con datos de identificación</w:t>
            </w:r>
          </w:p>
        </w:tc>
        <w:tc>
          <w:tcPr>
            <w:tcW w:w="357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documentación publicada no los incluye</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LECTURA CRÍTICA</w:t>
            </w:r>
          </w:p>
          <w:p>
            <w:pPr>
              <w:spacing w:before="0" w:after="0" w:line="276" w:lineRule="auto"/>
            </w:pPr>
            <w:r>
              <w:rPr>
                <w:color w:val="17261F"/>
                <w:sz w:val="18"/>
                <w:szCs w:val="18"/>
              </w:rPr>
              <w:t xml:space="preserve">El registro de riesgos miraba al equipo y al calendario; los riesgos que de verdad se materializaron fueron de configuración y seguridad. Un registro vivo, revisado al final de cada ciclo, los habría anticipado.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15</w:t>
      </w:r>
    </w:p>
    <w:p>
      <w:pPr>
        <w:pStyle w:val="Heading1"/>
      </w:pPr>
      <w:bookmarkStart w:id="147" w:name="sec_147"/>
      <w:r>
        <w:rPr>
          <w:b/>
          <w:bCs/>
          <w:color w:val="0B3D2B"/>
          <w:sz w:val="34"/>
          <w:szCs w:val="34"/>
        </w:rPr>
        <w:t xml:space="preserve">Metodología, comunicaciones y control de cambios</w:t>
      </w:r>
      <w:bookmarkEnd w:id="147"/>
    </w:p>
    <w:p>
      <w:pPr>
        <w:spacing w:before="0" w:after="140" w:line="288" w:lineRule="auto"/>
      </w:pPr>
      <w:r>
        <w:rPr>
          <w:color w:val="17261F"/>
          <w:sz w:val="20"/>
          <w:szCs w:val="20"/>
        </w:rPr>
        <w:t xml:space="preserve">El acta adoptó Scrum con sprints de dos semanas, backlog priorizado por el Product Owner, demos ante el docente y retrospectivas.</w:t>
      </w:r>
    </w:p>
    <w:p>
      <w:pPr>
        <w:keepNext/>
        <w:spacing w:before="120" w:after="60" w:line="288" w:lineRule="auto"/>
        <w:jc w:val="center"/>
      </w:pPr>
      <w:r>
        <w:drawing>
          <wp:inline distT="0" distB="0" distL="0" distR="0">
            <wp:extent cx="5467174" cy="7112000"/>
            <wp:docPr id="148" name="SmartPot_24_Scrum_Cycle"/>
            <wp:cNvGraphicFramePr>
              <a:graphicFrameLocks noChangeAspect="1"/>
            </wp:cNvGraphicFramePr>
            <a:graphic>
              <a:graphicData uri="http://schemas.openxmlformats.org/drawingml/2006/picture">
                <pic:pic>
                  <pic:nvPicPr>
                    <pic:cNvPr id="148" name="SmartPot_24_Scrum_Cycle"/>
                    <pic:cNvPicPr/>
                  </pic:nvPicPr>
                  <pic:blipFill>
                    <a:blip r:embed="rIdImg13"/>
                    <a:stretch>
                      <a:fillRect/>
                    </a:stretch>
                  </pic:blipFill>
                  <pic:spPr>
                    <a:xfrm>
                      <a:off x="0" y="0"/>
                      <a:ext cx="5467174"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11</w:t>
      </w:r>
      <w:r>
        <w:rPr>
          <w:i/>
          <w:iCs/>
          <w:color w:val="5B6B63"/>
          <w:sz w:val="16"/>
          <w:szCs w:val="16"/>
        </w:rPr>
        <w:t xml:space="preserve">  ·  Ciclo Scrum planeado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694"/>
        <w:gridCol w:w="2640"/>
        <w:gridCol w:w="5026"/>
      </w:tblGrid>
      <w:tr>
        <w:trPr>
          <w:cantSplit/>
          <w:tblHeader/>
        </w:trPr>
        <w:tc>
          <w:tcPr>
            <w:tcW w:w="169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PRÁCTICA</w:t>
            </w:r>
          </w:p>
        </w:tc>
        <w:tc>
          <w:tcPr>
            <w:tcW w:w="26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PLANEADA</w:t>
            </w:r>
          </w:p>
        </w:tc>
        <w:tc>
          <w:tcPr>
            <w:tcW w:w="502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SE TRABAJÓ</w:t>
            </w:r>
          </w:p>
        </w:tc>
      </w:tr>
      <w:tr>
        <w:trPr>
          <w:cantSplit/>
        </w:trPr>
        <w:tc>
          <w:tcPr>
            <w:tcW w:w="169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Iteración</w:t>
            </w:r>
          </w:p>
        </w:tc>
        <w:tc>
          <w:tcPr>
            <w:tcW w:w="26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Cinco sprints de dos semanas</w:t>
            </w:r>
          </w:p>
        </w:tc>
        <w:tc>
          <w:tcPr>
            <w:tcW w:w="50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Ciclos de mejora con diagnóstico, backlog y criterios de aceptación (parte VII)</w:t>
            </w:r>
          </w:p>
        </w:tc>
      </w:tr>
      <w:tr>
        <w:trPr>
          <w:cantSplit/>
        </w:trPr>
        <w:tc>
          <w:tcPr>
            <w:tcW w:w="169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Definition of Done</w:t>
            </w:r>
          </w:p>
        </w:tc>
        <w:tc>
          <w:tcPr>
            <w:tcW w:w="26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Revisión de código, cobertura mínima y demo</w:t>
            </w:r>
          </w:p>
        </w:tc>
        <w:tc>
          <w:tcPr>
            <w:tcW w:w="50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Código con sus pruebas, CI del repositorio en verde, QA de extremo a extremo en verde, documentación al día y despliegue desde GHCR con </w:t>
            </w:r>
            <w:r>
              <w:rPr>
                <w:rFonts w:ascii="JetBrains Mono" w:hAnsi="JetBrains Mono" w:eastAsia="JetBrains Mono" w:cs="JetBrains Mono"/>
                <w:color w:val="0A5A3C"/>
                <w:sz w:val="15"/>
                <w:szCs w:val="15"/>
              </w:rPr>
              <w:t xml:space="preserve">/health</w:t>
            </w:r>
            <w:r>
              <w:rPr>
                <w:color w:val="17261F"/>
                <w:sz w:val="17"/>
                <w:szCs w:val="17"/>
              </w:rPr>
              <w:t xml:space="preserve"> en UP</w:t>
            </w:r>
          </w:p>
        </w:tc>
      </w:tr>
      <w:tr>
        <w:trPr>
          <w:cantSplit/>
        </w:trPr>
        <w:tc>
          <w:tcPr>
            <w:tcW w:w="169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Comunicaciones</w:t>
            </w:r>
          </w:p>
        </w:tc>
        <w:tc>
          <w:tcPr>
            <w:tcW w:w="26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Canales, frecuencia y demos</w:t>
            </w:r>
          </w:p>
        </w:tc>
        <w:tc>
          <w:tcPr>
            <w:tcW w:w="50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Commits pequeños en inglés con un solo propósito, READMEs por repositorio y estos documentos</w:t>
            </w:r>
          </w:p>
        </w:tc>
      </w:tr>
      <w:tr>
        <w:trPr>
          <w:cantSplit/>
        </w:trPr>
        <w:tc>
          <w:tcPr>
            <w:tcW w:w="169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Control de cambios</w:t>
            </w:r>
          </w:p>
        </w:tc>
        <w:tc>
          <w:tcPr>
            <w:tcW w:w="26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Proceso formal y backlog congelado por sprint</w:t>
            </w:r>
          </w:p>
        </w:tc>
        <w:tc>
          <w:tcPr>
            <w:tcW w:w="50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Cada ciclo abre un alcance nuevo; el contrato MQTT versionado (</w:t>
            </w:r>
            <w:r>
              <w:rPr>
                <w:rFonts w:ascii="JetBrains Mono" w:hAnsi="JetBrains Mono" w:eastAsia="JetBrains Mono" w:cs="JetBrains Mono"/>
                <w:color w:val="0A5A3C"/>
                <w:sz w:val="15"/>
                <w:szCs w:val="15"/>
              </w:rPr>
              <w:t xml:space="preserve">v1</w:t>
            </w:r>
            <w:r>
              <w:rPr>
                <w:color w:val="17261F"/>
                <w:sz w:val="17"/>
                <w:szCs w:val="17"/>
              </w:rPr>
              <w:t xml:space="preserve">) protege a los dispositivos de los cambios</w:t>
            </w:r>
          </w:p>
        </w:tc>
      </w:tr>
      <w:tr>
        <w:trPr>
          <w:cantSplit/>
        </w:trPr>
        <w:tc>
          <w:tcPr>
            <w:tcW w:w="169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Métricas</w:t>
            </w:r>
          </w:p>
        </w:tc>
        <w:tc>
          <w:tcPr>
            <w:tcW w:w="26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Velocidad y </w:t>
            </w:r>
            <w:r>
              <w:rPr>
                <w:i/>
                <w:iCs/>
                <w:color w:val="17261F"/>
                <w:sz w:val="17"/>
                <w:szCs w:val="17"/>
              </w:rPr>
              <w:t xml:space="preserve">burndown</w:t>
            </w:r>
          </w:p>
        </w:tc>
        <w:tc>
          <w:tcPr>
            <w:tcW w:w="50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estado del QA y despliegues por ciclo (sección 38)</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Scrum se planeó completo pero no se ejecutó como tal: con una persona haciendo la mayor parte del trabajo, las ceremonias pierden sentido. Lo que sí funcionó fue su esencia: iteraciones cortas, un incremento desplegable al final de cada una y una definición de terminado automatizada. Para un equipo pequeño, un tablero Kanban con límites de trabajo en curso y la misma definición de terminado es más honesto que un Scrum nominal.</w:t>
            </w:r>
          </w:p>
        </w:tc>
      </w:tr>
    </w:tbl>
    <w:p>
      <w:pPr>
        <w:spacing w:before="160" w:after="0" w:line="240" w:lineRule="auto"/>
        <w:rPr>
          <w:sz w:val="8"/>
        </w:r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III</w:t>
            </w:r>
          </w:p>
          <w:p>
            <w:pPr>
              <w:spacing w:before="0" w:after="0" w:line="240" w:lineRule="auto"/>
            </w:pPr>
            <w:r>
              <w:rPr>
                <w:rFonts w:ascii="Century Gothic" w:hAnsi="Century Gothic" w:eastAsia="Century Gothic" w:cs="Century Gothic"/>
                <w:b/>
                <w:bCs/>
                <w:color w:val="FFFFFF"/>
                <w:sz w:val="44"/>
                <w:szCs w:val="44"/>
              </w:rPr>
              <w:t xml:space="preserve">Análisis</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16</w:t>
      </w:r>
    </w:p>
    <w:p>
      <w:pPr>
        <w:pStyle w:val="Heading1"/>
      </w:pPr>
      <w:bookmarkStart w:id="149" w:name="sec_149"/>
      <w:r>
        <w:rPr>
          <w:b/>
          <w:bCs/>
          <w:color w:val="0B3D2B"/>
          <w:sz w:val="34"/>
          <w:szCs w:val="34"/>
        </w:rPr>
        <w:t xml:space="preserve">De la necesidad al requisito</w:t>
      </w:r>
      <w:bookmarkEnd w:id="149"/>
    </w:p>
    <w:p>
      <w:pPr>
        <w:spacing w:before="0" w:after="140" w:line="288" w:lineRule="auto"/>
      </w:pPr>
      <w:r>
        <w:rPr>
          <w:color w:val="17261F"/>
          <w:sz w:val="20"/>
          <w:szCs w:val="20"/>
        </w:rPr>
        <w:t xml:space="preserve">Los requisitos tuvieron tres versiones:</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771"/>
        <w:gridCol w:w="1587"/>
        <w:gridCol w:w="6002"/>
      </w:tblGrid>
      <w:tr>
        <w:trPr>
          <w:cantSplit/>
          <w:tblHeader/>
        </w:trPr>
        <w:tc>
          <w:tcPr>
            <w:tcW w:w="177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VERSIÓN</w:t>
            </w:r>
          </w:p>
        </w:tc>
        <w:tc>
          <w:tcPr>
            <w:tcW w:w="15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FECHA</w:t>
            </w:r>
          </w:p>
        </w:tc>
        <w:tc>
          <w:tcPr>
            <w:tcW w:w="600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CONTENIDO</w:t>
            </w:r>
          </w:p>
        </w:tc>
      </w:tr>
      <w:tr>
        <w:trPr>
          <w:cantSplit/>
        </w:trPr>
        <w:tc>
          <w:tcPr>
            <w:tcW w:w="177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Matriz de requisitos</w:t>
            </w:r>
          </w:p>
        </w:tc>
        <w:tc>
          <w:tcPr>
            <w:tcW w:w="15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Agosto de 2024</w:t>
            </w:r>
          </w:p>
        </w:tc>
        <w:tc>
          <w:tcPr>
            <w:tcW w:w="600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Requisitos no funcionales RNF001 a RNF007 en versión 0.1, todos «sin empezar»; el contrato de la API era el RNF007</w:t>
            </w:r>
          </w:p>
        </w:tc>
      </w:tr>
      <w:tr>
        <w:trPr>
          <w:cantSplit/>
        </w:trPr>
        <w:tc>
          <w:tcPr>
            <w:tcW w:w="177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Acta de constitución</w:t>
            </w:r>
          </w:p>
        </w:tc>
        <w:tc>
          <w:tcPr>
            <w:tcW w:w="15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Marzo de 2026</w:t>
            </w:r>
          </w:p>
        </w:tc>
        <w:tc>
          <w:tcPr>
            <w:tcW w:w="600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RF-001 a RF-017 y RNF-001 a RNF-006; el contrato de la API pasó a ser el RF-015</w:t>
            </w:r>
          </w:p>
        </w:tc>
      </w:tr>
      <w:tr>
        <w:trPr>
          <w:cantSplit/>
        </w:trPr>
        <w:tc>
          <w:tcPr>
            <w:tcW w:w="177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Plataforma</w:t>
            </w:r>
          </w:p>
        </w:tc>
        <w:tc>
          <w:tcPr>
            <w:tcW w:w="15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Septiembre de 2026</w:t>
            </w:r>
          </w:p>
        </w:tc>
        <w:tc>
          <w:tcPr>
            <w:tcW w:w="600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13 requisitos funcionales cumplidos, 3 parciales y 1 replanteado; 4 no funcionales cumplidos y 2 pendientes</w:t>
            </w:r>
          </w:p>
        </w:tc>
      </w:tr>
    </w:tbl>
    <w:p>
      <w:pPr>
        <w:spacing w:before="160" w:after="0" w:line="240" w:lineRule="auto"/>
        <w:rPr>
          <w:sz w:val="8"/>
        </w:rPr>
      </w:pPr>
    </w:p>
    <w:p>
      <w:pPr>
        <w:spacing w:before="0" w:after="140" w:line="288" w:lineRule="auto"/>
      </w:pPr>
      <w:r>
        <w:rPr>
          <w:color w:val="17261F"/>
          <w:sz w:val="20"/>
          <w:szCs w:val="20"/>
        </w:rPr>
        <w:t xml:space="preserve">El estado de cada requisito está en el </w:t>
      </w:r>
      <w:r>
        <w:rPr>
          <w:color w:val="1F6FA0"/>
          <w:sz w:val="20"/>
          <w:szCs w:val="20"/>
        </w:rPr>
        <w:t xml:space="preserve">recorrido del proyecto</w:t>
      </w:r>
      <w:r>
        <w:rPr>
          <w:color w:val="17261F"/>
          <w:sz w:val="20"/>
          <w:szCs w:val="20"/>
        </w:rPr>
        <w:t xml:space="preserve">. Esta sección revisa su </w:t>
      </w:r>
      <w:r>
        <w:rPr>
          <w:b/>
          <w:bCs/>
          <w:color w:val="17261F"/>
          <w:sz w:val="20"/>
          <w:szCs w:val="20"/>
        </w:rPr>
        <w:t xml:space="preserve">calidad</w:t>
      </w:r>
      <w:r>
        <w:rPr>
          <w:color w:val="17261F"/>
          <w:sz w:val="20"/>
          <w:szCs w:val="20"/>
        </w:rPr>
        <w:t xml:space="preserve"> con las características de un buen requisito (necesario, sin ambigüedad, verificable y completo).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81"/>
        <w:gridCol w:w="3521"/>
        <w:gridCol w:w="3958"/>
      </w:tblGrid>
      <w:tr>
        <w:trPr>
          <w:cantSplit/>
          <w:tblHeader/>
        </w:trPr>
        <w:tc>
          <w:tcPr>
            <w:tcW w:w="188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REQUISITO</w:t>
            </w:r>
          </w:p>
        </w:tc>
        <w:tc>
          <w:tcPr>
            <w:tcW w:w="352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PROBLEMA</w:t>
            </w:r>
          </w:p>
        </w:tc>
        <w:tc>
          <w:tcPr>
            <w:tcW w:w="395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REESCRITURA VERIFICABLE</w:t>
            </w:r>
          </w:p>
        </w:tc>
      </w:tr>
      <w:tr>
        <w:trPr>
          <w:cantSplit/>
        </w:trPr>
        <w:tc>
          <w:tcPr>
            <w:tcW w:w="188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RF-002 Calibrar sensores</w:t>
            </w:r>
          </w:p>
        </w:tc>
        <w:tc>
          <w:tcPr>
            <w:tcW w:w="35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descripción quedó cortada a mitad de frase</w:t>
            </w:r>
          </w:p>
        </w:tc>
        <w:tc>
          <w:tcPr>
            <w:tcW w:w="39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sistema permite ajustar la escala de cada sensor de un cultivo y registra quién la cambió</w:t>
            </w:r>
          </w:p>
        </w:tc>
      </w:tr>
      <w:tr>
        <w:trPr>
          <w:cantSplit/>
        </w:trPr>
        <w:tc>
          <w:tcPr>
            <w:tcW w:w="188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RF-009, RF-012, RF-013 y RF-014</w:t>
            </w:r>
          </w:p>
        </w:tc>
        <w:tc>
          <w:tcPr>
            <w:tcW w:w="35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Usan «podrá» o «permitirá» junto a otros con «debe»: no queda claro si son obligatorios</w:t>
            </w:r>
          </w:p>
        </w:tc>
        <w:tc>
          <w:tcPr>
            <w:tcW w:w="39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Todos con «debe» y una prioridad MoSCoW explícita</w:t>
            </w:r>
          </w:p>
        </w:tc>
      </w:tr>
      <w:tr>
        <w:trPr>
          <w:cantSplit/>
        </w:trPr>
        <w:tc>
          <w:tcPr>
            <w:tcW w:w="188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RF-014 Gestión de nutrientes</w:t>
            </w:r>
          </w:p>
        </w:tc>
        <w:tc>
          <w:tcPr>
            <w:tcW w:w="35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 manera efectiva» no se puede probar</w:t>
            </w:r>
          </w:p>
        </w:tc>
        <w:tc>
          <w:tcPr>
            <w:tcW w:w="39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sistema bloquea la dosificación de nutrientes cuando el TDS supera el máximo de la especie</w:t>
            </w:r>
          </w:p>
        </w:tc>
      </w:tr>
      <w:tr>
        <w:trPr>
          <w:cantSplit/>
        </w:trPr>
        <w:tc>
          <w:tcPr>
            <w:tcW w:w="188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RF-017 Estado general</w:t>
            </w:r>
          </w:p>
        </w:tc>
        <w:tc>
          <w:tcPr>
            <w:tcW w:w="35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Tres niveles fijos</w:t>
            </w:r>
          </w:p>
        </w:tc>
        <w:tc>
          <w:tcPr>
            <w:tcW w:w="39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Índice de 0 a 100 con cinco niveles y el aporte de cada variable (implementado así)</w:t>
            </w:r>
          </w:p>
        </w:tc>
      </w:tr>
      <w:tr>
        <w:trPr>
          <w:cantSplit/>
        </w:trPr>
        <w:tc>
          <w:tcPr>
            <w:tcW w:w="188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RNF-001 Doble verificación</w:t>
            </w:r>
          </w:p>
        </w:tc>
        <w:tc>
          <w:tcPr>
            <w:tcW w:w="35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 justificaba con ISO/IEC 25000, que es un marco de calidad y no exige 2FA</w:t>
            </w:r>
          </w:p>
        </w:tc>
        <w:tc>
          <w:tcPr>
            <w:tcW w:w="39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cuenta admite un segundo factor por aplicación de autenticación; motivo: la característica de seguridad de ISO/IEC 25010</w:t>
            </w:r>
          </w:p>
        </w:tc>
      </w:tr>
      <w:tr>
        <w:trPr>
          <w:cantSplit/>
        </w:trPr>
        <w:tc>
          <w:tcPr>
            <w:tcW w:w="188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RNF-002 Paleta</w:t>
            </w:r>
          </w:p>
        </w:tc>
        <w:tc>
          <w:tcPr>
            <w:tcW w:w="35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diseño llamativo que garantice la permanencia» no se puede verificar</w:t>
            </w:r>
          </w:p>
        </w:tc>
        <w:tc>
          <w:tcPr>
            <w:tcW w:w="39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Los textos cumplen contraste WCAG AA y las series de las gráficas son distinguibles con daltonismo (lo segundo ya se valida)</w:t>
            </w:r>
          </w:p>
        </w:tc>
      </w:tr>
      <w:tr>
        <w:trPr>
          <w:cantSplit/>
        </w:trPr>
        <w:tc>
          <w:tcPr>
            <w:tcW w:w="1881"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RNF-003 Tiempo real</w:t>
            </w:r>
          </w:p>
        </w:tc>
        <w:tc>
          <w:tcPr>
            <w:tcW w:w="35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En la matriz de 2024 hablaba de «canciones guardadas»: un error de copia de otro proyecto</w:t>
            </w:r>
          </w:p>
        </w:tc>
        <w:tc>
          <w:tcPr>
            <w:tcW w:w="39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PWA muestra una lectura nueva en menos de 30 s desde que el dispositivo la publica</w:t>
            </w:r>
          </w:p>
        </w:tc>
      </w:tr>
      <w:tr>
        <w:trPr>
          <w:cantSplit/>
        </w:trPr>
        <w:tc>
          <w:tcPr>
            <w:tcW w:w="1881"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RNF-005 Navegación clara</w:t>
            </w:r>
          </w:p>
        </w:tc>
        <w:tc>
          <w:tcPr>
            <w:tcW w:w="35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«Entendible para todas las edades» no es medible</w:t>
            </w:r>
          </w:p>
        </w:tc>
        <w:tc>
          <w:tcPr>
            <w:tcW w:w="39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Toda función principal está a dos toques o menos desde el panel</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Faltaron requisitos no funcionales que la plataforma tuvo que resolver igual: disponibilidad, rendimiento (la latencia de 500 ms solo aparecía en los criterios de aprobación), privacidad y retención de datos, observabilidad y mantenibilidad. Hoy existen como decisiones de construcción (retención de un año, límites de peticiones, </w:t>
            </w:r>
            <w:r>
              <w:rPr>
                <w:rFonts w:ascii="JetBrains Mono" w:hAnsi="JetBrains Mono" w:eastAsia="JetBrains Mono" w:cs="JetBrains Mono"/>
                <w:color w:val="0A5A3C"/>
                <w:sz w:val="16"/>
                <w:szCs w:val="16"/>
              </w:rPr>
              <w:t xml:space="preserve">/health</w:t>
            </w:r>
            <w:r>
              <w:rPr>
                <w:color w:val="17261F"/>
                <w:sz w:val="18"/>
                <w:szCs w:val="18"/>
              </w:rPr>
              <w:t xml:space="preserve"> por servicio, CI en todos los repositorios) y conviene elevarlos a requisitos para poder probarlos.</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17</w:t>
      </w:r>
    </w:p>
    <w:p>
      <w:pPr>
        <w:pStyle w:val="Heading1"/>
      </w:pPr>
      <w:bookmarkStart w:id="150" w:name="sec_150"/>
      <w:r>
        <w:rPr>
          <w:b/>
          <w:bCs/>
          <w:color w:val="0B3D2B"/>
          <w:sz w:val="34"/>
          <w:szCs w:val="34"/>
        </w:rPr>
        <w:t xml:space="preserve">Casos de uso</w:t>
      </w:r>
      <w:bookmarkEnd w:id="150"/>
    </w:p>
    <w:p>
      <w:pPr>
        <w:keepNext/>
        <w:spacing w:before="120" w:after="60" w:line="288" w:lineRule="auto"/>
        <w:jc w:val="center"/>
      </w:pPr>
      <w:r>
        <w:drawing>
          <wp:inline distT="0" distB="0" distL="0" distR="0">
            <wp:extent cx="2985990" cy="7112000"/>
            <wp:docPr id="151" name="SmartPot_10_Use_Cases"/>
            <wp:cNvGraphicFramePr>
              <a:graphicFrameLocks noChangeAspect="1"/>
            </wp:cNvGraphicFramePr>
            <a:graphic>
              <a:graphicData uri="http://schemas.openxmlformats.org/drawingml/2006/picture">
                <pic:pic>
                  <pic:nvPicPr>
                    <pic:cNvPr id="151" name="SmartPot_10_Use_Cases"/>
                    <pic:cNvPicPr/>
                  </pic:nvPicPr>
                  <pic:blipFill>
                    <a:blip r:embed="rIdImg14"/>
                    <a:stretch>
                      <a:fillRect/>
                    </a:stretch>
                  </pic:blipFill>
                  <pic:spPr>
                    <a:xfrm>
                      <a:off x="0" y="0"/>
                      <a:ext cx="2985990"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12</w:t>
      </w:r>
      <w:r>
        <w:rPr>
          <w:i/>
          <w:iCs/>
          <w:color w:val="5B6B63"/>
          <w:sz w:val="16"/>
          <w:szCs w:val="16"/>
        </w:rPr>
        <w:t xml:space="preserve">  ·  Casos de uso de SmartPot</w:t>
      </w:r>
    </w:p>
    <w:p>
      <w:pPr>
        <w:spacing w:before="0" w:after="140" w:line="288" w:lineRule="auto"/>
      </w:pPr>
      <w:r>
        <w:rPr>
          <w:color w:val="17261F"/>
          <w:sz w:val="20"/>
          <w:szCs w:val="20"/>
        </w:rPr>
        <w:t xml:space="preserve">Los ocho casos de uso del diseño se conservan y la construcción sumó cuatro: controlar en bloque, simular un cultivo virtual, vincular Telegram y ver lo aprendido por la IA. El cambio de fondo es un actor nuevo: el </w:t>
      </w:r>
      <w:r>
        <w:rPr>
          <w:b/>
          <w:bCs/>
          <w:color w:val="17261F"/>
          <w:sz w:val="20"/>
          <w:szCs w:val="20"/>
        </w:rPr>
        <w:t xml:space="preserve">agente de IA</w:t>
      </w:r>
      <w:r>
        <w:rPr>
          <w:color w:val="17261F"/>
          <w:sz w:val="20"/>
          <w:szCs w:val="20"/>
        </w:rPr>
        <w:t xml:space="preserve"> aparece como actor secundario de «regar automáticamente» y «recibir alertas». En el diseño la maceta decidía; en la plataforma decide un agente que la persona activa y puede auditar.</w:t>
      </w:r>
    </w:p>
    <w:p>
      <w:pPr>
        <w:keepNext/>
        <w:spacing w:before="360" w:after="40" w:line="288" w:lineRule="auto"/>
      </w:pPr>
      <w:r>
        <w:rPr>
          <w:b/>
          <w:bCs/>
          <w:color w:val="009A64"/>
          <w:spacing w:val="60"/>
          <w:sz w:val="16"/>
          <w:szCs w:val="16"/>
        </w:rPr>
        <w:t xml:space="preserve">SECCIÓN 18</w:t>
      </w:r>
    </w:p>
    <w:p>
      <w:pPr>
        <w:pStyle w:val="Heading1"/>
      </w:pPr>
      <w:bookmarkStart w:id="152" w:name="sec_152"/>
      <w:r>
        <w:rPr>
          <w:b/>
          <w:bCs/>
          <w:color w:val="0B3D2B"/>
          <w:sz w:val="34"/>
          <w:szCs w:val="34"/>
        </w:rPr>
        <w:t xml:space="preserve">Trazabilidad</w:t>
      </w:r>
      <w:bookmarkEnd w:id="152"/>
    </w:p>
    <w:p>
      <w:pPr>
        <w:spacing w:before="0" w:after="140" w:line="288" w:lineRule="auto"/>
      </w:pPr>
      <w:r>
        <w:rPr>
          <w:color w:val="17261F"/>
          <w:sz w:val="20"/>
          <w:szCs w:val="20"/>
        </w:rPr>
        <w:t xml:space="preserve">El acta pedía una matriz de trazabilidad de requisito a módulo y a caso de prueba. Esta es la matriz con la plataforma actual:</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042"/>
        <w:gridCol w:w="1058"/>
        <w:gridCol w:w="3132"/>
        <w:gridCol w:w="3128"/>
      </w:tblGrid>
      <w:tr>
        <w:trPr>
          <w:cantSplit/>
          <w:tblHeader/>
        </w:trPr>
        <w:tc>
          <w:tcPr>
            <w:tcW w:w="204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REQUISITO</w:t>
            </w:r>
          </w:p>
        </w:tc>
        <w:tc>
          <w:tcPr>
            <w:tcW w:w="105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CASO DE USO</w:t>
            </w:r>
          </w:p>
        </w:tc>
        <w:tc>
          <w:tcPr>
            <w:tcW w:w="313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DÓNDE VIVE</w:t>
            </w:r>
          </w:p>
        </w:tc>
        <w:tc>
          <w:tcPr>
            <w:tcW w:w="312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SE PRUEBA</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RF-001 Acceder</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CU001</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security</w:t>
            </w:r>
            <w:r>
              <w:rPr>
                <w:color w:val="17261F"/>
                <w:sz w:val="17"/>
                <w:szCs w:val="17"/>
              </w:rPr>
              <w:t xml:space="preserve"> y </w:t>
            </w:r>
            <w:r>
              <w:rPr>
                <w:rFonts w:ascii="JetBrains Mono" w:hAnsi="JetBrains Mono" w:eastAsia="JetBrains Mono" w:cs="JetBrains Mono"/>
                <w:color w:val="0A5A3C"/>
                <w:sz w:val="15"/>
                <w:szCs w:val="15"/>
              </w:rPr>
              <w:t xml:space="preserve">users</w:t>
            </w:r>
            <w:r>
              <w:rPr>
                <w:color w:val="17261F"/>
                <w:sz w:val="17"/>
                <w:szCs w:val="17"/>
              </w:rPr>
              <w:t xml:space="preserve">; PWA de ingreso</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E2E: registro, ingreso y rechazo sin sesión</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RF-002 Calibrar sensores</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CU002</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Firmware </w:t>
            </w:r>
            <w:r>
              <w:rPr>
                <w:rFonts w:ascii="JetBrains Mono" w:hAnsi="JetBrains Mono" w:eastAsia="JetBrains Mono" w:cs="JetBrains Mono"/>
                <w:color w:val="0A5A3C"/>
                <w:sz w:val="15"/>
                <w:szCs w:val="15"/>
              </w:rPr>
              <w:t xml:space="preserve">ADCSensor</w:t>
            </w:r>
            <w:r>
              <w:rPr>
                <w:color w:val="17261F"/>
                <w:sz w:val="17"/>
                <w:szCs w:val="17"/>
              </w:rPr>
              <w:t xml:space="preserve">; PWA del dispositivo</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del firmware</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RF-003 Estado de las plantas</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CU003</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overview</w:t>
            </w:r>
            <w:r>
              <w:rPr>
                <w:color w:val="17261F"/>
                <w:sz w:val="17"/>
                <w:szCs w:val="17"/>
              </w:rPr>
              <w:t xml:space="preserve"> y </w:t>
            </w:r>
            <w:r>
              <w:rPr>
                <w:rFonts w:ascii="JetBrains Mono" w:hAnsi="JetBrains Mono" w:eastAsia="JetBrains Mono" w:cs="JetBrains Mono"/>
                <w:color w:val="0A5A3C"/>
                <w:sz w:val="15"/>
                <w:szCs w:val="15"/>
              </w:rPr>
              <w:t xml:space="preserve">crops</w:t>
            </w:r>
            <w:r>
              <w:rPr>
                <w:color w:val="17261F"/>
                <w:sz w:val="17"/>
                <w:szCs w:val="17"/>
              </w:rPr>
              <w:t xml:space="preserve">; IA de salud</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E2E: panel general</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RF-004 Riego automático</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CU004</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ai</w:t>
            </w:r>
            <w:r>
              <w:rPr>
                <w:color w:val="17261F"/>
                <w:sz w:val="17"/>
                <w:szCs w:val="17"/>
              </w:rPr>
              <w:t xml:space="preserve"> (agente de automatización); IA del agente</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del agente y de sus reglas</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RF-005 Alertas</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CU005</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notifications</w:t>
            </w:r>
            <w:r>
              <w:rPr>
                <w:color w:val="17261F"/>
                <w:sz w:val="17"/>
                <w:szCs w:val="17"/>
              </w:rPr>
              <w:t xml:space="preserve"> y </w:t>
            </w:r>
            <w:r>
              <w:rPr>
                <w:rFonts w:ascii="JetBrains Mono" w:hAnsi="JetBrains Mono" w:eastAsia="JetBrains Mono" w:cs="JetBrains Mono"/>
                <w:color w:val="0A5A3C"/>
                <w:sz w:val="15"/>
                <w:szCs w:val="15"/>
              </w:rPr>
              <w:t xml:space="preserve">channels</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notificaciones y del reenvío a Telegram</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RF-006 Historial</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CU006</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readings</w:t>
            </w:r>
            <w:r>
              <w:rPr>
                <w:color w:val="17261F"/>
                <w:sz w:val="17"/>
                <w:szCs w:val="17"/>
              </w:rPr>
              <w:t xml:space="preserve">; PWA de historial y CSV</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E2E: series agregadas</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RF-007 Registrar lecturas</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CU003</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mqtt</w:t>
            </w:r>
            <w:r>
              <w:rPr>
                <w:color w:val="17261F"/>
                <w:sz w:val="17"/>
                <w:szCs w:val="17"/>
              </w:rPr>
              <w:t xml:space="preserve"> y </w:t>
            </w:r>
            <w:r>
              <w:rPr>
                <w:rFonts w:ascii="JetBrains Mono" w:hAnsi="JetBrains Mono" w:eastAsia="JetBrains Mono" w:cs="JetBrains Mono"/>
                <w:color w:val="0A5A3C"/>
                <w:sz w:val="15"/>
                <w:szCs w:val="15"/>
              </w:rPr>
              <w:t xml:space="preserve">readings</w:t>
            </w:r>
            <w:r>
              <w:rPr>
                <w:color w:val="17261F"/>
                <w:sz w:val="17"/>
                <w:szCs w:val="17"/>
              </w:rPr>
              <w:t xml:space="preserve">, con retención de un año</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E2E: lectura publicada por MQTT</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RF-008 Configurar parámetros</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CU007</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Base de conocimiento de la IA</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 los perfiles por especie</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RF-009 Control de luz</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CU004</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Reglas del agente con descanso nocturno</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reglas</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RF-010 Control manual</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CU009</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commands</w:t>
            </w:r>
            <w:r>
              <w:rPr>
                <w:color w:val="17261F"/>
                <w:sz w:val="17"/>
                <w:szCs w:val="17"/>
              </w:rPr>
              <w:t xml:space="preserve"> y </w:t>
            </w:r>
            <w:r>
              <w:rPr>
                <w:rFonts w:ascii="JetBrains Mono" w:hAnsi="JetBrains Mono" w:eastAsia="JetBrains Mono" w:cs="JetBrains Mono"/>
                <w:color w:val="0A5A3C"/>
                <w:sz w:val="15"/>
                <w:szCs w:val="15"/>
              </w:rPr>
              <w:t xml:space="preserve">actuators</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E2E: comando con ACK y orden en bloque</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RF-011 Perfil</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CU008</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users</w:t>
            </w:r>
            <w:r>
              <w:rPr>
                <w:color w:val="17261F"/>
                <w:sz w:val="17"/>
                <w:szCs w:val="17"/>
              </w:rPr>
              <w:t xml:space="preserve"> y </w:t>
            </w:r>
            <w:r>
              <w:rPr>
                <w:rFonts w:ascii="JetBrains Mono" w:hAnsi="JetBrains Mono" w:eastAsia="JetBrains Mono" w:cs="JetBrains Mono"/>
                <w:color w:val="0A5A3C"/>
                <w:sz w:val="15"/>
                <w:szCs w:val="15"/>
              </w:rPr>
              <w:t xml:space="preserve">channels</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controladores</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RF-012 Reportes</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CU006, CU012</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Resumen, CSV, análisis de flota y aprendizaje</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 la IA; E2E de aprendizaje</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RF-013 Gestión de plantas</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CU007</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w:t>
            </w:r>
            <w:r>
              <w:rPr>
                <w:rFonts w:ascii="JetBrains Mono" w:hAnsi="JetBrains Mono" w:eastAsia="JetBrains Mono" w:cs="JetBrains Mono"/>
                <w:color w:val="0A5A3C"/>
                <w:sz w:val="15"/>
                <w:szCs w:val="15"/>
              </w:rPr>
              <w:t xml:space="preserve">crops</w:t>
            </w:r>
            <w:r>
              <w:rPr>
                <w:color w:val="17261F"/>
                <w:sz w:val="17"/>
                <w:szCs w:val="17"/>
              </w:rPr>
              <w:t xml:space="preserve"> y </w:t>
            </w:r>
            <w:r>
              <w:rPr>
                <w:rFonts w:ascii="JetBrains Mono" w:hAnsi="JetBrains Mono" w:eastAsia="JetBrains Mono" w:cs="JetBrains Mono"/>
                <w:color w:val="0A5A3C"/>
                <w:sz w:val="15"/>
                <w:szCs w:val="15"/>
              </w:rPr>
              <w:t xml:space="preserve">actuators</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controladores</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RF-014 Nutrientes</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CU009</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Dosificadores y regla de bloqueo de nutrientes</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 reglas</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RF-015 Conectar con la API</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CU002</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Contrato MQTT v1 y OpenAPI en </w:t>
            </w:r>
            <w:r>
              <w:rPr>
                <w:rFonts w:ascii="JetBrains Mono" w:hAnsi="JetBrains Mono" w:eastAsia="JetBrains Mono" w:cs="JetBrains Mono"/>
                <w:color w:val="0A5A3C"/>
                <w:sz w:val="15"/>
                <w:szCs w:val="15"/>
              </w:rPr>
              <w:t xml:space="preserve">/docs</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contrato y E2E</w:t>
            </w:r>
          </w:p>
        </w:tc>
      </w:tr>
      <w:tr>
        <w:trPr>
          <w:cantSplit/>
        </w:trPr>
        <w:tc>
          <w:tcPr>
            <w:tcW w:w="204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RF-016 Gráficos históricos</w:t>
            </w:r>
          </w:p>
        </w:tc>
        <w:tc>
          <w:tcPr>
            <w:tcW w:w="105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CU006</w:t>
            </w:r>
          </w:p>
        </w:tc>
        <w:tc>
          <w:tcPr>
            <w:tcW w:w="313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PWA: gráfico con banda ideal y comparador</w:t>
            </w:r>
          </w:p>
        </w:tc>
        <w:tc>
          <w:tcPr>
            <w:tcW w:w="312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Pruebas de componentes</w:t>
            </w:r>
          </w:p>
        </w:tc>
      </w:tr>
      <w:tr>
        <w:trPr>
          <w:cantSplit/>
        </w:trPr>
        <w:tc>
          <w:tcPr>
            <w:tcW w:w="204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RF-017 Estado general</w:t>
            </w:r>
          </w:p>
        </w:tc>
        <w:tc>
          <w:tcPr>
            <w:tcW w:w="105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CU003</w:t>
            </w:r>
          </w:p>
        </w:tc>
        <w:tc>
          <w:tcPr>
            <w:tcW w:w="313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IA: índice difuso de salud</w:t>
            </w:r>
          </w:p>
        </w:tc>
        <w:tc>
          <w:tcPr>
            <w:tcW w:w="312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la IA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19</w:t>
      </w:r>
    </w:p>
    <w:p>
      <w:pPr>
        <w:pStyle w:val="Heading1"/>
      </w:pPr>
      <w:bookmarkStart w:id="153" w:name="sec_153"/>
      <w:r>
        <w:rPr>
          <w:b/>
          <w:bCs/>
          <w:color w:val="0B3D2B"/>
          <w:sz w:val="34"/>
          <w:szCs w:val="34"/>
        </w:rPr>
        <w:t xml:space="preserve">Reglas de negocio y base de conocimiento</w:t>
      </w:r>
      <w:bookmarkEnd w:id="153"/>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04"/>
        <w:gridCol w:w="3405"/>
        <w:gridCol w:w="3851"/>
      </w:tblGrid>
      <w:tr>
        <w:trPr>
          <w:cantSplit/>
          <w:tblHeader/>
        </w:trPr>
        <w:tc>
          <w:tcPr>
            <w:tcW w:w="210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340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c>
          <w:tcPr>
            <w:tcW w:w="385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POR QUÉ</w:t>
            </w:r>
          </w:p>
        </w:tc>
      </w:tr>
      <w:tr>
        <w:trPr>
          <w:cantSplit/>
        </w:trPr>
        <w:tc>
          <w:tcPr>
            <w:tcW w:w="210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Frecuencia máxima de lecturas</w:t>
            </w:r>
          </w:p>
        </w:tc>
        <w:tc>
          <w:tcPr>
            <w:tcW w:w="34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Una cada 5 s por cultivo</w:t>
            </w:r>
          </w:p>
        </w:tc>
        <w:tc>
          <w:tcPr>
            <w:tcW w:w="38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Proteger la base de datos y la API de un dispositivo mal configurado</w:t>
            </w:r>
          </w:p>
        </w:tc>
      </w:tr>
      <w:tr>
        <w:trPr>
          <w:cantSplit/>
        </w:trPr>
        <w:tc>
          <w:tcPr>
            <w:tcW w:w="210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Retención de lecturas</w:t>
            </w:r>
          </w:p>
        </w:tc>
        <w:tc>
          <w:tcPr>
            <w:tcW w:w="34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año</w:t>
            </w:r>
          </w:p>
        </w:tc>
        <w:tc>
          <w:tcPr>
            <w:tcW w:w="38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Historial útil sin crecimiento indefinido</w:t>
            </w:r>
          </w:p>
        </w:tc>
      </w:tr>
      <w:tr>
        <w:trPr>
          <w:cantSplit/>
        </w:trPr>
        <w:tc>
          <w:tcPr>
            <w:tcW w:w="210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Evaluación del agente</w:t>
            </w:r>
          </w:p>
        </w:tc>
        <w:tc>
          <w:tcPr>
            <w:tcW w:w="34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5 minutos, con las últimas 48 lecturas</w:t>
            </w:r>
          </w:p>
        </w:tc>
        <w:tc>
          <w:tcPr>
            <w:tcW w:w="38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Suficiente para ver tendencias sin saturar la IA</w:t>
            </w:r>
          </w:p>
        </w:tc>
      </w:tr>
      <w:tr>
        <w:trPr>
          <w:cantSplit/>
        </w:trPr>
        <w:tc>
          <w:tcPr>
            <w:tcW w:w="210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Enfriamiento por actuador</w:t>
            </w:r>
          </w:p>
        </w:tc>
        <w:tc>
          <w:tcPr>
            <w:tcW w:w="34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minutos</w:t>
            </w:r>
          </w:p>
        </w:tc>
        <w:tc>
          <w:tcPr>
            <w:tcW w:w="38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Evitar que el agente encienda y apague en ciclo</w:t>
            </w:r>
          </w:p>
        </w:tc>
      </w:tr>
      <w:tr>
        <w:trPr>
          <w:cantSplit/>
        </w:trPr>
        <w:tc>
          <w:tcPr>
            <w:tcW w:w="210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Vencimiento de un comando</w:t>
            </w:r>
          </w:p>
        </w:tc>
        <w:tc>
          <w:tcPr>
            <w:tcW w:w="34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 minutos sin confirmación</w:t>
            </w:r>
          </w:p>
        </w:tc>
        <w:tc>
          <w:tcPr>
            <w:tcW w:w="38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Avisar a la persona si el dispositivo no responde</w:t>
            </w:r>
          </w:p>
        </w:tc>
      </w:tr>
      <w:tr>
        <w:trPr>
          <w:cantSplit/>
        </w:trPr>
        <w:tc>
          <w:tcPr>
            <w:tcW w:w="210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Sensor sospechoso</w:t>
            </w:r>
          </w:p>
        </w:tc>
        <w:tc>
          <w:tcPr>
            <w:tcW w:w="34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agente no actúa</w:t>
            </w:r>
          </w:p>
        </w:tc>
        <w:tc>
          <w:tcPr>
            <w:tcW w:w="38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Ante un valor imposible es más seguro no regar</w:t>
            </w:r>
          </w:p>
        </w:tc>
      </w:tr>
      <w:tr>
        <w:trPr>
          <w:cantSplit/>
        </w:trPr>
        <w:tc>
          <w:tcPr>
            <w:tcW w:w="210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Límite de peticiones</w:t>
            </w:r>
          </w:p>
        </w:tc>
        <w:tc>
          <w:tcPr>
            <w:tcW w:w="34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300 por minuto; 10 por minuto en autenticación</w:t>
            </w:r>
          </w:p>
        </w:tc>
        <w:tc>
          <w:tcPr>
            <w:tcW w:w="38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Frenar abuso y fuerza bruta</w:t>
            </w:r>
          </w:p>
        </w:tc>
      </w:tr>
      <w:tr>
        <w:trPr>
          <w:cantSplit/>
        </w:trPr>
        <w:tc>
          <w:tcPr>
            <w:tcW w:w="210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Recuperación de contraseña</w:t>
            </w:r>
          </w:p>
        </w:tc>
        <w:tc>
          <w:tcPr>
            <w:tcW w:w="34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Enlace de un solo uso que vence en 30 minutos</w:t>
            </w:r>
          </w:p>
        </w:tc>
        <w:tc>
          <w:tcPr>
            <w:tcW w:w="38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No enviar credenciales por correo</w:t>
            </w:r>
          </w:p>
        </w:tc>
      </w:tr>
      <w:tr>
        <w:trPr>
          <w:cantSplit/>
        </w:trPr>
        <w:tc>
          <w:tcPr>
            <w:tcW w:w="210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Cultivos virtuales</w:t>
            </w:r>
          </w:p>
        </w:tc>
        <w:tc>
          <w:tcPr>
            <w:tcW w:w="34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Hasta 5 por cuenta; real o virtual no cambia tras crearlo</w:t>
            </w:r>
          </w:p>
        </w:tc>
        <w:tc>
          <w:tcPr>
            <w:tcW w:w="385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Mantener acotado el simulador compartido</w:t>
            </w:r>
          </w:p>
        </w:tc>
      </w:tr>
      <w:tr>
        <w:trPr>
          <w:cantSplit/>
        </w:trPr>
        <w:tc>
          <w:tcPr>
            <w:tcW w:w="210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Descanso nocturno de la luz</w:t>
            </w:r>
          </w:p>
        </w:tc>
        <w:tc>
          <w:tcPr>
            <w:tcW w:w="34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 22:00 a 6:00, hora de Colombia</w:t>
            </w:r>
          </w:p>
        </w:tc>
        <w:tc>
          <w:tcPr>
            <w:tcW w:w="385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Respetar el fotoperiodo</w:t>
            </w:r>
          </w:p>
        </w:tc>
      </w:tr>
    </w:tbl>
    <w:p>
      <w:pPr>
        <w:spacing w:before="160" w:after="0" w:line="240" w:lineRule="auto"/>
        <w:rPr>
          <w:sz w:val="8"/>
        </w:rPr>
      </w:pPr>
    </w:p>
    <w:p>
      <w:pPr>
        <w:spacing w:before="0" w:after="140" w:line="288" w:lineRule="auto"/>
      </w:pPr>
      <w:r>
        <w:rPr>
          <w:color w:val="17261F"/>
          <w:sz w:val="20"/>
          <w:szCs w:val="20"/>
        </w:rPr>
        <w:t xml:space="preserve">La base de conocimiento nació de la investigación temática del diseño (lechuga y tomate) y hoy cubre seis especies: lechuga, tomate, fresa, albahaca, espinaca y pimentón. El detalle de sus rangos está en el </w:t>
      </w:r>
      <w:r>
        <w:rPr>
          <w:color w:val="1F6FA0"/>
          <w:sz w:val="20"/>
          <w:szCs w:val="20"/>
        </w:rPr>
        <w:t xml:space="preserve">recorrido del proyecto</w:t>
      </w:r>
      <w:r>
        <w:rPr>
          <w:color w:val="17261F"/>
          <w:sz w:val="20"/>
          <w:szCs w:val="20"/>
        </w:rPr>
        <w:t xml:space="preserve"> y en la </w:t>
      </w:r>
      <w:r>
        <w:rPr>
          <w:color w:val="1F6FA0"/>
          <w:sz w:val="20"/>
          <w:szCs w:val="20"/>
        </w:rPr>
        <w:t xml:space="preserve">documentación técnica</w:t>
      </w:r>
      <w:r>
        <w:rPr>
          <w:color w:val="17261F"/>
          <w:sz w:val="20"/>
          <w:szCs w:val="20"/>
        </w:rPr>
        <w:t xml:space="preserve">.</w:t>
      </w: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IV</w:t>
            </w:r>
          </w:p>
          <w:p>
            <w:pPr>
              <w:spacing w:before="0" w:after="0" w:line="240" w:lineRule="auto"/>
            </w:pPr>
            <w:r>
              <w:rPr>
                <w:rFonts w:ascii="Century Gothic" w:hAnsi="Century Gothic" w:eastAsia="Century Gothic" w:cs="Century Gothic"/>
                <w:b/>
                <w:bCs/>
                <w:color w:val="FFFFFF"/>
                <w:sz w:val="44"/>
                <w:szCs w:val="44"/>
              </w:rPr>
              <w:t xml:space="preserve">Diseño</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20</w:t>
      </w:r>
    </w:p>
    <w:p>
      <w:pPr>
        <w:pStyle w:val="Heading1"/>
      </w:pPr>
      <w:bookmarkStart w:id="154" w:name="sec_154"/>
      <w:r>
        <w:rPr>
          <w:b/>
          <w:bCs/>
          <w:color w:val="0B3D2B"/>
          <w:sz w:val="34"/>
          <w:szCs w:val="34"/>
        </w:rPr>
        <w:t xml:space="preserve">Arquitectura</w:t>
      </w:r>
      <w:bookmarkEnd w:id="154"/>
    </w:p>
    <w:p>
      <w:pPr>
        <w:pStyle w:val="Heading2"/>
      </w:pPr>
      <w:bookmarkStart w:id="155" w:name="sec_155"/>
      <w:r>
        <w:rPr>
          <w:b/>
          <w:bCs/>
          <w:color w:val="067A52"/>
          <w:sz w:val="25"/>
          <w:szCs w:val="25"/>
        </w:rPr>
        <w:t xml:space="preserve">20.1 Contexto</w:t>
      </w:r>
      <w:bookmarkEnd w:id="155"/>
    </w:p>
    <w:p>
      <w:pPr>
        <w:keepNext/>
        <w:spacing w:before="120" w:after="60" w:line="288" w:lineRule="auto"/>
        <w:jc w:val="center"/>
      </w:pPr>
      <w:r>
        <w:drawing>
          <wp:inline distT="0" distB="0" distL="0" distR="0">
            <wp:extent cx="5943600" cy="3403726"/>
            <wp:docPr id="156" name="SmartPot_26_C4_Context"/>
            <wp:cNvGraphicFramePr>
              <a:graphicFrameLocks noChangeAspect="1"/>
            </wp:cNvGraphicFramePr>
            <a:graphic>
              <a:graphicData uri="http://schemas.openxmlformats.org/drawingml/2006/picture">
                <pic:pic>
                  <pic:nvPicPr>
                    <pic:cNvPr id="156" name="SmartPot_26_C4_Context"/>
                    <pic:cNvPicPr/>
                  </pic:nvPicPr>
                  <pic:blipFill>
                    <a:blip r:embed="rIdImg15"/>
                    <a:stretch>
                      <a:fillRect/>
                    </a:stretch>
                  </pic:blipFill>
                  <pic:spPr>
                    <a:xfrm>
                      <a:off x="0" y="0"/>
                      <a:ext cx="5943600" cy="3403726"/>
                    </a:xfrm>
                    <a:prstGeom prst="rect">
                      <a:avLst/>
                    </a:prstGeom>
                  </pic:spPr>
                </pic:pic>
              </a:graphicData>
            </a:graphic>
          </wp:inline>
        </w:drawing>
      </w:r>
    </w:p>
    <w:p>
      <w:pPr>
        <w:spacing w:before="0" w:after="240" w:line="288" w:lineRule="auto"/>
        <w:jc w:val="center"/>
      </w:pPr>
      <w:r>
        <w:rPr>
          <w:b/>
          <w:bCs/>
          <w:color w:val="067A52"/>
          <w:sz w:val="16"/>
          <w:szCs w:val="16"/>
        </w:rPr>
        <w:t xml:space="preserve">Figura 13</w:t>
      </w:r>
      <w:r>
        <w:rPr>
          <w:i/>
          <w:iCs/>
          <w:color w:val="5B6B63"/>
          <w:sz w:val="16"/>
          <w:szCs w:val="16"/>
        </w:rPr>
        <w:t xml:space="preserve">  ·  Contexto del sistema</w:t>
      </w:r>
    </w:p>
    <w:p>
      <w:pPr>
        <w:pStyle w:val="Heading2"/>
      </w:pPr>
      <w:bookmarkStart w:id="157" w:name="sec_157"/>
      <w:r>
        <w:rPr>
          <w:b/>
          <w:bCs/>
          <w:color w:val="067A52"/>
          <w:sz w:val="25"/>
          <w:szCs w:val="25"/>
        </w:rPr>
        <w:t xml:space="preserve">20.2 Contenedores</w:t>
      </w:r>
      <w:bookmarkEnd w:id="157"/>
    </w:p>
    <w:p>
      <w:pPr>
        <w:keepNext/>
        <w:spacing w:before="120" w:after="60" w:line="288" w:lineRule="auto"/>
        <w:jc w:val="center"/>
      </w:pPr>
      <w:r>
        <w:drawing>
          <wp:inline distT="0" distB="0" distL="0" distR="0">
            <wp:extent cx="5943600" cy="4633801"/>
            <wp:docPr id="158" name="SmartPot_01_Architecture"/>
            <wp:cNvGraphicFramePr>
              <a:graphicFrameLocks noChangeAspect="1"/>
            </wp:cNvGraphicFramePr>
            <a:graphic>
              <a:graphicData uri="http://schemas.openxmlformats.org/drawingml/2006/picture">
                <pic:pic>
                  <pic:nvPicPr>
                    <pic:cNvPr id="158" name="SmartPot_01_Architecture"/>
                    <pic:cNvPicPr/>
                  </pic:nvPicPr>
                  <pic:blipFill>
                    <a:blip r:embed="rIdImg16"/>
                    <a:stretch>
                      <a:fillRect/>
                    </a:stretch>
                  </pic:blipFill>
                  <pic:spPr>
                    <a:xfrm>
                      <a:off x="0" y="0"/>
                      <a:ext cx="5943600" cy="4633801"/>
                    </a:xfrm>
                    <a:prstGeom prst="rect">
                      <a:avLst/>
                    </a:prstGeom>
                  </pic:spPr>
                </pic:pic>
              </a:graphicData>
            </a:graphic>
          </wp:inline>
        </w:drawing>
      </w:r>
    </w:p>
    <w:p>
      <w:pPr>
        <w:spacing w:before="0" w:after="240" w:line="288" w:lineRule="auto"/>
        <w:jc w:val="center"/>
      </w:pPr>
      <w:r>
        <w:rPr>
          <w:b/>
          <w:bCs/>
          <w:color w:val="067A52"/>
          <w:sz w:val="16"/>
          <w:szCs w:val="16"/>
        </w:rPr>
        <w:t xml:space="preserve">Figura 14</w:t>
      </w:r>
      <w:r>
        <w:rPr>
          <w:i/>
          <w:iCs/>
          <w:color w:val="5B6B63"/>
          <w:sz w:val="16"/>
          <w:szCs w:val="16"/>
        </w:rPr>
        <w:t xml:space="preserve">  ·  Arquitectura general de SmartPot</w:t>
      </w:r>
    </w:p>
    <w:p>
      <w:pPr>
        <w:pStyle w:val="Heading2"/>
      </w:pPr>
      <w:bookmarkStart w:id="159" w:name="sec_159"/>
      <w:r>
        <w:rPr>
          <w:b/>
          <w:bCs/>
          <w:color w:val="067A52"/>
          <w:sz w:val="25"/>
          <w:szCs w:val="25"/>
        </w:rPr>
        <w:t xml:space="preserve">20.3 Decisiones de arquitectura</w:t>
      </w:r>
      <w:bookmarkEnd w:id="159"/>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73"/>
        <w:gridCol w:w="1943"/>
        <w:gridCol w:w="2771"/>
        <w:gridCol w:w="2773"/>
      </w:tblGrid>
      <w:tr>
        <w:trPr>
          <w:cantSplit/>
          <w:tblHeader/>
        </w:trPr>
        <w:tc>
          <w:tcPr>
            <w:tcW w:w="18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DECISIÓN</w:t>
            </w:r>
          </w:p>
        </w:tc>
        <w:tc>
          <w:tcPr>
            <w:tcW w:w="194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ALTERNATIVA DESCARTADA</w:t>
            </w:r>
          </w:p>
        </w:tc>
        <w:tc>
          <w:tcPr>
            <w:tcW w:w="277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POR QUÉ</w:t>
            </w:r>
          </w:p>
        </w:tc>
        <w:tc>
          <w:tcPr>
            <w:tcW w:w="27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CONSECUENCIA</w:t>
            </w:r>
          </w:p>
        </w:tc>
      </w:tr>
      <w:tr>
        <w:trPr>
          <w:cantSplit/>
        </w:trPr>
        <w:tc>
          <w:tcPr>
            <w:tcW w:w="18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MQTT v1 entre dispositivo y plataforma</w:t>
            </w:r>
          </w:p>
        </w:tc>
        <w:tc>
          <w:tcPr>
            <w:tcW w:w="19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Consulta periódica por HTTP</w:t>
            </w:r>
          </w:p>
        </w:tc>
        <w:tc>
          <w:tcPr>
            <w:tcW w:w="27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Conexión liviana, bidireccional y con estado en línea (última voluntad)</w:t>
            </w:r>
          </w:p>
        </w:tc>
        <w:tc>
          <w:tcPr>
            <w:tcW w:w="2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broker más que operar y asegurar</w:t>
            </w:r>
          </w:p>
        </w:tc>
      </w:tr>
      <w:tr>
        <w:trPr>
          <w:cantSplit/>
        </w:trPr>
        <w:tc>
          <w:tcPr>
            <w:tcW w:w="18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MongoDB con validadores</w:t>
            </w:r>
          </w:p>
        </w:tc>
        <w:tc>
          <w:tcPr>
            <w:tcW w:w="19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H2 o MySQL con JPA</w:t>
            </w:r>
          </w:p>
        </w:tc>
        <w:tc>
          <w:tcPr>
            <w:tcW w:w="27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Lecturas con variables opcionales y consultas por cultivo y fecha</w:t>
            </w:r>
          </w:p>
        </w:tc>
        <w:tc>
          <w:tcPr>
            <w:tcW w:w="27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integridad se protege con </w:t>
            </w:r>
            <w:r>
              <w:rPr>
                <w:rFonts w:ascii="JetBrains Mono" w:hAnsi="JetBrains Mono" w:eastAsia="JetBrains Mono" w:cs="JetBrains Mono"/>
                <w:color w:val="0A5A3C"/>
                <w:sz w:val="15"/>
                <w:szCs w:val="15"/>
              </w:rPr>
              <w:t xml:space="preserve">$jsonSchema</w:t>
            </w:r>
            <w:r>
              <w:rPr>
                <w:color w:val="17261F"/>
                <w:sz w:val="17"/>
                <w:szCs w:val="17"/>
              </w:rPr>
              <w:t xml:space="preserve"> e índices</w:t>
            </w:r>
          </w:p>
        </w:tc>
      </w:tr>
      <w:tr>
        <w:trPr>
          <w:cantSplit/>
        </w:trPr>
        <w:tc>
          <w:tcPr>
            <w:tcW w:w="18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IA como servicio aparte en Python</w:t>
            </w:r>
          </w:p>
        </w:tc>
        <w:tc>
          <w:tcPr>
            <w:tcW w:w="19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Reglas dentro de la API en Java</w:t>
            </w:r>
          </w:p>
        </w:tc>
        <w:tc>
          <w:tcPr>
            <w:tcW w:w="27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ecosistema de ciencia de datos está en Python</w:t>
            </w:r>
          </w:p>
        </w:tc>
        <w:tc>
          <w:tcPr>
            <w:tcW w:w="2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Contrato HTTP interno con token entre API e IA</w:t>
            </w:r>
          </w:p>
        </w:tc>
      </w:tr>
      <w:tr>
        <w:trPr>
          <w:cantSplit/>
        </w:trPr>
        <w:tc>
          <w:tcPr>
            <w:tcW w:w="18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El agente decide en la plataforma</w:t>
            </w:r>
          </w:p>
        </w:tc>
        <w:tc>
          <w:tcPr>
            <w:tcW w:w="19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dispositivo decide solo</w:t>
            </w:r>
          </w:p>
        </w:tc>
        <w:tc>
          <w:tcPr>
            <w:tcW w:w="27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dispositivo barato se beneficia de todo lo aprendido</w:t>
            </w:r>
          </w:p>
        </w:tc>
        <w:tc>
          <w:tcPr>
            <w:tcW w:w="27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Sin conexión, el dispositivo solo mide y muestra en su pantalla</w:t>
            </w:r>
          </w:p>
        </w:tc>
      </w:tr>
      <w:tr>
        <w:trPr>
          <w:cantSplit/>
        </w:trPr>
        <w:tc>
          <w:tcPr>
            <w:tcW w:w="18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Simulador como servicio</w:t>
            </w:r>
          </w:p>
        </w:tc>
        <w:tc>
          <w:tcPr>
            <w:tcW w:w="19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Solo Wokwi</w:t>
            </w:r>
          </w:p>
        </w:tc>
        <w:tc>
          <w:tcPr>
            <w:tcW w:w="27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Demo y QA que no dependen de una pestaña abierta</w:t>
            </w:r>
          </w:p>
        </w:tc>
        <w:tc>
          <w:tcPr>
            <w:tcW w:w="2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contenedor más, interno y con token</w:t>
            </w:r>
          </w:p>
        </w:tc>
      </w:tr>
      <w:tr>
        <w:trPr>
          <w:cantSplit/>
        </w:trPr>
        <w:tc>
          <w:tcPr>
            <w:tcW w:w="18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Servidor propio con Docker</w:t>
            </w:r>
          </w:p>
        </w:tc>
        <w:tc>
          <w:tcPr>
            <w:tcW w:w="19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Capas gratuitas en la nube</w:t>
            </w:r>
          </w:p>
        </w:tc>
        <w:tc>
          <w:tcPr>
            <w:tcW w:w="27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Sin cuotas y con control total de la seguridad</w:t>
            </w:r>
          </w:p>
        </w:tc>
        <w:tc>
          <w:tcPr>
            <w:tcW w:w="27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operación queda en manos del equipo</w:t>
            </w:r>
          </w:p>
        </w:tc>
      </w:tr>
      <w:tr>
        <w:trPr>
          <w:cantSplit/>
        </w:trPr>
        <w:tc>
          <w:tcPr>
            <w:tcW w:w="18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PWA</w:t>
            </w:r>
          </w:p>
        </w:tc>
        <w:tc>
          <w:tcPr>
            <w:tcW w:w="19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Aplicación móvil nativa</w:t>
            </w:r>
          </w:p>
        </w:tc>
        <w:tc>
          <w:tcPr>
            <w:tcW w:w="27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solo código para teléfono y escritorio</w:t>
            </w:r>
          </w:p>
        </w:tc>
        <w:tc>
          <w:tcPr>
            <w:tcW w:w="2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Sin acceso a funciones nativas avanzadas, que no se necesitan</w:t>
            </w:r>
          </w:p>
        </w:tc>
      </w:tr>
      <w:tr>
        <w:trPr>
          <w:cantSplit/>
        </w:trPr>
        <w:tc>
          <w:tcPr>
            <w:tcW w:w="18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Telegram en la API</w:t>
            </w:r>
          </w:p>
        </w:tc>
        <w:tc>
          <w:tcPr>
            <w:tcW w:w="19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Bot dentro del ESP32</w:t>
            </w:r>
          </w:p>
        </w:tc>
        <w:tc>
          <w:tcPr>
            <w:tcW w:w="27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Permisos y datos de cada cuenta en un solo lugar</w:t>
            </w:r>
          </w:p>
        </w:tc>
        <w:tc>
          <w:tcPr>
            <w:tcW w:w="27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dispositivo no conoce ningún canal</w:t>
            </w:r>
          </w:p>
        </w:tc>
      </w:tr>
      <w:tr>
        <w:trPr>
          <w:cantSplit/>
        </w:trPr>
        <w:tc>
          <w:tcPr>
            <w:tcW w:w="18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Despliegue central</w:t>
            </w:r>
          </w:p>
        </w:tc>
        <w:tc>
          <w:tcPr>
            <w:tcW w:w="19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repositorio despliega</w:t>
            </w:r>
          </w:p>
        </w:tc>
        <w:tc>
          <w:tcPr>
            <w:tcW w:w="27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solo lugar con acceso al servidor</w:t>
            </w:r>
          </w:p>
        </w:tc>
        <w:tc>
          <w:tcPr>
            <w:tcW w:w="2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Los servicios piden el despliegue y el central lo encola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21</w:t>
      </w:r>
    </w:p>
    <w:p>
      <w:pPr>
        <w:pStyle w:val="Heading1"/>
      </w:pPr>
      <w:bookmarkStart w:id="160" w:name="sec_160"/>
      <w:r>
        <w:rPr>
          <w:b/>
          <w:bCs/>
          <w:color w:val="0B3D2B"/>
          <w:sz w:val="34"/>
          <w:szCs w:val="34"/>
        </w:rPr>
        <w:t xml:space="preserve">Del diseño original al actual</w:t>
      </w:r>
      <w:bookmarkEnd w:id="160"/>
    </w:p>
    <w:p>
      <w:pPr>
        <w:spacing w:before="0" w:after="140" w:line="288" w:lineRule="auto"/>
      </w:pPr>
      <w:r>
        <w:rPr>
          <w:color w:val="17261F"/>
          <w:sz w:val="20"/>
          <w:szCs w:val="20"/>
        </w:rPr>
        <w:t xml:space="preserve">Los diagramas de la fase de diseño describían otra aplicación. Ponerlos lado a lado muestra qué ideas sobrevivieron y cuáles se movieron de lugar.</w:t>
      </w:r>
    </w:p>
    <w:p>
      <w:pPr>
        <w:pStyle w:val="Heading2"/>
      </w:pPr>
      <w:bookmarkStart w:id="161" w:name="sec_161"/>
      <w:r>
        <w:rPr>
          <w:b/>
          <w:bCs/>
          <w:color w:val="067A52"/>
          <w:sz w:val="25"/>
          <w:szCs w:val="25"/>
        </w:rPr>
        <w:t xml:space="preserve">21.1 Clases</w:t>
      </w:r>
      <w:bookmarkEnd w:id="161"/>
    </w:p>
    <w:p>
      <w:pPr>
        <w:keepNext/>
        <w:spacing w:before="120" w:after="60" w:line="288" w:lineRule="auto"/>
        <w:jc w:val="center"/>
      </w:pPr>
      <w:r>
        <w:drawing>
          <wp:inline distT="0" distB="0" distL="0" distR="0">
            <wp:extent cx="5943600" cy="4918792"/>
            <wp:docPr id="162" name="SmartPot_27_Original_Classes"/>
            <wp:cNvGraphicFramePr>
              <a:graphicFrameLocks noChangeAspect="1"/>
            </wp:cNvGraphicFramePr>
            <a:graphic>
              <a:graphicData uri="http://schemas.openxmlformats.org/drawingml/2006/picture">
                <pic:pic>
                  <pic:nvPicPr>
                    <pic:cNvPr id="162" name="SmartPot_27_Original_Classes"/>
                    <pic:cNvPicPr/>
                  </pic:nvPicPr>
                  <pic:blipFill>
                    <a:blip r:embed="rIdImg17"/>
                    <a:stretch>
                      <a:fillRect/>
                    </a:stretch>
                  </pic:blipFill>
                  <pic:spPr>
                    <a:xfrm>
                      <a:off x="0" y="0"/>
                      <a:ext cx="5943600" cy="4918792"/>
                    </a:xfrm>
                    <a:prstGeom prst="rect">
                      <a:avLst/>
                    </a:prstGeom>
                  </pic:spPr>
                </pic:pic>
              </a:graphicData>
            </a:graphic>
          </wp:inline>
        </w:drawing>
      </w:r>
    </w:p>
    <w:p>
      <w:pPr>
        <w:spacing w:before="0" w:after="240" w:line="288" w:lineRule="auto"/>
        <w:jc w:val="center"/>
      </w:pPr>
      <w:r>
        <w:rPr>
          <w:b/>
          <w:bCs/>
          <w:color w:val="067A52"/>
          <w:sz w:val="16"/>
          <w:szCs w:val="16"/>
        </w:rPr>
        <w:t xml:space="preserve">Figura 15</w:t>
      </w:r>
      <w:r>
        <w:rPr>
          <w:i/>
          <w:iCs/>
          <w:color w:val="5B6B63"/>
          <w:sz w:val="16"/>
          <w:szCs w:val="16"/>
        </w:rPr>
        <w:t xml:space="preserve">  ·  Clases del diseño original</w:t>
      </w:r>
    </w:p>
    <w:p>
      <w:pPr>
        <w:keepNext/>
        <w:spacing w:before="120" w:after="60" w:line="288" w:lineRule="auto"/>
        <w:jc w:val="center"/>
      </w:pPr>
      <w:r>
        <w:drawing>
          <wp:inline distT="0" distB="0" distL="0" distR="0">
            <wp:extent cx="5943600" cy="6497237"/>
            <wp:docPr id="163" name="SmartPot_11_Domain_Classes"/>
            <wp:cNvGraphicFramePr>
              <a:graphicFrameLocks noChangeAspect="1"/>
            </wp:cNvGraphicFramePr>
            <a:graphic>
              <a:graphicData uri="http://schemas.openxmlformats.org/drawingml/2006/picture">
                <pic:pic>
                  <pic:nvPicPr>
                    <pic:cNvPr id="163" name="SmartPot_11_Domain_Classes"/>
                    <pic:cNvPicPr/>
                  </pic:nvPicPr>
                  <pic:blipFill>
                    <a:blip r:embed="rIdImg18"/>
                    <a:stretch>
                      <a:fillRect/>
                    </a:stretch>
                  </pic:blipFill>
                  <pic:spPr>
                    <a:xfrm>
                      <a:off x="0" y="0"/>
                      <a:ext cx="5943600" cy="6497237"/>
                    </a:xfrm>
                    <a:prstGeom prst="rect">
                      <a:avLst/>
                    </a:prstGeom>
                  </pic:spPr>
                </pic:pic>
              </a:graphicData>
            </a:graphic>
          </wp:inline>
        </w:drawing>
      </w:r>
    </w:p>
    <w:p>
      <w:pPr>
        <w:spacing w:before="0" w:after="240" w:line="288" w:lineRule="auto"/>
        <w:jc w:val="center"/>
      </w:pPr>
      <w:r>
        <w:rPr>
          <w:b/>
          <w:bCs/>
          <w:color w:val="067A52"/>
          <w:sz w:val="16"/>
          <w:szCs w:val="16"/>
        </w:rPr>
        <w:t xml:space="preserve">Figura 16</w:t>
      </w:r>
      <w:r>
        <w:rPr>
          <w:i/>
          <w:iCs/>
          <w:color w:val="5B6B63"/>
          <w:sz w:val="16"/>
          <w:szCs w:val="16"/>
        </w:rPr>
        <w:t xml:space="preserve">  ·  Clases del dominio actual</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384"/>
        <w:gridCol w:w="2739"/>
        <w:gridCol w:w="3237"/>
      </w:tblGrid>
      <w:tr>
        <w:trPr>
          <w:cantSplit/>
          <w:tblHeader/>
        </w:trPr>
        <w:tc>
          <w:tcPr>
            <w:tcW w:w="338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DISEÑO ORIGINAL</w:t>
            </w:r>
          </w:p>
        </w:tc>
        <w:tc>
          <w:tcPr>
            <w:tcW w:w="273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ACTUAL</w:t>
            </w:r>
          </w:p>
        </w:tc>
        <w:tc>
          <w:tcPr>
            <w:tcW w:w="32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LECTURA</w:t>
            </w:r>
          </w:p>
        </w:tc>
      </w:tr>
      <w:tr>
        <w:trPr>
          <w:cantSplit/>
        </w:trPr>
        <w:tc>
          <w:tcPr>
            <w:tcW w:w="338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DeviceController</w:t>
            </w:r>
            <w:r>
              <w:rPr>
                <w:b/>
                <w:bCs/>
                <w:color w:val="0A5A3C"/>
                <w:sz w:val="17"/>
                <w:szCs w:val="17"/>
              </w:rPr>
              <w:t xml:space="preserve"> con sensores, actuadores, API y cultivo</w:t>
            </w:r>
          </w:p>
        </w:tc>
        <w:tc>
          <w:tcPr>
            <w:tcW w:w="27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dispositivo solo mide y obedece; el dominio vive en la API</w:t>
            </w:r>
          </w:p>
        </w:tc>
        <w:tc>
          <w:tcPr>
            <w:tcW w:w="3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inteligencia se movió a la plataforma</w:t>
            </w:r>
          </w:p>
        </w:tc>
      </w:tr>
      <w:tr>
        <w:trPr>
          <w:cantSplit/>
        </w:trPr>
        <w:tc>
          <w:tcPr>
            <w:tcW w:w="338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Cultivo.evaluarSalud()</w:t>
            </w:r>
          </w:p>
        </w:tc>
        <w:tc>
          <w:tcPr>
            <w:tcW w:w="27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Índice de salud, diagnóstico y pronóstico en la IA</w:t>
            </w:r>
          </w:p>
        </w:tc>
        <w:tc>
          <w:tcPr>
            <w:tcW w:w="3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método se volvió un servicio</w:t>
            </w:r>
          </w:p>
        </w:tc>
      </w:tr>
      <w:tr>
        <w:trPr>
          <w:cantSplit/>
        </w:trPr>
        <w:tc>
          <w:tcPr>
            <w:tcW w:w="338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FabricaCultivos</w:t>
            </w:r>
            <w:r>
              <w:rPr>
                <w:b/>
                <w:bCs/>
                <w:color w:val="0A5A3C"/>
                <w:sz w:val="17"/>
                <w:szCs w:val="17"/>
              </w:rPr>
              <w:t xml:space="preserve"> con un mapa de cultivos</w:t>
            </w:r>
          </w:p>
        </w:tc>
        <w:tc>
          <w:tcPr>
            <w:tcW w:w="27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Perfiles por especie compartidos</w:t>
            </w:r>
          </w:p>
        </w:tc>
        <w:tc>
          <w:tcPr>
            <w:tcW w:w="3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fábrica era, en realidad, datos</w:t>
            </w:r>
          </w:p>
        </w:tc>
      </w:tr>
      <w:tr>
        <w:trPr>
          <w:cantSplit/>
        </w:trPr>
        <w:tc>
          <w:tcPr>
            <w:tcW w:w="338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Sesion</w:t>
            </w:r>
            <w:r>
              <w:rPr>
                <w:b/>
                <w:bCs/>
                <w:color w:val="0A5A3C"/>
                <w:sz w:val="17"/>
                <w:szCs w:val="17"/>
              </w:rPr>
              <w:t xml:space="preserve"> con token y último acceso</w:t>
            </w:r>
          </w:p>
        </w:tc>
        <w:tc>
          <w:tcPr>
            <w:tcW w:w="27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JWT sin estado</w:t>
            </w:r>
          </w:p>
        </w:tc>
        <w:tc>
          <w:tcPr>
            <w:tcW w:w="323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No hace falta guardar sesiones</w:t>
            </w:r>
          </w:p>
        </w:tc>
      </w:tr>
      <w:tr>
        <w:trPr>
          <w:cantSplit/>
        </w:trPr>
        <w:tc>
          <w:tcPr>
            <w:tcW w:w="338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Api</w:t>
            </w:r>
            <w:r>
              <w:rPr>
                <w:b/>
                <w:bCs/>
                <w:color w:val="0A5A3C"/>
                <w:sz w:val="17"/>
                <w:szCs w:val="17"/>
              </w:rPr>
              <w:t xml:space="preserve"> con consulta de solicitudes</w:t>
            </w:r>
          </w:p>
        </w:tc>
        <w:tc>
          <w:tcPr>
            <w:tcW w:w="27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Comandos con id, estados y confirmación</w:t>
            </w:r>
          </w:p>
        </w:tc>
        <w:tc>
          <w:tcPr>
            <w:tcW w:w="323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«identificador de la última solicitud» se volvió una máquina de estados</w:t>
            </w:r>
          </w:p>
        </w:tc>
      </w:tr>
    </w:tbl>
    <w:p>
      <w:pPr>
        <w:spacing w:before="160" w:after="0" w:line="240" w:lineRule="auto"/>
        <w:rPr>
          <w:sz w:val="8"/>
        </w:rPr>
      </w:pP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pStyle w:val="Heading2"/>
      </w:pPr>
      <w:bookmarkStart w:id="164" w:name="sec_164"/>
      <w:r>
        <w:rPr>
          <w:b/>
          <w:bCs/>
          <w:color w:val="067A52"/>
          <w:sz w:val="25"/>
          <w:szCs w:val="25"/>
        </w:rPr>
        <w:t xml:space="preserve">21.2 Componentes</w:t>
      </w:r>
      <w:bookmarkEnd w:id="164"/>
    </w:p>
    <w:p>
      <w:pPr>
        <w:keepNext/>
        <w:spacing w:before="0" w:after="60" w:line="288" w:lineRule="auto"/>
        <w:jc w:val="center"/>
      </w:pPr>
      <w:r>
        <w:drawing>
          <wp:inline distT="0" distB="0" distL="0" distR="0">
            <wp:extent cx="8229600" cy="2550568"/>
            <wp:docPr id="165" name="SmartPot_28_Original_Components"/>
            <wp:cNvGraphicFramePr>
              <a:graphicFrameLocks noChangeAspect="1"/>
            </wp:cNvGraphicFramePr>
            <a:graphic>
              <a:graphicData uri="http://schemas.openxmlformats.org/drawingml/2006/picture">
                <pic:pic>
                  <pic:nvPicPr>
                    <pic:cNvPr id="165" name="SmartPot_28_Original_Components"/>
                    <pic:cNvPicPr/>
                  </pic:nvPicPr>
                  <pic:blipFill>
                    <a:blip r:embed="rIdImg19"/>
                    <a:stretch>
                      <a:fillRect/>
                    </a:stretch>
                  </pic:blipFill>
                  <pic:spPr>
                    <a:xfrm>
                      <a:off x="0" y="0"/>
                      <a:ext cx="8229600" cy="2550568"/>
                    </a:xfrm>
                    <a:prstGeom prst="rect">
                      <a:avLst/>
                    </a:prstGeom>
                  </pic:spPr>
                </pic:pic>
              </a:graphicData>
            </a:graphic>
          </wp:inline>
        </w:drawing>
      </w:r>
    </w:p>
    <w:p>
      <w:pPr>
        <w:spacing w:before="0" w:after="0" w:line="288" w:lineRule="auto"/>
        <w:jc w:val="center"/>
      </w:pPr>
      <w:r>
        <w:rPr>
          <w:b/>
          <w:bCs/>
          <w:color w:val="067A52"/>
          <w:sz w:val="16"/>
          <w:szCs w:val="16"/>
        </w:rPr>
        <w:t xml:space="preserve">Figura 17</w:t>
      </w:r>
      <w:r>
        <w:rPr>
          <w:i/>
          <w:iCs/>
          <w:color w:val="5B6B63"/>
          <w:sz w:val="16"/>
          <w:szCs w:val="16"/>
        </w:rPr>
        <w:t xml:space="preserve">  ·  Componentes del diseño original</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keepNext/>
        <w:spacing w:before="0" w:after="60" w:line="288" w:lineRule="auto"/>
        <w:jc w:val="center"/>
      </w:pPr>
      <w:r>
        <w:drawing>
          <wp:inline distT="0" distB="0" distL="0" distR="0">
            <wp:extent cx="7984701" cy="5207000"/>
            <wp:docPr id="166" name="SmartPot_12_Components"/>
            <wp:cNvGraphicFramePr>
              <a:graphicFrameLocks noChangeAspect="1"/>
            </wp:cNvGraphicFramePr>
            <a:graphic>
              <a:graphicData uri="http://schemas.openxmlformats.org/drawingml/2006/picture">
                <pic:pic>
                  <pic:nvPicPr>
                    <pic:cNvPr id="166" name="SmartPot_12_Components"/>
                    <pic:cNvPicPr/>
                  </pic:nvPicPr>
                  <pic:blipFill>
                    <a:blip r:embed="rIdImg20"/>
                    <a:stretch>
                      <a:fillRect/>
                    </a:stretch>
                  </pic:blipFill>
                  <pic:spPr>
                    <a:xfrm>
                      <a:off x="0" y="0"/>
                      <a:ext cx="7984701" cy="5207000"/>
                    </a:xfrm>
                    <a:prstGeom prst="rect">
                      <a:avLst/>
                    </a:prstGeom>
                  </pic:spPr>
                </pic:pic>
              </a:graphicData>
            </a:graphic>
          </wp:inline>
        </w:drawing>
      </w:r>
    </w:p>
    <w:p>
      <w:pPr>
        <w:spacing w:before="0" w:after="0" w:line="288" w:lineRule="auto"/>
        <w:jc w:val="center"/>
      </w:pPr>
      <w:r>
        <w:rPr>
          <w:b/>
          <w:bCs/>
          <w:color w:val="067A52"/>
          <w:sz w:val="16"/>
          <w:szCs w:val="16"/>
        </w:rPr>
        <w:t xml:space="preserve">Figura 18</w:t>
      </w:r>
      <w:r>
        <w:rPr>
          <w:i/>
          <w:iCs/>
          <w:color w:val="5B6B63"/>
          <w:sz w:val="16"/>
          <w:szCs w:val="16"/>
        </w:rPr>
        <w:t xml:space="preserve">  ·  Componentes y paquetes actuales</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spacing w:before="0" w:after="140" w:line="288" w:lineRule="auto"/>
      </w:pPr>
      <w:r>
        <w:rPr>
          <w:color w:val="17261F"/>
          <w:sz w:val="20"/>
          <w:szCs w:val="20"/>
        </w:rPr>
        <w:t xml:space="preserve">El diseño original ya tenía un broker MQTT y dividía el ESP32 en dos núcleos (sensores y actuadores). Se conservó la idea del broker y se simplificó el firmware a un ciclo principal; lo que cambió fue el backend, que pasó de cuatro componentes genéricos a dominios con la misma organización por capas.</w:t>
      </w:r>
    </w:p>
    <w:p>
      <w:pPr>
        <w:pStyle w:val="Heading2"/>
      </w:pPr>
      <w:bookmarkStart w:id="167" w:name="sec_167"/>
      <w:r>
        <w:rPr>
          <w:b/>
          <w:bCs/>
          <w:color w:val="067A52"/>
          <w:sz w:val="25"/>
          <w:szCs w:val="25"/>
        </w:rPr>
        <w:t xml:space="preserve">21.3 Comportamiento: enviar un comando</w:t>
      </w:r>
      <w:bookmarkEnd w:id="167"/>
    </w:p>
    <w:p>
      <w:pPr>
        <w:keepNext/>
        <w:spacing w:before="120" w:after="60" w:line="288" w:lineRule="auto"/>
        <w:jc w:val="center"/>
      </w:pPr>
      <w:r>
        <w:drawing>
          <wp:inline distT="0" distB="0" distL="0" distR="0">
            <wp:extent cx="5943600" cy="6194837"/>
            <wp:docPr id="168" name="SmartPot_29_Original_Command_Activity"/>
            <wp:cNvGraphicFramePr>
              <a:graphicFrameLocks noChangeAspect="1"/>
            </wp:cNvGraphicFramePr>
            <a:graphic>
              <a:graphicData uri="http://schemas.openxmlformats.org/drawingml/2006/picture">
                <pic:pic>
                  <pic:nvPicPr>
                    <pic:cNvPr id="168" name="SmartPot_29_Original_Command_Activity"/>
                    <pic:cNvPicPr/>
                  </pic:nvPicPr>
                  <pic:blipFill>
                    <a:blip r:embed="rIdImg21"/>
                    <a:stretch>
                      <a:fillRect/>
                    </a:stretch>
                  </pic:blipFill>
                  <pic:spPr>
                    <a:xfrm>
                      <a:off x="0" y="0"/>
                      <a:ext cx="5943600" cy="6194837"/>
                    </a:xfrm>
                    <a:prstGeom prst="rect">
                      <a:avLst/>
                    </a:prstGeom>
                  </pic:spPr>
                </pic:pic>
              </a:graphicData>
            </a:graphic>
          </wp:inline>
        </w:drawing>
      </w:r>
    </w:p>
    <w:p>
      <w:pPr>
        <w:spacing w:before="0" w:after="240" w:line="288" w:lineRule="auto"/>
        <w:jc w:val="center"/>
      </w:pPr>
      <w:r>
        <w:rPr>
          <w:b/>
          <w:bCs/>
          <w:color w:val="067A52"/>
          <w:sz w:val="16"/>
          <w:szCs w:val="16"/>
        </w:rPr>
        <w:t xml:space="preserve">Figura 19</w:t>
      </w:r>
      <w:r>
        <w:rPr>
          <w:i/>
          <w:iCs/>
          <w:color w:val="5B6B63"/>
          <w:sz w:val="16"/>
          <w:szCs w:val="16"/>
        </w:rPr>
        <w:t xml:space="preserve">  ·  Actividad del diseño original: enviar un comando</w:t>
      </w:r>
    </w:p>
    <w:p>
      <w:pPr>
        <w:keepNext/>
        <w:spacing w:before="120" w:after="60" w:line="288" w:lineRule="auto"/>
        <w:jc w:val="center"/>
      </w:pPr>
      <w:r>
        <w:drawing>
          <wp:inline distT="0" distB="0" distL="0" distR="0">
            <wp:extent cx="5943600" cy="4980293"/>
            <wp:docPr id="169" name="SmartPot_05_Command_States"/>
            <wp:cNvGraphicFramePr>
              <a:graphicFrameLocks noChangeAspect="1"/>
            </wp:cNvGraphicFramePr>
            <a:graphic>
              <a:graphicData uri="http://schemas.openxmlformats.org/drawingml/2006/picture">
                <pic:pic>
                  <pic:nvPicPr>
                    <pic:cNvPr id="169" name="SmartPot_05_Command_States"/>
                    <pic:cNvPicPr/>
                  </pic:nvPicPr>
                  <pic:blipFill>
                    <a:blip r:embed="rIdImg22"/>
                    <a:stretch>
                      <a:fillRect/>
                    </a:stretch>
                  </pic:blipFill>
                  <pic:spPr>
                    <a:xfrm>
                      <a:off x="0" y="0"/>
                      <a:ext cx="5943600" cy="4980293"/>
                    </a:xfrm>
                    <a:prstGeom prst="rect">
                      <a:avLst/>
                    </a:prstGeom>
                  </pic:spPr>
                </pic:pic>
              </a:graphicData>
            </a:graphic>
          </wp:inline>
        </w:drawing>
      </w:r>
    </w:p>
    <w:p>
      <w:pPr>
        <w:spacing w:before="0" w:after="240" w:line="288" w:lineRule="auto"/>
        <w:jc w:val="center"/>
      </w:pPr>
      <w:r>
        <w:rPr>
          <w:b/>
          <w:bCs/>
          <w:color w:val="067A52"/>
          <w:sz w:val="16"/>
          <w:szCs w:val="16"/>
        </w:rPr>
        <w:t xml:space="preserve">Figura 20</w:t>
      </w:r>
      <w:r>
        <w:rPr>
          <w:i/>
          <w:iCs/>
          <w:color w:val="5B6B63"/>
          <w:sz w:val="16"/>
          <w:szCs w:val="16"/>
        </w:rPr>
        <w:t xml:space="preserve">  ·  Estados de un comando hoy</w:t>
      </w:r>
    </w:p>
    <w:p>
      <w:pPr>
        <w:spacing w:before="0" w:after="140" w:line="288" w:lineRule="auto"/>
      </w:pPr>
      <w:r>
        <w:rPr>
          <w:color w:val="17261F"/>
          <w:sz w:val="20"/>
          <w:szCs w:val="20"/>
        </w:rPr>
        <w:t xml:space="preserve">El flujo del diseño se mantuvo casi igual: validar sesión, verificar el cultivo, encolar, publicar y esperar el estado. Lo nuevo es que el estado es explícito (</w:t>
      </w:r>
      <w:r>
        <w:rPr>
          <w:rFonts w:ascii="JetBrains Mono" w:hAnsi="JetBrains Mono" w:eastAsia="JetBrains Mono" w:cs="JetBrains Mono"/>
          <w:color w:val="0A5A3C"/>
          <w:sz w:val="18"/>
          <w:szCs w:val="18"/>
        </w:rPr>
        <w:t xml:space="preserve">PENDING</w:t>
      </w:r>
      <w:r>
        <w:rPr>
          <w:color w:val="17261F"/>
          <w:sz w:val="20"/>
          <w:szCs w:val="20"/>
        </w:rPr>
        <w:t xml:space="preserve">, </w:t>
      </w:r>
      <w:r>
        <w:rPr>
          <w:rFonts w:ascii="JetBrains Mono" w:hAnsi="JetBrains Mono" w:eastAsia="JetBrains Mono" w:cs="JetBrains Mono"/>
          <w:color w:val="0A5A3C"/>
          <w:sz w:val="18"/>
          <w:szCs w:val="18"/>
        </w:rPr>
        <w:t xml:space="preserve">SENT</w:t>
      </w:r>
      <w:r>
        <w:rPr>
          <w:color w:val="17261F"/>
          <w:sz w:val="20"/>
          <w:szCs w:val="20"/>
        </w:rPr>
        <w:t xml:space="preserve">, </w:t>
      </w:r>
      <w:r>
        <w:rPr>
          <w:rFonts w:ascii="JetBrains Mono" w:hAnsi="JetBrains Mono" w:eastAsia="JetBrains Mono" w:cs="JetBrains Mono"/>
          <w:color w:val="0A5A3C"/>
          <w:sz w:val="18"/>
          <w:szCs w:val="18"/>
        </w:rPr>
        <w:t xml:space="preserve">EXECUTED</w:t>
      </w:r>
      <w:r>
        <w:rPr>
          <w:color w:val="17261F"/>
          <w:sz w:val="20"/>
          <w:szCs w:val="20"/>
        </w:rPr>
        <w:t xml:space="preserve">, </w:t>
      </w:r>
      <w:r>
        <w:rPr>
          <w:rFonts w:ascii="JetBrains Mono" w:hAnsi="JetBrains Mono" w:eastAsia="JetBrains Mono" w:cs="JetBrains Mono"/>
          <w:color w:val="0A5A3C"/>
          <w:sz w:val="18"/>
          <w:szCs w:val="18"/>
        </w:rPr>
        <w:t xml:space="preserve">FAILED</w:t>
      </w:r>
      <w:r>
        <w:rPr>
          <w:color w:val="17261F"/>
          <w:sz w:val="20"/>
          <w:szCs w:val="20"/>
        </w:rPr>
        <w:t xml:space="preserve">, </w:t>
      </w:r>
      <w:r>
        <w:rPr>
          <w:rFonts w:ascii="JetBrains Mono" w:hAnsi="JetBrains Mono" w:eastAsia="JetBrains Mono" w:cs="JetBrains Mono"/>
          <w:color w:val="0A5A3C"/>
          <w:sz w:val="18"/>
          <w:szCs w:val="18"/>
        </w:rPr>
        <w:t xml:space="preserve">EXPIRED</w:t>
      </w:r>
      <w:r>
        <w:rPr>
          <w:color w:val="17261F"/>
          <w:sz w:val="20"/>
          <w:szCs w:val="20"/>
        </w:rPr>
        <w:t xml:space="preserve">) y que un comando sin respuesta vence en dos minutos y avisa.</w:t>
      </w:r>
    </w:p>
    <w:p>
      <w:pPr>
        <w:pStyle w:val="Heading2"/>
      </w:pPr>
      <w:bookmarkStart w:id="170" w:name="sec_170"/>
      <w:r>
        <w:rPr>
          <w:b/>
          <w:bCs/>
          <w:color w:val="067A52"/>
          <w:sz w:val="25"/>
          <w:szCs w:val="25"/>
        </w:rPr>
        <w:t xml:space="preserve">21.4 Comportamiento: datos históricos y una lectura</w:t>
      </w:r>
      <w:bookmarkEnd w:id="170"/>
    </w:p>
    <w:p>
      <w:pPr>
        <w:spacing w:before="0" w:after="140" w:line="288" w:lineRule="auto"/>
      </w:pPr>
      <w:r>
        <w:rPr>
          <w:color w:val="17261F"/>
          <w:sz w:val="20"/>
          <w:szCs w:val="20"/>
        </w:rPr>
        <w:t xml:space="preserve">La secuencia original se centraba en consultar el historial; la actual muestra el camino completo de una lectura, desde el dispositivo hasta la acción automática, porque ese es hoy el flujo crítico del sistema.</w:t>
      </w:r>
    </w:p>
    <w:p>
      <w:pPr>
        <w:keepNext/>
        <w:spacing w:before="120" w:after="60" w:line="288" w:lineRule="auto"/>
        <w:jc w:val="center"/>
      </w:pPr>
      <w:r>
        <w:drawing>
          <wp:inline distT="0" distB="0" distL="0" distR="0">
            <wp:extent cx="5943600" cy="3364595"/>
            <wp:docPr id="171" name="SmartPot_30_Original_History_Sequence"/>
            <wp:cNvGraphicFramePr>
              <a:graphicFrameLocks noChangeAspect="1"/>
            </wp:cNvGraphicFramePr>
            <a:graphic>
              <a:graphicData uri="http://schemas.openxmlformats.org/drawingml/2006/picture">
                <pic:pic>
                  <pic:nvPicPr>
                    <pic:cNvPr id="171" name="SmartPot_30_Original_History_Sequence"/>
                    <pic:cNvPicPr/>
                  </pic:nvPicPr>
                  <pic:blipFill>
                    <a:blip r:embed="rIdImg23"/>
                    <a:stretch>
                      <a:fillRect/>
                    </a:stretch>
                  </pic:blipFill>
                  <pic:spPr>
                    <a:xfrm>
                      <a:off x="0" y="0"/>
                      <a:ext cx="5943600" cy="3364595"/>
                    </a:xfrm>
                    <a:prstGeom prst="rect">
                      <a:avLst/>
                    </a:prstGeom>
                  </pic:spPr>
                </pic:pic>
              </a:graphicData>
            </a:graphic>
          </wp:inline>
        </w:drawing>
      </w:r>
    </w:p>
    <w:p>
      <w:pPr>
        <w:spacing w:before="0" w:after="240" w:line="288" w:lineRule="auto"/>
        <w:jc w:val="center"/>
      </w:pPr>
      <w:r>
        <w:rPr>
          <w:b/>
          <w:bCs/>
          <w:color w:val="067A52"/>
          <w:sz w:val="16"/>
          <w:szCs w:val="16"/>
        </w:rPr>
        <w:t xml:space="preserve">Figura 21</w:t>
      </w:r>
      <w:r>
        <w:rPr>
          <w:i/>
          <w:iCs/>
          <w:color w:val="5B6B63"/>
          <w:sz w:val="16"/>
          <w:szCs w:val="16"/>
        </w:rPr>
        <w:t xml:space="preserve">  ·  Secuencia del diseño original: datos históricos</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keepNext/>
        <w:spacing w:before="0" w:after="60" w:line="288" w:lineRule="auto"/>
        <w:jc w:val="center"/>
      </w:pPr>
      <w:r>
        <w:drawing>
          <wp:inline distT="0" distB="0" distL="0" distR="0">
            <wp:extent cx="8126632" cy="5207000"/>
            <wp:docPr id="172" name="SmartPot_02_Reading_Sequence"/>
            <wp:cNvGraphicFramePr>
              <a:graphicFrameLocks noChangeAspect="1"/>
            </wp:cNvGraphicFramePr>
            <a:graphic>
              <a:graphicData uri="http://schemas.openxmlformats.org/drawingml/2006/picture">
                <pic:pic>
                  <pic:nvPicPr>
                    <pic:cNvPr id="172" name="SmartPot_02_Reading_Sequence"/>
                    <pic:cNvPicPr/>
                  </pic:nvPicPr>
                  <pic:blipFill>
                    <a:blip r:embed="rIdImg24"/>
                    <a:stretch>
                      <a:fillRect/>
                    </a:stretch>
                  </pic:blipFill>
                  <pic:spPr>
                    <a:xfrm>
                      <a:off x="0" y="0"/>
                      <a:ext cx="8126632" cy="5207000"/>
                    </a:xfrm>
                    <a:prstGeom prst="rect">
                      <a:avLst/>
                    </a:prstGeom>
                  </pic:spPr>
                </pic:pic>
              </a:graphicData>
            </a:graphic>
          </wp:inline>
        </w:drawing>
      </w:r>
    </w:p>
    <w:p>
      <w:pPr>
        <w:spacing w:before="0" w:after="0" w:line="288" w:lineRule="auto"/>
        <w:jc w:val="center"/>
      </w:pPr>
      <w:r>
        <w:rPr>
          <w:b/>
          <w:bCs/>
          <w:color w:val="067A52"/>
          <w:sz w:val="16"/>
          <w:szCs w:val="16"/>
        </w:rPr>
        <w:t xml:space="preserve">Figura 22</w:t>
      </w:r>
      <w:r>
        <w:rPr>
          <w:i/>
          <w:iCs/>
          <w:color w:val="5B6B63"/>
          <w:sz w:val="16"/>
          <w:szCs w:val="16"/>
        </w:rPr>
        <w:t xml:space="preserve">  ·  Secuencia de una lectura con automatización</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pStyle w:val="Heading2"/>
      </w:pPr>
      <w:bookmarkStart w:id="173" w:name="sec_173"/>
      <w:r>
        <w:rPr>
          <w:b/>
          <w:bCs/>
          <w:color w:val="067A52"/>
          <w:sz w:val="25"/>
          <w:szCs w:val="25"/>
        </w:rPr>
        <w:t xml:space="preserve">21.5 Actividad: control automático</w:t>
      </w:r>
      <w:bookmarkEnd w:id="173"/>
    </w:p>
    <w:p>
      <w:pPr>
        <w:keepNext/>
        <w:spacing w:before="120" w:after="60" w:line="288" w:lineRule="auto"/>
        <w:jc w:val="center"/>
      </w:pPr>
      <w:r>
        <w:drawing>
          <wp:inline distT="0" distB="0" distL="0" distR="0">
            <wp:extent cx="2956674" cy="7112000"/>
            <wp:docPr id="174" name="SmartPot_13_Control_Activity"/>
            <wp:cNvGraphicFramePr>
              <a:graphicFrameLocks noChangeAspect="1"/>
            </wp:cNvGraphicFramePr>
            <a:graphic>
              <a:graphicData uri="http://schemas.openxmlformats.org/drawingml/2006/picture">
                <pic:pic>
                  <pic:nvPicPr>
                    <pic:cNvPr id="174" name="SmartPot_13_Control_Activity"/>
                    <pic:cNvPicPr/>
                  </pic:nvPicPr>
                  <pic:blipFill>
                    <a:blip r:embed="rIdImg25"/>
                    <a:stretch>
                      <a:fillRect/>
                    </a:stretch>
                  </pic:blipFill>
                  <pic:spPr>
                    <a:xfrm>
                      <a:off x="0" y="0"/>
                      <a:ext cx="2956674"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23</w:t>
      </w:r>
      <w:r>
        <w:rPr>
          <w:i/>
          <w:iCs/>
          <w:color w:val="5B6B63"/>
          <w:sz w:val="16"/>
          <w:szCs w:val="16"/>
        </w:rPr>
        <w:t xml:space="preserve">  ·  Actividad del control automático</w:t>
      </w:r>
    </w:p>
    <w:p>
      <w:pPr>
        <w:pStyle w:val="Heading2"/>
      </w:pPr>
      <w:bookmarkStart w:id="175" w:name="sec_175"/>
      <w:r>
        <w:rPr>
          <w:b/>
          <w:bCs/>
          <w:color w:val="067A52"/>
          <w:sz w:val="25"/>
          <w:szCs w:val="25"/>
        </w:rPr>
        <w:t xml:space="preserve">21.6 Datos</w:t>
      </w:r>
      <w:bookmarkEnd w:id="175"/>
    </w:p>
    <w:p>
      <w:pPr>
        <w:keepNext/>
        <w:spacing w:before="120" w:after="60" w:line="288" w:lineRule="auto"/>
        <w:jc w:val="center"/>
      </w:pPr>
      <w:r>
        <w:drawing>
          <wp:inline distT="0" distB="0" distL="0" distR="0">
            <wp:extent cx="5943600" cy="7029874"/>
            <wp:docPr id="176" name="SmartPot_31_Original_Data_Model"/>
            <wp:cNvGraphicFramePr>
              <a:graphicFrameLocks noChangeAspect="1"/>
            </wp:cNvGraphicFramePr>
            <a:graphic>
              <a:graphicData uri="http://schemas.openxmlformats.org/drawingml/2006/picture">
                <pic:pic>
                  <pic:nvPicPr>
                    <pic:cNvPr id="176" name="SmartPot_31_Original_Data_Model"/>
                    <pic:cNvPicPr/>
                  </pic:nvPicPr>
                  <pic:blipFill>
                    <a:blip r:embed="rIdImg26"/>
                    <a:stretch>
                      <a:fillRect/>
                    </a:stretch>
                  </pic:blipFill>
                  <pic:spPr>
                    <a:xfrm>
                      <a:off x="0" y="0"/>
                      <a:ext cx="5943600" cy="7029874"/>
                    </a:xfrm>
                    <a:prstGeom prst="rect">
                      <a:avLst/>
                    </a:prstGeom>
                  </pic:spPr>
                </pic:pic>
              </a:graphicData>
            </a:graphic>
          </wp:inline>
        </w:drawing>
      </w:r>
    </w:p>
    <w:p>
      <w:pPr>
        <w:spacing w:before="0" w:after="240" w:line="288" w:lineRule="auto"/>
        <w:jc w:val="center"/>
      </w:pPr>
      <w:r>
        <w:rPr>
          <w:b/>
          <w:bCs/>
          <w:color w:val="067A52"/>
          <w:sz w:val="16"/>
          <w:szCs w:val="16"/>
        </w:rPr>
        <w:t xml:space="preserve">Figura 24</w:t>
      </w:r>
      <w:r>
        <w:rPr>
          <w:i/>
          <w:iCs/>
          <w:color w:val="5B6B63"/>
          <w:sz w:val="16"/>
          <w:szCs w:val="16"/>
        </w:rPr>
        <w:t xml:space="preserve">  ·  Modelo de datos del diseño original</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keepNext/>
        <w:spacing w:before="0" w:after="60" w:line="288" w:lineRule="auto"/>
        <w:jc w:val="center"/>
      </w:pPr>
      <w:r>
        <w:drawing>
          <wp:inline distT="0" distB="0" distL="0" distR="0">
            <wp:extent cx="7034633" cy="5207000"/>
            <wp:docPr id="177" name="SmartPot_04_Data_Model"/>
            <wp:cNvGraphicFramePr>
              <a:graphicFrameLocks noChangeAspect="1"/>
            </wp:cNvGraphicFramePr>
            <a:graphic>
              <a:graphicData uri="http://schemas.openxmlformats.org/drawingml/2006/picture">
                <pic:pic>
                  <pic:nvPicPr>
                    <pic:cNvPr id="177" name="SmartPot_04_Data_Model"/>
                    <pic:cNvPicPr/>
                  </pic:nvPicPr>
                  <pic:blipFill>
                    <a:blip r:embed="rIdImg27"/>
                    <a:stretch>
                      <a:fillRect/>
                    </a:stretch>
                  </pic:blipFill>
                  <pic:spPr>
                    <a:xfrm>
                      <a:off x="0" y="0"/>
                      <a:ext cx="7034633" cy="5207000"/>
                    </a:xfrm>
                    <a:prstGeom prst="rect">
                      <a:avLst/>
                    </a:prstGeom>
                  </pic:spPr>
                </pic:pic>
              </a:graphicData>
            </a:graphic>
          </wp:inline>
        </w:drawing>
      </w:r>
    </w:p>
    <w:p>
      <w:pPr>
        <w:spacing w:before="0" w:after="0" w:line="288" w:lineRule="auto"/>
        <w:jc w:val="center"/>
      </w:pPr>
      <w:r>
        <w:rPr>
          <w:b/>
          <w:bCs/>
          <w:color w:val="067A52"/>
          <w:sz w:val="16"/>
          <w:szCs w:val="16"/>
        </w:rPr>
        <w:t xml:space="preserve">Figura 25</w:t>
      </w:r>
      <w:r>
        <w:rPr>
          <w:i/>
          <w:iCs/>
          <w:color w:val="5B6B63"/>
          <w:sz w:val="16"/>
          <w:szCs w:val="16"/>
        </w:rPr>
        <w:t xml:space="preserve">  ·  Colecciones de MongoDB hoy</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428"/>
        <w:gridCol w:w="4331"/>
        <w:gridCol w:w="2601"/>
      </w:tblGrid>
      <w:tr>
        <w:trPr>
          <w:cantSplit/>
          <w:tblHeader/>
        </w:trPr>
        <w:tc>
          <w:tcPr>
            <w:tcW w:w="242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DISEÑO ORIGINAL</w:t>
            </w:r>
          </w:p>
        </w:tc>
        <w:tc>
          <w:tcPr>
            <w:tcW w:w="433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ACTUAL</w:t>
            </w:r>
          </w:p>
        </w:tc>
        <w:tc>
          <w:tcPr>
            <w:tcW w:w="260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LECTURA</w:t>
            </w:r>
          </w:p>
        </w:tc>
      </w:tr>
      <w:tr>
        <w:trPr>
          <w:cantSplit/>
        </w:trPr>
        <w:tc>
          <w:tcPr>
            <w:tcW w:w="2428"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Session</w:t>
            </w:r>
            <w:r>
              <w:rPr>
                <w:b/>
                <w:bCs/>
                <w:color w:val="0A5A3C"/>
                <w:sz w:val="17"/>
                <w:szCs w:val="17"/>
              </w:rPr>
              <w:t xml:space="preserve"> guardada en la base</w:t>
            </w:r>
          </w:p>
        </w:tc>
        <w:tc>
          <w:tcPr>
            <w:tcW w:w="43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Sin colección de sesiones</w:t>
            </w:r>
          </w:p>
        </w:tc>
        <w:tc>
          <w:tcPr>
            <w:tcW w:w="260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sin estado</w:t>
            </w:r>
          </w:p>
        </w:tc>
      </w:tr>
      <w:tr>
        <w:trPr>
          <w:cantSplit/>
        </w:trPr>
        <w:tc>
          <w:tcPr>
            <w:tcW w:w="2428"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Historial</w:t>
            </w:r>
            <w:r>
              <w:rPr>
                <w:b/>
                <w:bCs/>
                <w:color w:val="0A5A3C"/>
                <w:sz w:val="17"/>
                <w:szCs w:val="17"/>
              </w:rPr>
              <w:t xml:space="preserve"> con </w:t>
            </w:r>
            <w:r>
              <w:rPr>
                <w:rFonts w:ascii="JetBrains Mono" w:hAnsi="JetBrains Mono" w:eastAsia="JetBrains Mono" w:cs="JetBrains Mono"/>
                <w:b/>
                <w:bCs/>
                <w:color w:val="0A5A3C"/>
                <w:sz w:val="15"/>
                <w:szCs w:val="15"/>
              </w:rPr>
              <w:t xml:space="preserve">Measures</w:t>
            </w:r>
            <w:r>
              <w:rPr>
                <w:b/>
                <w:bCs/>
                <w:color w:val="0A5A3C"/>
                <w:sz w:val="17"/>
                <w:szCs w:val="17"/>
              </w:rPr>
              <w:t xml:space="preserve"> y referencia al cultivo</w:t>
            </w:r>
          </w:p>
        </w:tc>
        <w:tc>
          <w:tcPr>
            <w:tcW w:w="433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readings</w:t>
            </w:r>
            <w:r>
              <w:rPr>
                <w:color w:val="17261F"/>
                <w:sz w:val="17"/>
                <w:szCs w:val="17"/>
              </w:rPr>
              <w:t xml:space="preserve"> con índice por cultivo y fecha, y TTL de un año</w:t>
            </w:r>
          </w:p>
        </w:tc>
        <w:tc>
          <w:tcPr>
            <w:tcW w:w="260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idea se conservó; se agregaron índices y retención</w:t>
            </w:r>
          </w:p>
        </w:tc>
      </w:tr>
      <w:tr>
        <w:trPr>
          <w:cantSplit/>
        </w:trPr>
        <w:tc>
          <w:tcPr>
            <w:tcW w:w="242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Cuatro entidades</w:t>
            </w:r>
          </w:p>
        </w:tc>
        <w:tc>
          <w:tcPr>
            <w:tcW w:w="43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Colecciones de usuarios, cultivos, lecturas, comandos, notificaciones, vínculos de canales y más</w:t>
            </w:r>
          </w:p>
        </w:tc>
        <w:tc>
          <w:tcPr>
            <w:tcW w:w="260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modelo creció con el dominio, no por anticipado</w:t>
            </w:r>
          </w:p>
        </w:tc>
      </w:tr>
    </w:tbl>
    <w:p>
      <w:pPr>
        <w:spacing w:before="160" w:after="0" w:line="240" w:lineRule="auto"/>
        <w:rPr>
          <w:sz w:val="8"/>
        </w:rPr>
      </w:pPr>
    </w:p>
    <w:p>
      <w:pPr>
        <w:pStyle w:val="Heading2"/>
      </w:pPr>
      <w:bookmarkStart w:id="178" w:name="sec_178"/>
      <w:r>
        <w:rPr>
          <w:b/>
          <w:bCs/>
          <w:color w:val="067A52"/>
          <w:sz w:val="25"/>
          <w:szCs w:val="25"/>
        </w:rPr>
        <w:t xml:space="preserve">21.7 Objetos y artefactos</w:t>
      </w:r>
      <w:bookmarkEnd w:id="178"/>
    </w:p>
    <w:p>
      <w:pPr>
        <w:spacing w:before="0" w:after="140" w:line="288" w:lineRule="auto"/>
      </w:pPr>
      <w:r>
        <w:rPr>
          <w:color w:val="17261F"/>
          <w:sz w:val="20"/>
          <w:szCs w:val="20"/>
        </w:rPr>
        <w:t xml:space="preserve">El diseño incluía otros dos diagramas que no tienen un equivalente uno a uno:</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200"/>
        <w:gridCol w:w="4297"/>
        <w:gridCol w:w="3863"/>
      </w:tblGrid>
      <w:tr>
        <w:trPr>
          <w:cantSplit/>
          <w:tblHeader/>
        </w:trPr>
        <w:tc>
          <w:tcPr>
            <w:tcW w:w="12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DIAGRAMA ORIGINAL</w:t>
            </w:r>
          </w:p>
        </w:tc>
        <w:tc>
          <w:tcPr>
            <w:tcW w:w="429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MOSTRABA</w:t>
            </w:r>
          </w:p>
        </w:tc>
        <w:tc>
          <w:tcPr>
            <w:tcW w:w="386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HOY</w:t>
            </w:r>
          </w:p>
        </w:tc>
      </w:tr>
      <w:tr>
        <w:trPr>
          <w:cantSplit/>
        </w:trPr>
        <w:tc>
          <w:tcPr>
            <w:tcW w:w="120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Objetos</w:t>
            </w:r>
          </w:p>
        </w:tc>
        <w:tc>
          <w:tcPr>
            <w:tcW w:w="429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Instancias de </w:t>
            </w:r>
            <w:r>
              <w:rPr>
                <w:rFonts w:ascii="JetBrains Mono" w:hAnsi="JetBrains Mono" w:eastAsia="JetBrains Mono" w:cs="JetBrains Mono"/>
                <w:color w:val="0A5A3C"/>
                <w:sz w:val="15"/>
                <w:szCs w:val="15"/>
              </w:rPr>
              <w:t xml:space="preserve">DeviceController</w:t>
            </w:r>
            <w:r>
              <w:rPr>
                <w:color w:val="17261F"/>
                <w:sz w:val="17"/>
                <w:szCs w:val="17"/>
              </w:rPr>
              <w:t xml:space="preserve">, </w:t>
            </w:r>
            <w:r>
              <w:rPr>
                <w:rFonts w:ascii="JetBrains Mono" w:hAnsi="JetBrains Mono" w:eastAsia="JetBrains Mono" w:cs="JetBrains Mono"/>
                <w:color w:val="0A5A3C"/>
                <w:sz w:val="15"/>
                <w:szCs w:val="15"/>
              </w:rPr>
              <w:t xml:space="preserve">Cultivo</w:t>
            </w:r>
            <w:r>
              <w:rPr>
                <w:color w:val="17261F"/>
                <w:sz w:val="17"/>
                <w:szCs w:val="17"/>
              </w:rPr>
              <w:t xml:space="preserve">, </w:t>
            </w:r>
            <w:r>
              <w:rPr>
                <w:rFonts w:ascii="JetBrains Mono" w:hAnsi="JetBrains Mono" w:eastAsia="JetBrains Mono" w:cs="JetBrains Mono"/>
                <w:color w:val="0A5A3C"/>
                <w:sz w:val="15"/>
                <w:szCs w:val="15"/>
              </w:rPr>
              <w:t xml:space="preserve">Session</w:t>
            </w:r>
            <w:r>
              <w:rPr>
                <w:color w:val="17261F"/>
                <w:sz w:val="17"/>
                <w:szCs w:val="17"/>
              </w:rPr>
              <w:t xml:space="preserve">, </w:t>
            </w:r>
            <w:r>
              <w:rPr>
                <w:rFonts w:ascii="JetBrains Mono" w:hAnsi="JetBrains Mono" w:eastAsia="JetBrains Mono" w:cs="JetBrains Mono"/>
                <w:color w:val="0A5A3C"/>
                <w:sz w:val="15"/>
                <w:szCs w:val="15"/>
              </w:rPr>
              <w:t xml:space="preserve">Notificacion</w:t>
            </w:r>
            <w:r>
              <w:rPr>
                <w:color w:val="17261F"/>
                <w:sz w:val="17"/>
                <w:szCs w:val="17"/>
              </w:rPr>
              <w:t xml:space="preserve"> y sensores con valores de ejemplo</w:t>
            </w:r>
          </w:p>
        </w:tc>
        <w:tc>
          <w:tcPr>
            <w:tcW w:w="38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Las pruebas de la API y de la IA construyen esos mismos objetos con datos válidos en cada ejecución</w:t>
            </w:r>
          </w:p>
        </w:tc>
      </w:tr>
      <w:tr>
        <w:trPr>
          <w:cantSplit/>
        </w:trPr>
        <w:tc>
          <w:tcPr>
            <w:tcW w:w="120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Artefactos</w:t>
            </w:r>
          </w:p>
        </w:tc>
        <w:tc>
          <w:tcPr>
            <w:tcW w:w="429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Navegador, servidor de aplicación, servidor de API, servidor de base de datos con MongoDB y el ESP32, unidos por HTTP</w:t>
            </w:r>
          </w:p>
        </w:tc>
        <w:tc>
          <w:tcPr>
            <w:tcW w:w="38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despliegue continuo y las redes de producción (figuras de despliegue y redes)</w:t>
            </w:r>
          </w:p>
        </w:tc>
      </w:tr>
    </w:tbl>
    <w:p>
      <w:pPr>
        <w:spacing w:before="160" w:after="0" w:line="240" w:lineRule="auto"/>
        <w:rPr>
          <w:sz w:val="8"/>
        </w:rPr>
      </w:pPr>
    </w:p>
    <w:p>
      <w:pPr>
        <w:spacing w:before="0" w:after="140" w:line="288" w:lineRule="auto"/>
      </w:pPr>
      <w:r>
        <w:rPr>
          <w:color w:val="17261F"/>
          <w:sz w:val="20"/>
          <w:szCs w:val="20"/>
        </w:rPr>
        <w:t xml:space="preserve">El diagrama de objetos quedó a medio terminar: conserva los compartimentos de ejemplo de la herramienta y fechas imposibles como «34/34/2324». El de artefactos, en cambio, ya elegía MongoDB, aunque el acta posterior pedía H2 o MySQL con JPA: la decisión de datos se tomó en el diseño y el acta no la recogió.</w:t>
      </w: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LECTURA CRÍTICA</w:t>
            </w:r>
          </w:p>
          <w:p>
            <w:pPr>
              <w:spacing w:before="0" w:after="0" w:line="276" w:lineRule="auto"/>
            </w:pPr>
            <w:r>
              <w:rPr>
                <w:color w:val="17261F"/>
                <w:sz w:val="18"/>
                <w:szCs w:val="18"/>
              </w:rPr>
              <w:t xml:space="preserve">El diseño original acertó en lo que depende del problema (sensores, actuadores, cultivo, historial y un broker) y falló en lo que depende de la tecnología (dónde se decide, cómo se guarda una sesión, cómo se confirma un comando). Es la señal de un buen análisis del dominio con poca experiencia en sistemas distribuidos, y justifica haber rediseñado desde el contrato MQTT hacia afuera.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22</w:t>
      </w:r>
    </w:p>
    <w:p>
      <w:pPr>
        <w:pStyle w:val="Heading1"/>
      </w:pPr>
      <w:bookmarkStart w:id="179" w:name="sec_179"/>
      <w:r>
        <w:rPr>
          <w:b/>
          <w:bCs/>
          <w:color w:val="0B3D2B"/>
          <w:sz w:val="34"/>
          <w:szCs w:val="34"/>
        </w:rPr>
        <w:t xml:space="preserve">Interfaz</w:t>
      </w:r>
      <w:bookmarkEnd w:id="179"/>
    </w:p>
    <w:p>
      <w:pPr>
        <w:keepNext/>
        <w:spacing w:before="120" w:after="60" w:line="288" w:lineRule="auto"/>
        <w:jc w:val="center"/>
      </w:pPr>
      <w:r>
        <w:drawing>
          <wp:inline distT="0" distB="0" distL="0" distR="0">
            <wp:extent cx="5943600" cy="2515143"/>
            <wp:docPr id="180" name="SmartPot_32_PWA_Sitemap"/>
            <wp:cNvGraphicFramePr>
              <a:graphicFrameLocks noChangeAspect="1"/>
            </wp:cNvGraphicFramePr>
            <a:graphic>
              <a:graphicData uri="http://schemas.openxmlformats.org/drawingml/2006/picture">
                <pic:pic>
                  <pic:nvPicPr>
                    <pic:cNvPr id="180" name="SmartPot_32_PWA_Sitemap"/>
                    <pic:cNvPicPr/>
                  </pic:nvPicPr>
                  <pic:blipFill>
                    <a:blip r:embed="rIdImg28"/>
                    <a:stretch>
                      <a:fillRect/>
                    </a:stretch>
                  </pic:blipFill>
                  <pic:spPr>
                    <a:xfrm>
                      <a:off x="0" y="0"/>
                      <a:ext cx="5943600" cy="2515143"/>
                    </a:xfrm>
                    <a:prstGeom prst="rect">
                      <a:avLst/>
                    </a:prstGeom>
                  </pic:spPr>
                </pic:pic>
              </a:graphicData>
            </a:graphic>
          </wp:inline>
        </w:drawing>
      </w:r>
    </w:p>
    <w:p>
      <w:pPr>
        <w:spacing w:before="0" w:after="240" w:line="288" w:lineRule="auto"/>
        <w:jc w:val="center"/>
      </w:pPr>
      <w:r>
        <w:rPr>
          <w:b/>
          <w:bCs/>
          <w:color w:val="067A52"/>
          <w:sz w:val="16"/>
          <w:szCs w:val="16"/>
        </w:rPr>
        <w:t xml:space="preserve">Figura 26</w:t>
      </w:r>
      <w:r>
        <w:rPr>
          <w:i/>
          <w:iCs/>
          <w:color w:val="5B6B63"/>
          <w:sz w:val="16"/>
          <w:szCs w:val="16"/>
        </w:rPr>
        <w:t xml:space="preserve">  ·  Mapa de la PWA</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78"/>
        <w:gridCol w:w="7482"/>
      </w:tblGrid>
      <w:tr>
        <w:trPr>
          <w:cantSplit/>
          <w:tblHeader/>
        </w:trPr>
        <w:tc>
          <w:tcPr>
            <w:tcW w:w="18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PRINCIPIO</w:t>
            </w:r>
          </w:p>
        </w:tc>
        <w:tc>
          <w:tcPr>
            <w:tcW w:w="74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SE APLICA</w:t>
            </w:r>
          </w:p>
        </w:tc>
      </w:tr>
      <w:tr>
        <w:trPr>
          <w:cantSplit/>
        </w:trPr>
        <w:tc>
          <w:tcPr>
            <w:tcW w:w="187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Primero el teléfono</w:t>
            </w:r>
          </w:p>
        </w:tc>
        <w:tc>
          <w:tcPr>
            <w:tcW w:w="74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Navegación inferior en el teléfono y lateral en el escritorio; la página de aprendizaje solo en escritorio</w:t>
            </w:r>
          </w:p>
        </w:tc>
      </w:tr>
      <w:tr>
        <w:trPr>
          <w:cantSplit/>
        </w:trPr>
        <w:tc>
          <w:tcPr>
            <w:tcW w:w="187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Lenguaje simple</w:t>
            </w:r>
          </w:p>
        </w:tc>
        <w:tc>
          <w:tcPr>
            <w:tcW w:w="74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Textos en español, sin jerga, con explicaciones en cada tarjeta</w:t>
            </w:r>
          </w:p>
        </w:tc>
      </w:tr>
      <w:tr>
        <w:trPr>
          <w:cantSplit/>
        </w:trPr>
        <w:tc>
          <w:tcPr>
            <w:tcW w:w="187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Accesibilidad</w:t>
            </w:r>
          </w:p>
        </w:tc>
        <w:tc>
          <w:tcPr>
            <w:tcW w:w="74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Colores de texto de alto contraste, tablas con encabezados y títulos accesibles, y movimiento reducido respetado en la escena del clima</w:t>
            </w:r>
          </w:p>
        </w:tc>
      </w:tr>
      <w:tr>
        <w:trPr>
          <w:cantSplit/>
        </w:trPr>
        <w:tc>
          <w:tcPr>
            <w:tcW w:w="187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Identidad</w:t>
            </w:r>
          </w:p>
        </w:tc>
        <w:tc>
          <w:tcPr>
            <w:tcW w:w="748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Paleta SmartPot (verdes hoja, azul agua, sol y arcilla) validada para daltonismo en las gráficas</w:t>
            </w:r>
          </w:p>
        </w:tc>
      </w:tr>
      <w:tr>
        <w:trPr>
          <w:cantSplit/>
        </w:trPr>
        <w:tc>
          <w:tcPr>
            <w:tcW w:w="187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Descubrimiento</w:t>
            </w:r>
          </w:p>
        </w:tc>
        <w:tc>
          <w:tcPr>
            <w:tcW w:w="748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Página de inicio indexable con metadatos para buscadores y redes</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23</w:t>
      </w:r>
    </w:p>
    <w:p>
      <w:pPr>
        <w:pStyle w:val="Heading1"/>
      </w:pPr>
      <w:bookmarkStart w:id="181" w:name="sec_181"/>
      <w:r>
        <w:rPr>
          <w:b/>
          <w:bCs/>
          <w:color w:val="0B3D2B"/>
          <w:sz w:val="34"/>
          <w:szCs w:val="34"/>
        </w:rPr>
        <w:t xml:space="preserve">Seguridad por diseño</w:t>
      </w:r>
      <w:bookmarkEnd w:id="181"/>
    </w:p>
    <w:p>
      <w:pPr>
        <w:keepNext/>
        <w:spacing w:before="120" w:after="60" w:line="288" w:lineRule="auto"/>
        <w:jc w:val="center"/>
      </w:pPr>
      <w:r>
        <w:drawing>
          <wp:inline distT="0" distB="0" distL="0" distR="0">
            <wp:extent cx="5943600" cy="4408535"/>
            <wp:docPr id="182" name="SmartPot_07_Networks"/>
            <wp:cNvGraphicFramePr>
              <a:graphicFrameLocks noChangeAspect="1"/>
            </wp:cNvGraphicFramePr>
            <a:graphic>
              <a:graphicData uri="http://schemas.openxmlformats.org/drawingml/2006/picture">
                <pic:pic>
                  <pic:nvPicPr>
                    <pic:cNvPr id="182" name="SmartPot_07_Networks"/>
                    <pic:cNvPicPr/>
                  </pic:nvPicPr>
                  <pic:blipFill>
                    <a:blip r:embed="rIdImg29"/>
                    <a:stretch>
                      <a:fillRect/>
                    </a:stretch>
                  </pic:blipFill>
                  <pic:spPr>
                    <a:xfrm>
                      <a:off x="0" y="0"/>
                      <a:ext cx="5943600" cy="4408535"/>
                    </a:xfrm>
                    <a:prstGeom prst="rect">
                      <a:avLst/>
                    </a:prstGeom>
                  </pic:spPr>
                </pic:pic>
              </a:graphicData>
            </a:graphic>
          </wp:inline>
        </w:drawing>
      </w:r>
    </w:p>
    <w:p>
      <w:pPr>
        <w:spacing w:before="0" w:after="240" w:line="288" w:lineRule="auto"/>
        <w:jc w:val="center"/>
      </w:pPr>
      <w:r>
        <w:rPr>
          <w:b/>
          <w:bCs/>
          <w:color w:val="067A52"/>
          <w:sz w:val="16"/>
          <w:szCs w:val="16"/>
        </w:rPr>
        <w:t xml:space="preserve">Figura 27</w:t>
      </w:r>
      <w:r>
        <w:rPr>
          <w:i/>
          <w:iCs/>
          <w:color w:val="5B6B63"/>
          <w:sz w:val="16"/>
          <w:szCs w:val="16"/>
        </w:rPr>
        <w:t xml:space="preserve">  ·  Redes y puertos en producción</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673"/>
        <w:gridCol w:w="6687"/>
      </w:tblGrid>
      <w:tr>
        <w:trPr>
          <w:cantSplit/>
          <w:tblHeader/>
        </w:trPr>
        <w:tc>
          <w:tcPr>
            <w:tcW w:w="26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AMENAZA</w:t>
            </w:r>
          </w:p>
        </w:tc>
        <w:tc>
          <w:tcPr>
            <w:tcW w:w="66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CONTROL</w:t>
            </w:r>
          </w:p>
        </w:tc>
      </w:tr>
      <w:tr>
        <w:trPr>
          <w:cantSplit/>
        </w:trPr>
        <w:tc>
          <w:tcPr>
            <w:tcW w:w="26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Suplantación de un dispositivo</w:t>
            </w:r>
          </w:p>
        </w:tc>
        <w:tc>
          <w:tcPr>
            <w:tcW w:w="66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Usuario MQTT por cultivo con clave generada por la API, cifrada con AES-GCM y ACL por tópico</w:t>
            </w:r>
          </w:p>
        </w:tc>
      </w:tr>
      <w:tr>
        <w:trPr>
          <w:cantSplit/>
        </w:trPr>
        <w:tc>
          <w:tcPr>
            <w:tcW w:w="26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Acceso a cultivos ajenos</w:t>
            </w:r>
          </w:p>
        </w:tc>
        <w:tc>
          <w:tcPr>
            <w:tcW w:w="66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Control de dueño en cada servicio, probado con la cadena de seguridad real</w:t>
            </w:r>
          </w:p>
        </w:tc>
      </w:tr>
      <w:tr>
        <w:trPr>
          <w:cantSplit/>
        </w:trPr>
        <w:tc>
          <w:tcPr>
            <w:tcW w:w="26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Fuerza bruta</w:t>
            </w:r>
          </w:p>
        </w:tc>
        <w:tc>
          <w:tcPr>
            <w:tcW w:w="66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BCrypt de costo 12 y límite de peticiones por IP</w:t>
            </w:r>
          </w:p>
        </w:tc>
      </w:tr>
      <w:tr>
        <w:trPr>
          <w:cantSplit/>
        </w:trPr>
        <w:tc>
          <w:tcPr>
            <w:tcW w:w="26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Escucha en la red</w:t>
            </w:r>
          </w:p>
        </w:tc>
        <w:tc>
          <w:tcPr>
            <w:tcW w:w="66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TLS en la web y en la API; MQTT en el puerto 8883 con una autoridad certificadora propia</w:t>
            </w:r>
          </w:p>
        </w:tc>
      </w:tr>
      <w:tr>
        <w:trPr>
          <w:cantSplit/>
        </w:trPr>
        <w:tc>
          <w:tcPr>
            <w:tcW w:w="26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Exposición de servicios internos</w:t>
            </w:r>
          </w:p>
        </w:tc>
        <w:tc>
          <w:tcPr>
            <w:tcW w:w="66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Redes internas de Docker y solo Nginx publicado</w:t>
            </w:r>
          </w:p>
        </w:tc>
      </w:tr>
      <w:tr>
        <w:trPr>
          <w:cantSplit/>
        </w:trPr>
        <w:tc>
          <w:tcPr>
            <w:tcW w:w="26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Webhook falsificado</w:t>
            </w:r>
          </w:p>
        </w:tc>
        <w:tc>
          <w:tcPr>
            <w:tcW w:w="66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Secreto en la cabecera de Telegram</w:t>
            </w:r>
          </w:p>
        </w:tc>
      </w:tr>
      <w:tr>
        <w:trPr>
          <w:cantSplit/>
        </w:trPr>
        <w:tc>
          <w:tcPr>
            <w:tcW w:w="26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Dependencias vulnerables</w:t>
            </w:r>
          </w:p>
        </w:tc>
        <w:tc>
          <w:tcPr>
            <w:tcW w:w="66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Dependabot, CodeQL y SBOM en cada imagen</w:t>
            </w:r>
          </w:p>
        </w:tc>
      </w:tr>
    </w:tbl>
    <w:p>
      <w:pPr>
        <w:spacing w:before="160" w:after="0" w:line="240" w:lineRule="auto"/>
        <w:rPr>
          <w:sz w:val="8"/>
        </w:r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V</w:t>
            </w:r>
          </w:p>
          <w:p>
            <w:pPr>
              <w:spacing w:before="0" w:after="0" w:line="240" w:lineRule="auto"/>
            </w:pPr>
            <w:r>
              <w:rPr>
                <w:rFonts w:ascii="Century Gothic" w:hAnsi="Century Gothic" w:eastAsia="Century Gothic" w:cs="Century Gothic"/>
                <w:b/>
                <w:bCs/>
                <w:color w:val="FFFFFF"/>
                <w:sz w:val="44"/>
                <w:szCs w:val="44"/>
              </w:rPr>
              <w:t xml:space="preserve">Construcción</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24</w:t>
      </w:r>
    </w:p>
    <w:p>
      <w:pPr>
        <w:pStyle w:val="Heading1"/>
      </w:pPr>
      <w:bookmarkStart w:id="183" w:name="sec_183"/>
      <w:r>
        <w:rPr>
          <w:b/>
          <w:bCs/>
          <w:color w:val="0B3D2B"/>
          <w:sz w:val="34"/>
          <w:szCs w:val="34"/>
        </w:rPr>
        <w:t xml:space="preserve">Organización del trabajo</w:t>
      </w:r>
      <w:bookmarkEnd w:id="183"/>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773"/>
        <w:gridCol w:w="7587"/>
      </w:tblGrid>
      <w:tr>
        <w:trPr>
          <w:cantSplit/>
          <w:tblHeader/>
        </w:trPr>
        <w:tc>
          <w:tcPr>
            <w:tcW w:w="17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PRÁCTICA</w:t>
            </w:r>
          </w:p>
        </w:tc>
        <w:tc>
          <w:tcPr>
            <w:tcW w:w="75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DETALLE</w:t>
            </w:r>
          </w:p>
        </w:tc>
      </w:tr>
      <w:tr>
        <w:trPr>
          <w:cantSplit/>
        </w:trPr>
        <w:tc>
          <w:tcPr>
            <w:tcW w:w="17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Repositorios</w:t>
            </w:r>
          </w:p>
        </w:tc>
        <w:tc>
          <w:tcPr>
            <w:tcW w:w="75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Uno por componente, más </w:t>
            </w:r>
            <w:r>
              <w:rPr>
                <w:rFonts w:ascii="JetBrains Mono" w:hAnsi="JetBrains Mono" w:eastAsia="JetBrains Mono" w:cs="JetBrains Mono"/>
                <w:color w:val="0A5A3C"/>
                <w:sz w:val="15"/>
                <w:szCs w:val="15"/>
              </w:rPr>
              <w:t xml:space="preserve">.github</w:t>
            </w:r>
            <w:r>
              <w:rPr>
                <w:color w:val="17261F"/>
                <w:sz w:val="17"/>
                <w:szCs w:val="17"/>
              </w:rPr>
              <w:t xml:space="preserve"> para entornos, despliegue, QA y documentación</w:t>
            </w:r>
          </w:p>
        </w:tc>
      </w:tr>
      <w:tr>
        <w:trPr>
          <w:cantSplit/>
        </w:trPr>
        <w:tc>
          <w:tcPr>
            <w:tcW w:w="17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Idiomas</w:t>
            </w:r>
          </w:p>
        </w:tc>
        <w:tc>
          <w:tcPr>
            <w:tcW w:w="75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Código en inglés; interfaz, mensajes, registros y documentación en español</w:t>
            </w:r>
          </w:p>
        </w:tc>
      </w:tr>
      <w:tr>
        <w:trPr>
          <w:cantSplit/>
        </w:trPr>
        <w:tc>
          <w:tcPr>
            <w:tcW w:w="17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Herramientas</w:t>
            </w:r>
          </w:p>
        </w:tc>
        <w:tc>
          <w:tcPr>
            <w:tcW w:w="75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Python con uv, web con pnpm, Java con Maven Wrapper</w:t>
            </w:r>
          </w:p>
        </w:tc>
      </w:tr>
      <w:tr>
        <w:trPr>
          <w:cantSplit/>
        </w:trPr>
        <w:tc>
          <w:tcPr>
            <w:tcW w:w="17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Commits</w:t>
            </w:r>
          </w:p>
        </w:tc>
        <w:tc>
          <w:tcPr>
            <w:tcW w:w="75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 inglés, en imperativo, con un solo propósito y uno o dos archivos</w:t>
            </w:r>
          </w:p>
        </w:tc>
      </w:tr>
      <w:tr>
        <w:trPr>
          <w:cantSplit/>
        </w:trPr>
        <w:tc>
          <w:tcPr>
            <w:tcW w:w="177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Calidad continua</w:t>
            </w:r>
          </w:p>
        </w:tc>
        <w:tc>
          <w:tcPr>
            <w:tcW w:w="758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 en cada repositorio, CodeQL, Dependabot y QA central</w:t>
            </w:r>
          </w:p>
        </w:tc>
      </w:tr>
      <w:tr>
        <w:trPr>
          <w:cantSplit/>
        </w:trPr>
        <w:tc>
          <w:tcPr>
            <w:tcW w:w="177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Entornos</w:t>
            </w:r>
          </w:p>
        </w:tc>
        <w:tc>
          <w:tcPr>
            <w:tcW w:w="758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Demo de un solo comando, desarrollo y producción con el mismo </w:t>
            </w:r>
            <w:r>
              <w:rPr>
                <w:rFonts w:ascii="JetBrains Mono" w:hAnsi="JetBrains Mono" w:eastAsia="JetBrains Mono" w:cs="JetBrains Mono"/>
                <w:color w:val="0A5A3C"/>
                <w:sz w:val="15"/>
                <w:szCs w:val="15"/>
              </w:rPr>
              <w:t xml:space="preserve">compose</w:t>
            </w:r>
            <w:r>
              <w:rPr>
                <w:color w:val="17261F"/>
                <w:sz w:val="17"/>
                <w:szCs w:val="17"/>
              </w:rPr>
              <w:t xml:space="preserve"> base</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25</w:t>
      </w:r>
    </w:p>
    <w:p>
      <w:pPr>
        <w:pStyle w:val="Heading1"/>
      </w:pPr>
      <w:bookmarkStart w:id="184" w:name="sec_184"/>
      <w:r>
        <w:rPr>
          <w:b/>
          <w:bCs/>
          <w:color w:val="0B3D2B"/>
          <w:sz w:val="34"/>
          <w:szCs w:val="34"/>
        </w:rPr>
        <w:t xml:space="preserve">Infraestructura y despliegue</w:t>
      </w:r>
      <w:bookmarkEnd w:id="184"/>
    </w:p>
    <w:p>
      <w:pPr>
        <w:keepNext/>
        <w:spacing w:before="120" w:after="60" w:line="288" w:lineRule="auto"/>
        <w:jc w:val="center"/>
      </w:pPr>
      <w:r>
        <w:drawing>
          <wp:inline distT="0" distB="0" distL="0" distR="0">
            <wp:extent cx="5943600" cy="5280149"/>
            <wp:docPr id="185" name="SmartPot_06_Deployment"/>
            <wp:cNvGraphicFramePr>
              <a:graphicFrameLocks noChangeAspect="1"/>
            </wp:cNvGraphicFramePr>
            <a:graphic>
              <a:graphicData uri="http://schemas.openxmlformats.org/drawingml/2006/picture">
                <pic:pic>
                  <pic:nvPicPr>
                    <pic:cNvPr id="185" name="SmartPot_06_Deployment"/>
                    <pic:cNvPicPr/>
                  </pic:nvPicPr>
                  <pic:blipFill>
                    <a:blip r:embed="rIdImg30"/>
                    <a:stretch>
                      <a:fillRect/>
                    </a:stretch>
                  </pic:blipFill>
                  <pic:spPr>
                    <a:xfrm>
                      <a:off x="0" y="0"/>
                      <a:ext cx="5943600" cy="5280149"/>
                    </a:xfrm>
                    <a:prstGeom prst="rect">
                      <a:avLst/>
                    </a:prstGeom>
                  </pic:spPr>
                </pic:pic>
              </a:graphicData>
            </a:graphic>
          </wp:inline>
        </w:drawing>
      </w:r>
    </w:p>
    <w:p>
      <w:pPr>
        <w:spacing w:before="0" w:after="240" w:line="288" w:lineRule="auto"/>
        <w:jc w:val="center"/>
      </w:pPr>
      <w:r>
        <w:rPr>
          <w:b/>
          <w:bCs/>
          <w:color w:val="067A52"/>
          <w:sz w:val="16"/>
          <w:szCs w:val="16"/>
        </w:rPr>
        <w:t xml:space="preserve">Figura 28</w:t>
      </w:r>
      <w:r>
        <w:rPr>
          <w:i/>
          <w:iCs/>
          <w:color w:val="5B6B63"/>
          <w:sz w:val="16"/>
          <w:szCs w:val="16"/>
        </w:rPr>
        <w:t xml:space="preserve">  ·  Despliegue continuo</w:t>
      </w:r>
    </w:p>
    <w:p>
      <w:pPr>
        <w:spacing w:before="0" w:after="140" w:line="288" w:lineRule="auto"/>
      </w:pPr>
      <w:r>
        <w:rPr>
          <w:color w:val="17261F"/>
          <w:sz w:val="20"/>
          <w:szCs w:val="20"/>
        </w:rPr>
        <w:t xml:space="preserve">Cada servicio publica su imagen en GHCR (y en Docker Hub como réplica) y pide el despliegue al workflow central, que corre de a uno: si llegan varios pedidos a la vez, solo el más reciente espera. El servidor descarga las imágenes, recrea solo lo que cambió y aplica los esquemas de la base con la migración de SmartPot-DB, idempotente, que evita depender de los scripts de inicio de MongoDB.</w:t>
      </w:r>
    </w:p>
    <w:p>
      <w:pPr>
        <w:keepNext/>
        <w:spacing w:before="360" w:after="40" w:line="288" w:lineRule="auto"/>
      </w:pPr>
      <w:r>
        <w:rPr>
          <w:b/>
          <w:bCs/>
          <w:color w:val="009A64"/>
          <w:spacing w:val="60"/>
          <w:sz w:val="16"/>
          <w:szCs w:val="16"/>
        </w:rPr>
        <w:t xml:space="preserve">SECCIÓN 26</w:t>
      </w:r>
    </w:p>
    <w:p>
      <w:pPr>
        <w:pStyle w:val="Heading1"/>
      </w:pPr>
      <w:bookmarkStart w:id="186" w:name="sec_186"/>
      <w:r>
        <w:rPr>
          <w:b/>
          <w:bCs/>
          <w:color w:val="0B3D2B"/>
          <w:sz w:val="34"/>
          <w:szCs w:val="34"/>
        </w:rPr>
        <w:t xml:space="preserve">Asistente de IA</w:t>
      </w:r>
      <w:bookmarkEnd w:id="186"/>
    </w:p>
    <w:p>
      <w:pPr>
        <w:keepNext/>
        <w:spacing w:before="120" w:after="60" w:line="288" w:lineRule="auto"/>
        <w:jc w:val="center"/>
      </w:pPr>
      <w:r>
        <w:drawing>
          <wp:inline distT="0" distB="0" distL="0" distR="0">
            <wp:extent cx="5943600" cy="5281600"/>
            <wp:docPr id="187" name="SmartPot_03_AI_Assistant"/>
            <wp:cNvGraphicFramePr>
              <a:graphicFrameLocks noChangeAspect="1"/>
            </wp:cNvGraphicFramePr>
            <a:graphic>
              <a:graphicData uri="http://schemas.openxmlformats.org/drawingml/2006/picture">
                <pic:pic>
                  <pic:nvPicPr>
                    <pic:cNvPr id="187" name="SmartPot_03_AI_Assistant"/>
                    <pic:cNvPicPr/>
                  </pic:nvPicPr>
                  <pic:blipFill>
                    <a:blip r:embed="rIdImg31"/>
                    <a:stretch>
                      <a:fillRect/>
                    </a:stretch>
                  </pic:blipFill>
                  <pic:spPr>
                    <a:xfrm>
                      <a:off x="0" y="0"/>
                      <a:ext cx="5943600" cy="5281600"/>
                    </a:xfrm>
                    <a:prstGeom prst="rect">
                      <a:avLst/>
                    </a:prstGeom>
                  </pic:spPr>
                </pic:pic>
              </a:graphicData>
            </a:graphic>
          </wp:inline>
        </w:drawing>
      </w:r>
    </w:p>
    <w:p>
      <w:pPr>
        <w:spacing w:before="0" w:after="240" w:line="288" w:lineRule="auto"/>
        <w:jc w:val="center"/>
      </w:pPr>
      <w:r>
        <w:rPr>
          <w:b/>
          <w:bCs/>
          <w:color w:val="067A52"/>
          <w:sz w:val="16"/>
          <w:szCs w:val="16"/>
        </w:rPr>
        <w:t xml:space="preserve">Figura 29</w:t>
      </w:r>
      <w:r>
        <w:rPr>
          <w:i/>
          <w:iCs/>
          <w:color w:val="5B6B63"/>
          <w:sz w:val="16"/>
          <w:szCs w:val="16"/>
        </w:rPr>
        <w:t xml:space="preserve">  ·  Técnicas del asistente de IA</w:t>
      </w:r>
    </w:p>
    <w:p>
      <w:pPr>
        <w:spacing w:before="0" w:after="140" w:line="288" w:lineRule="auto"/>
      </w:pPr>
      <w:r>
        <w:rPr>
          <w:color w:val="17261F"/>
          <w:sz w:val="20"/>
          <w:szCs w:val="20"/>
        </w:rPr>
        <w:t xml:space="preserve">La IA se construyó por capas, de lo explicable a lo aprendido: sistema experto con reglas encadenadas, lógica difusa para el índice de salud, pronóstico Theil-Sen de horas hasta el límite, análisis de flota con K-Means y, encima, modelos entrenados con las lecturas reales.</w:t>
      </w:r>
    </w:p>
    <w:p>
      <w:pPr>
        <w:keepNext/>
        <w:spacing w:before="360" w:after="40" w:line="288" w:lineRule="auto"/>
      </w:pPr>
      <w:r>
        <w:rPr>
          <w:b/>
          <w:bCs/>
          <w:color w:val="009A64"/>
          <w:spacing w:val="60"/>
          <w:sz w:val="16"/>
          <w:szCs w:val="16"/>
        </w:rPr>
        <w:t xml:space="preserve">SECCIÓN 27</w:t>
      </w:r>
    </w:p>
    <w:p>
      <w:pPr>
        <w:pStyle w:val="Heading1"/>
      </w:pPr>
      <w:bookmarkStart w:id="188" w:name="sec_188"/>
      <w:r>
        <w:rPr>
          <w:b/>
          <w:bCs/>
          <w:color w:val="0B3D2B"/>
          <w:sz w:val="34"/>
          <w:szCs w:val="34"/>
        </w:rPr>
        <w:t xml:space="preserve">Integraciones</w:t>
      </w:r>
      <w:bookmarkEnd w:id="188"/>
    </w:p>
    <w:p>
      <w:pPr>
        <w:pStyle w:val="Heading2"/>
      </w:pPr>
      <w:bookmarkStart w:id="189" w:name="sec_189"/>
      <w:r>
        <w:rPr>
          <w:b/>
          <w:bCs/>
          <w:color w:val="067A52"/>
          <w:sz w:val="25"/>
          <w:szCs w:val="25"/>
        </w:rPr>
        <w:t xml:space="preserve">27.1 Telegram</w:t>
      </w:r>
      <w:bookmarkEnd w:id="189"/>
    </w:p>
    <w:p>
      <w:pPr>
        <w:keepNext/>
        <w:spacing w:before="120" w:after="60" w:line="288" w:lineRule="auto"/>
        <w:jc w:val="center"/>
      </w:pPr>
      <w:r>
        <w:drawing>
          <wp:inline distT="0" distB="0" distL="0" distR="0">
            <wp:extent cx="5943600" cy="3764874"/>
            <wp:docPr id="190" name="SmartPot_14_Telegram_Sequence"/>
            <wp:cNvGraphicFramePr>
              <a:graphicFrameLocks noChangeAspect="1"/>
            </wp:cNvGraphicFramePr>
            <a:graphic>
              <a:graphicData uri="http://schemas.openxmlformats.org/drawingml/2006/picture">
                <pic:pic>
                  <pic:nvPicPr>
                    <pic:cNvPr id="190" name="SmartPot_14_Telegram_Sequence"/>
                    <pic:cNvPicPr/>
                  </pic:nvPicPr>
                  <pic:blipFill>
                    <a:blip r:embed="rIdImg32"/>
                    <a:stretch>
                      <a:fillRect/>
                    </a:stretch>
                  </pic:blipFill>
                  <pic:spPr>
                    <a:xfrm>
                      <a:off x="0" y="0"/>
                      <a:ext cx="5943600" cy="3764874"/>
                    </a:xfrm>
                    <a:prstGeom prst="rect">
                      <a:avLst/>
                    </a:prstGeom>
                  </pic:spPr>
                </pic:pic>
              </a:graphicData>
            </a:graphic>
          </wp:inline>
        </w:drawing>
      </w:r>
    </w:p>
    <w:p>
      <w:pPr>
        <w:spacing w:before="0" w:after="240" w:line="288" w:lineRule="auto"/>
        <w:jc w:val="center"/>
      </w:pPr>
      <w:r>
        <w:rPr>
          <w:b/>
          <w:bCs/>
          <w:color w:val="067A52"/>
          <w:sz w:val="16"/>
          <w:szCs w:val="16"/>
        </w:rPr>
        <w:t xml:space="preserve">Figura 30</w:t>
      </w:r>
      <w:r>
        <w:rPr>
          <w:i/>
          <w:iCs/>
          <w:color w:val="5B6B63"/>
          <w:sz w:val="16"/>
          <w:szCs w:val="16"/>
        </w:rPr>
        <w:t xml:space="preserve">  ·  Vinculación de Telegram</w:t>
      </w:r>
    </w:p>
    <w:p>
      <w:pPr>
        <w:pStyle w:val="Heading2"/>
      </w:pPr>
      <w:bookmarkStart w:id="191" w:name="sec_191"/>
      <w:r>
        <w:rPr>
          <w:b/>
          <w:bCs/>
          <w:color w:val="067A52"/>
          <w:sz w:val="25"/>
          <w:szCs w:val="25"/>
        </w:rPr>
        <w:t xml:space="preserve">27.2 Cultivos reales y virtuales</w:t>
      </w:r>
      <w:bookmarkEnd w:id="191"/>
    </w:p>
    <w:p>
      <w:pPr>
        <w:spacing w:before="0" w:after="140" w:line="288" w:lineRule="auto"/>
      </w:pPr>
      <w:r>
        <w:rPr>
          <w:color w:val="17261F"/>
          <w:sz w:val="20"/>
          <w:szCs w:val="20"/>
        </w:rPr>
        <w:t xml:space="preserve">La primera versión encendía una «maceta virtual» sobre cualquier cultivo, incluso uno con hardware, y dibujaba siempre una maceta. La revisión separó los dos mundos y los hizo fieles: el tipo se elige al crear el cultivo y no cambia (el API rechaza el cambio); un cultivo virtual no entrega credenciales, nace con los seis actuadores, se pausa sin perder su configuración y no alimenta el aprendizaje; Wokwi, al ejecutar el firmware real, cuenta como cultivo real. Cada cultivo tiene además su forma (maceta, tubos NFT, torre vertical o balsa flotante) y se dibuja sobre todas sus secciones con su especie y cada actuador encendido o apagado, sin botones; si no está conectado, no se ilustra. La simulación de los virtuales se configura en su propia pestaña.</w:t>
      </w:r>
    </w:p>
    <w:p>
      <w:pPr>
        <w:keepNext/>
        <w:spacing w:before="120" w:after="60" w:line="288" w:lineRule="auto"/>
        <w:jc w:val="center"/>
      </w:pPr>
      <w:r>
        <w:drawing>
          <wp:inline distT="0" distB="0" distL="0" distR="0">
            <wp:extent cx="5943600" cy="3936945"/>
            <wp:docPr id="192" name="SmartPot_15_Virtual_Crop_Sequence"/>
            <wp:cNvGraphicFramePr>
              <a:graphicFrameLocks noChangeAspect="1"/>
            </wp:cNvGraphicFramePr>
            <a:graphic>
              <a:graphicData uri="http://schemas.openxmlformats.org/drawingml/2006/picture">
                <pic:pic>
                  <pic:nvPicPr>
                    <pic:cNvPr id="192" name="SmartPot_15_Virtual_Crop_Sequence"/>
                    <pic:cNvPicPr/>
                  </pic:nvPicPr>
                  <pic:blipFill>
                    <a:blip r:embed="rIdImg33"/>
                    <a:stretch>
                      <a:fillRect/>
                    </a:stretch>
                  </pic:blipFill>
                  <pic:spPr>
                    <a:xfrm>
                      <a:off x="0" y="0"/>
                      <a:ext cx="5943600" cy="3936945"/>
                    </a:xfrm>
                    <a:prstGeom prst="rect">
                      <a:avLst/>
                    </a:prstGeom>
                  </pic:spPr>
                </pic:pic>
              </a:graphicData>
            </a:graphic>
          </wp:inline>
        </w:drawing>
      </w:r>
    </w:p>
    <w:p>
      <w:pPr>
        <w:spacing w:before="0" w:after="240" w:line="288" w:lineRule="auto"/>
        <w:jc w:val="center"/>
      </w:pPr>
      <w:r>
        <w:rPr>
          <w:b/>
          <w:bCs/>
          <w:color w:val="067A52"/>
          <w:sz w:val="16"/>
          <w:szCs w:val="16"/>
        </w:rPr>
        <w:t xml:space="preserve">Figura 31</w:t>
      </w:r>
      <w:r>
        <w:rPr>
          <w:i/>
          <w:iCs/>
          <w:color w:val="5B6B63"/>
          <w:sz w:val="16"/>
          <w:szCs w:val="16"/>
        </w:rPr>
        <w:t xml:space="preserve">  ·  Cultivo virtual con clima real</w:t>
      </w:r>
    </w:p>
    <w:p>
      <w:pPr>
        <w:keepNext/>
        <w:spacing w:before="360" w:after="40" w:line="288" w:lineRule="auto"/>
      </w:pPr>
      <w:r>
        <w:rPr>
          <w:b/>
          <w:bCs/>
          <w:color w:val="009A64"/>
          <w:spacing w:val="60"/>
          <w:sz w:val="16"/>
          <w:szCs w:val="16"/>
        </w:rPr>
        <w:t xml:space="preserve">SECCIÓN 28</w:t>
      </w:r>
    </w:p>
    <w:p>
      <w:pPr>
        <w:pStyle w:val="Heading1"/>
      </w:pPr>
      <w:bookmarkStart w:id="193" w:name="sec_193"/>
      <w:r>
        <w:rPr>
          <w:b/>
          <w:bCs/>
          <w:color w:val="0B3D2B"/>
          <w:sz w:val="34"/>
          <w:szCs w:val="34"/>
        </w:rPr>
        <w:t xml:space="preserve">Aprendizaje continuo</w:t>
      </w:r>
      <w:bookmarkEnd w:id="193"/>
    </w:p>
    <w:p>
      <w:pPr>
        <w:keepNext/>
        <w:spacing w:before="120" w:after="60" w:line="288" w:lineRule="auto"/>
        <w:jc w:val="center"/>
      </w:pPr>
      <w:r>
        <w:drawing>
          <wp:inline distT="0" distB="0" distL="0" distR="0">
            <wp:extent cx="4493799" cy="7112000"/>
            <wp:docPr id="194" name="SmartPot_16_Learning"/>
            <wp:cNvGraphicFramePr>
              <a:graphicFrameLocks noChangeAspect="1"/>
            </wp:cNvGraphicFramePr>
            <a:graphic>
              <a:graphicData uri="http://schemas.openxmlformats.org/drawingml/2006/picture">
                <pic:pic>
                  <pic:nvPicPr>
                    <pic:cNvPr id="194" name="SmartPot_16_Learning"/>
                    <pic:cNvPicPr/>
                  </pic:nvPicPr>
                  <pic:blipFill>
                    <a:blip r:embed="rIdImg34"/>
                    <a:stretch>
                      <a:fillRect/>
                    </a:stretch>
                  </pic:blipFill>
                  <pic:spPr>
                    <a:xfrm>
                      <a:off x="0" y="0"/>
                      <a:ext cx="4493799"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32</w:t>
      </w:r>
      <w:r>
        <w:rPr>
          <w:i/>
          <w:iCs/>
          <w:color w:val="5B6B63"/>
          <w:sz w:val="16"/>
          <w:szCs w:val="16"/>
        </w:rPr>
        <w:t xml:space="preserve">  ·  Aprendizaje continuo con lecturas reales</w:t>
      </w:r>
    </w:p>
    <w:p>
      <w:pPr>
        <w:spacing w:before="0" w:after="140" w:line="288" w:lineRule="auto"/>
      </w:pPr>
      <w:r>
        <w:rPr>
          <w:color w:val="17261F"/>
          <w:sz w:val="20"/>
          <w:szCs w:val="20"/>
        </w:rPr>
        <w:t xml:space="preserve">Cada lectura real llega a la IA con el cultivo seudonimizado. La IA mide su calidad, etiqueta lo que pasó en la hora siguiente, compara siete modelos con validación cruzada temporal frente a una línea base, afina el mejor y solo lo pone en servicio si supera al vigente. Con aprendizaje no supervisado descubre los estados típicos de cada especie y reconoce lo poco habitual.</w:t>
      </w: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LECTURA CRÍTICA DE LA CONSTRUCCIÓN</w:t>
            </w:r>
          </w:p>
          <w:p>
            <w:pPr>
              <w:spacing w:before="0" w:after="0" w:line="276" w:lineRule="auto"/>
            </w:pPr>
            <w:r>
              <w:rPr>
                <w:color w:val="17261F"/>
                <w:sz w:val="18"/>
                <w:szCs w:val="18"/>
              </w:rPr>
              <w:t xml:space="preserve">Lo más difícil no fue programar funciones sino sostener la coherencia entre diez repositorios: un contrato que cambia en la API tiene que cambiar en el firmware, el simulador, la IA, la PWA y la documentación. Tres prácticas lo hicieron posible: contratos versionados, un QA que arma la plataforma completa en cada cambio y convenciones iguales en todos los repositorios.</w:t>
            </w:r>
          </w:p>
        </w:tc>
      </w:tr>
    </w:tbl>
    <w:p>
      <w:pPr>
        <w:spacing w:before="160" w:after="0" w:line="240" w:lineRule="auto"/>
        <w:rPr>
          <w:sz w:val="8"/>
        </w:r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VI</w:t>
            </w:r>
          </w:p>
          <w:p>
            <w:pPr>
              <w:spacing w:before="0" w:after="0" w:line="240" w:lineRule="auto"/>
            </w:pPr>
            <w:r>
              <w:rPr>
                <w:rFonts w:ascii="Century Gothic" w:hAnsi="Century Gothic" w:eastAsia="Century Gothic" w:cs="Century Gothic"/>
                <w:b/>
                <w:bCs/>
                <w:color w:val="FFFFFF"/>
                <w:sz w:val="44"/>
                <w:szCs w:val="44"/>
              </w:rPr>
              <w:t xml:space="preserve">Pruebas</w:t>
            </w:r>
          </w:p>
        </w:tc>
      </w:tr>
    </w:tbl>
    <w:p>
      <w:pPr>
        <w:spacing w:before="240" w:after="0" w:line="240" w:lineRule="auto"/>
        <w:rPr>
          <w:sz w:val="8"/>
        </w:rPr>
      </w:pPr>
    </w:p>
    <w:p>
      <w:pPr>
        <w:spacing w:before="0" w:after="140" w:line="288" w:lineRule="auto"/>
      </w:pPr>
      <w:r>
        <w:rPr>
          <w:color w:val="17261F"/>
          <w:sz w:val="20"/>
          <w:szCs w:val="20"/>
        </w:rPr>
        <w:t xml:space="preserve">El acta pedía pruebas unitarias, de integración y de aceptación, con una cobertura mínima y un tiempo de respuesta máximo. La plataforma llegó a una pirámide completa que se ejecuta sola en cada cambio; esta parte muestra cómo está armada, qué criterios del acta cumple y cuáles siguen sin medirse.</w:t>
      </w:r>
    </w:p>
    <w:p>
      <w:pPr>
        <w:keepNext/>
        <w:spacing w:before="360" w:after="40" w:line="288" w:lineRule="auto"/>
      </w:pPr>
      <w:r>
        <w:rPr>
          <w:b/>
          <w:bCs/>
          <w:color w:val="009A64"/>
          <w:spacing w:val="60"/>
          <w:sz w:val="16"/>
          <w:szCs w:val="16"/>
        </w:rPr>
        <w:t xml:space="preserve">SECCIÓN 29</w:t>
      </w:r>
    </w:p>
    <w:p>
      <w:pPr>
        <w:pStyle w:val="Heading1"/>
      </w:pPr>
      <w:bookmarkStart w:id="195" w:name="sec_195"/>
      <w:r>
        <w:rPr>
          <w:b/>
          <w:bCs/>
          <w:color w:val="0B3D2B"/>
          <w:sz w:val="34"/>
          <w:szCs w:val="34"/>
        </w:rPr>
        <w:t xml:space="preserve">Estrategia</w:t>
      </w:r>
      <w:bookmarkEnd w:id="195"/>
    </w:p>
    <w:p>
      <w:pPr>
        <w:keepNext/>
        <w:spacing w:before="120" w:after="60" w:line="288" w:lineRule="auto"/>
        <w:jc w:val="center"/>
      </w:pPr>
      <w:r>
        <w:drawing>
          <wp:inline distT="0" distB="0" distL="0" distR="0">
            <wp:extent cx="3390176" cy="7112000"/>
            <wp:docPr id="196" name="SmartPot_33_Test_Pyramid"/>
            <wp:cNvGraphicFramePr>
              <a:graphicFrameLocks noChangeAspect="1"/>
            </wp:cNvGraphicFramePr>
            <a:graphic>
              <a:graphicData uri="http://schemas.openxmlformats.org/drawingml/2006/picture">
                <pic:pic>
                  <pic:nvPicPr>
                    <pic:cNvPr id="196" name="SmartPot_33_Test_Pyramid"/>
                    <pic:cNvPicPr/>
                  </pic:nvPicPr>
                  <pic:blipFill>
                    <a:blip r:embed="rIdImg35"/>
                    <a:stretch>
                      <a:fillRect/>
                    </a:stretch>
                  </pic:blipFill>
                  <pic:spPr>
                    <a:xfrm>
                      <a:off x="0" y="0"/>
                      <a:ext cx="3390176"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33</w:t>
      </w:r>
      <w:r>
        <w:rPr>
          <w:i/>
          <w:iCs/>
          <w:color w:val="5B6B63"/>
          <w:sz w:val="16"/>
          <w:szCs w:val="16"/>
        </w:rPr>
        <w:t xml:space="preserve">  ·  Pirámide de pruebas</w:t>
      </w:r>
    </w:p>
    <w:p>
      <w:pPr>
        <w:keepNext/>
        <w:spacing w:before="120" w:after="60" w:line="288" w:lineRule="auto"/>
        <w:jc w:val="center"/>
      </w:pPr>
      <w:r>
        <w:drawing>
          <wp:inline distT="0" distB="0" distL="0" distR="0">
            <wp:extent cx="5943600" cy="2650447"/>
            <wp:docPr id="197" name="SmartPot_08_QA"/>
            <wp:cNvGraphicFramePr>
              <a:graphicFrameLocks noChangeAspect="1"/>
            </wp:cNvGraphicFramePr>
            <a:graphic>
              <a:graphicData uri="http://schemas.openxmlformats.org/drawingml/2006/picture">
                <pic:pic>
                  <pic:nvPicPr>
                    <pic:cNvPr id="197" name="SmartPot_08_QA"/>
                    <pic:cNvPicPr/>
                  </pic:nvPicPr>
                  <pic:blipFill>
                    <a:blip r:embed="rIdImg36"/>
                    <a:stretch>
                      <a:fillRect/>
                    </a:stretch>
                  </pic:blipFill>
                  <pic:spPr>
                    <a:xfrm>
                      <a:off x="0" y="0"/>
                      <a:ext cx="5943600" cy="2650447"/>
                    </a:xfrm>
                    <a:prstGeom prst="rect">
                      <a:avLst/>
                    </a:prstGeom>
                  </pic:spPr>
                </pic:pic>
              </a:graphicData>
            </a:graphic>
          </wp:inline>
        </w:drawing>
      </w:r>
    </w:p>
    <w:p>
      <w:pPr>
        <w:spacing w:before="0" w:after="240" w:line="288" w:lineRule="auto"/>
        <w:jc w:val="center"/>
      </w:pPr>
      <w:r>
        <w:rPr>
          <w:b/>
          <w:bCs/>
          <w:color w:val="067A52"/>
          <w:sz w:val="16"/>
          <w:szCs w:val="16"/>
        </w:rPr>
        <w:t xml:space="preserve">Figura 34</w:t>
      </w:r>
      <w:r>
        <w:rPr>
          <w:i/>
          <w:iCs/>
          <w:color w:val="5B6B63"/>
          <w:sz w:val="16"/>
          <w:szCs w:val="16"/>
        </w:rPr>
        <w:t xml:space="preserve">  ·  Workflow de QA</w:t>
      </w:r>
    </w:p>
    <w:p>
      <w:pPr>
        <w:spacing w:before="0" w:after="140" w:line="288" w:lineRule="auto"/>
      </w:pPr>
      <w:r>
        <w:rPr>
          <w:color w:val="17261F"/>
          <w:sz w:val="20"/>
          <w:szCs w:val="20"/>
        </w:rPr>
        <w:t xml:space="preserve">La base son 260 pruebas unitarias y de componentes (106 en la API, 73 en la IA, 45 en la PWA, 23 en el simulador y 13 en el firmware); encima, las pruebas de humo de cada imagen; y arriba, 30 comprobaciones de extremo a extremo sobre la demo completa. El QA corre en cada cambio de la organización, cada lunes y a mano.</w:t>
      </w:r>
    </w:p>
    <w:p>
      <w:pPr>
        <w:keepNext/>
        <w:spacing w:before="360" w:after="40" w:line="288" w:lineRule="auto"/>
      </w:pPr>
      <w:r>
        <w:rPr>
          <w:b/>
          <w:bCs/>
          <w:color w:val="009A64"/>
          <w:spacing w:val="60"/>
          <w:sz w:val="16"/>
          <w:szCs w:val="16"/>
        </w:rPr>
        <w:t xml:space="preserve">SECCIÓN 30</w:t>
      </w:r>
    </w:p>
    <w:p>
      <w:pPr>
        <w:pStyle w:val="Heading1"/>
      </w:pPr>
      <w:bookmarkStart w:id="198" w:name="sec_198"/>
      <w:r>
        <w:rPr>
          <w:b/>
          <w:bCs/>
          <w:color w:val="0B3D2B"/>
          <w:sz w:val="34"/>
          <w:szCs w:val="34"/>
        </w:rPr>
        <w:t xml:space="preserve">Criterios de aprobación del acta</w:t>
      </w:r>
      <w:bookmarkEnd w:id="198"/>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828"/>
        <w:gridCol w:w="1655"/>
        <w:gridCol w:w="3877"/>
      </w:tblGrid>
      <w:tr>
        <w:trPr>
          <w:cantSplit/>
          <w:tblHeader/>
        </w:trPr>
        <w:tc>
          <w:tcPr>
            <w:tcW w:w="382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CRITERIO</w:t>
            </w:r>
          </w:p>
        </w:tc>
        <w:tc>
          <w:tcPr>
            <w:tcW w:w="165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ESTADO</w:t>
            </w:r>
          </w:p>
        </w:tc>
        <w:tc>
          <w:tcPr>
            <w:tcW w:w="387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 CERRARLO</w:t>
            </w:r>
          </w:p>
        </w:tc>
      </w:tr>
      <w:tr>
        <w:trPr>
          <w:cantSplit/>
        </w:trPr>
        <w:tc>
          <w:tcPr>
            <w:tcW w:w="382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Simulación IoT, API con JWT, portal en tiempo real y automatización</w:t>
            </w:r>
          </w:p>
        </w:tc>
        <w:tc>
          <w:tcPr>
            <w:tcW w:w="16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w:t>
            </w:r>
          </w:p>
        </w:tc>
        <w:tc>
          <w:tcPr>
            <w:tcW w:w="387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Probado por el E2E</w:t>
            </w:r>
          </w:p>
        </w:tc>
      </w:tr>
      <w:tr>
        <w:trPr>
          <w:cantSplit/>
        </w:trPr>
        <w:tc>
          <w:tcPr>
            <w:tcW w:w="382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Cobertura de al menos 80 % en módulos críticos</w:t>
            </w:r>
          </w:p>
        </w:tc>
        <w:tc>
          <w:tcPr>
            <w:tcW w:w="16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Sin medir</w:t>
            </w:r>
          </w:p>
        </w:tc>
        <w:tc>
          <w:tcPr>
            <w:tcW w:w="387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Publicar la cobertura en el CI de API, IA y PWA y fijar el umbral por módulo</w:t>
            </w:r>
          </w:p>
        </w:tc>
      </w:tr>
      <w:tr>
        <w:trPr>
          <w:cantSplit/>
        </w:trPr>
        <w:tc>
          <w:tcPr>
            <w:tcW w:w="382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Latencia de la API menor a 500 ms</w:t>
            </w:r>
          </w:p>
        </w:tc>
        <w:tc>
          <w:tcPr>
            <w:tcW w:w="16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Sin medir formalmente</w:t>
            </w:r>
          </w:p>
        </w:tc>
        <w:tc>
          <w:tcPr>
            <w:tcW w:w="387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 de carga con varios cultivos simulados y registro del percentil 95</w:t>
            </w:r>
          </w:p>
        </w:tc>
      </w:tr>
      <w:tr>
        <w:trPr>
          <w:cantSplit/>
        </w:trPr>
        <w:tc>
          <w:tcPr>
            <w:tcW w:w="382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TLS y JWT</w:t>
            </w:r>
          </w:p>
        </w:tc>
        <w:tc>
          <w:tcPr>
            <w:tcW w:w="16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Cumplido</w:t>
            </w:r>
          </w:p>
        </w:tc>
        <w:tc>
          <w:tcPr>
            <w:tcW w:w="387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Verificado en producción y en las pruebas del broker</w:t>
            </w:r>
          </w:p>
        </w:tc>
      </w:tr>
      <w:tr>
        <w:trPr>
          <w:cantSplit/>
        </w:trPr>
        <w:tc>
          <w:tcPr>
            <w:tcW w:w="382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Pruebas unitarias, de integración y de aceptación sin defectos críticos</w:t>
            </w:r>
          </w:p>
        </w:tc>
        <w:tc>
          <w:tcPr>
            <w:tcW w:w="165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Cumplido</w:t>
            </w:r>
          </w:p>
        </w:tc>
        <w:tc>
          <w:tcPr>
            <w:tcW w:w="387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aceptación por caso de uso está en el </w:t>
            </w:r>
            <w:r>
              <w:rPr>
                <w:color w:val="1F6FA0"/>
                <w:sz w:val="17"/>
                <w:szCs w:val="17"/>
              </w:rPr>
              <w:t xml:space="preserve">recorrido del proyecto</w:t>
            </w:r>
          </w:p>
        </w:tc>
      </w:tr>
      <w:tr>
        <w:trPr>
          <w:cantSplit/>
        </w:trPr>
        <w:tc>
          <w:tcPr>
            <w:tcW w:w="382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Documentación: requisitos, manual, C4, modelo de datos y despliegue</w:t>
            </w:r>
          </w:p>
        </w:tc>
        <w:tc>
          <w:tcPr>
            <w:tcW w:w="165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Cumplido</w:t>
            </w:r>
          </w:p>
        </w:tc>
        <w:tc>
          <w:tcPr>
            <w:tcW w:w="387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Estos tres documentos, los READMEs y la guía de la demo</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LECTURA CRÍTICA</w:t>
            </w:r>
          </w:p>
          <w:p>
            <w:pPr>
              <w:spacing w:before="0" w:after="0" w:line="276" w:lineRule="auto"/>
            </w:pPr>
            <w:r>
              <w:rPr>
                <w:color w:val="17261F"/>
                <w:sz w:val="18"/>
                <w:szCs w:val="18"/>
              </w:rPr>
              <w:t xml:space="preserve">Las pruebas encontraron lo que se buscaba y dejaron pasar lo que no: la caída de producción por las rutas públicas no la detectó ninguna prueba porque ninguna recorría la configuración real. El E2E actual, que se registra e ingresa sobre las imágenes publicadas, cerraría ese hueco. Los dos criterios numéricos del acta (cobertura y latencia) siguen sin medición y son la deuda de pruebas más clara.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31</w:t>
      </w:r>
    </w:p>
    <w:p>
      <w:pPr>
        <w:pStyle w:val="Heading1"/>
      </w:pPr>
      <w:bookmarkStart w:id="199" w:name="sec_199"/>
      <w:r>
        <w:rPr>
          <w:b/>
          <w:bCs/>
          <w:color w:val="0B3D2B"/>
          <w:sz w:val="34"/>
          <w:szCs w:val="34"/>
        </w:rPr>
        <w:t xml:space="preserve">Calidad de los modelos</w:t>
      </w:r>
      <w:bookmarkEnd w:id="199"/>
    </w:p>
    <w:p>
      <w:pPr>
        <w:spacing w:before="0" w:after="140" w:line="288" w:lineRule="auto"/>
      </w:pPr>
      <w:r>
        <w:rPr>
          <w:color w:val="17261F"/>
          <w:sz w:val="20"/>
          <w:szCs w:val="20"/>
        </w:rPr>
        <w:t xml:space="preserve">Las pruebas de la IA entrenan con dos cultivos simulados durante tres días y exigen que cada modelo supere a su línea base en el 20 % de lecturas más recientes: F1 de 0,89 frente a 0,46 para anticipar el secado, F1 de 0,92 frente a 0,49 para anticipar el calor y un error de 1,2 % frente a 4,5 % al estimar la humedad del sustrato en una hora. Son series simuladas: en producción cada especie muestra sus puntajes reales en la página Aprendizaje.</w:t>
      </w: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VII</w:t>
            </w:r>
          </w:p>
          <w:p>
            <w:pPr>
              <w:spacing w:before="0" w:after="0" w:line="240" w:lineRule="auto"/>
            </w:pPr>
            <w:r>
              <w:rPr>
                <w:rFonts w:ascii="Century Gothic" w:hAnsi="Century Gothic" w:eastAsia="Century Gothic" w:cs="Century Gothic"/>
                <w:b/>
                <w:bCs/>
                <w:color w:val="FFFFFF"/>
                <w:sz w:val="44"/>
                <w:szCs w:val="44"/>
              </w:rPr>
              <w:t xml:space="preserve">Mejora continua</w:t>
            </w:r>
          </w:p>
        </w:tc>
      </w:tr>
    </w:tbl>
    <w:p>
      <w:pPr>
        <w:spacing w:before="240" w:after="0" w:line="240" w:lineRule="auto"/>
        <w:rPr>
          <w:sz w:val="8"/>
        </w:rPr>
      </w:pPr>
    </w:p>
    <w:p>
      <w:pPr>
        <w:spacing w:before="0" w:after="140" w:line="288" w:lineRule="auto"/>
      </w:pPr>
      <w:r>
        <w:rPr>
          <w:color w:val="17261F"/>
          <w:sz w:val="20"/>
          <w:szCs w:val="20"/>
        </w:rPr>
        <w:t xml:space="preserve">SmartPot no terminó con una entrega: siguió mejorando en ciclos cortos que parten de un diagnóstico sobre la plataforma real. Esta parte describe ese ciclo, lo que cada vuelta cambió, los mecanismos que mejoran el sistema sin intervención, los indicadores con los que se medirá el próximo ciclo y las lecciones que deja el proyecto.</w:t>
      </w:r>
    </w:p>
    <w:p>
      <w:pPr>
        <w:keepNext/>
        <w:spacing w:before="360" w:after="40" w:line="288" w:lineRule="auto"/>
      </w:pPr>
      <w:r>
        <w:rPr>
          <w:b/>
          <w:bCs/>
          <w:color w:val="009A64"/>
          <w:spacing w:val="60"/>
          <w:sz w:val="16"/>
          <w:szCs w:val="16"/>
        </w:rPr>
        <w:t xml:space="preserve">SECCIÓN 32</w:t>
      </w:r>
    </w:p>
    <w:p>
      <w:pPr>
        <w:pStyle w:val="Heading1"/>
      </w:pPr>
      <w:bookmarkStart w:id="200" w:name="sec_200"/>
      <w:r>
        <w:rPr>
          <w:b/>
          <w:bCs/>
          <w:color w:val="0B3D2B"/>
          <w:sz w:val="34"/>
          <w:szCs w:val="34"/>
        </w:rPr>
        <w:t xml:space="preserve">El ciclo de mejora</w:t>
      </w:r>
      <w:bookmarkEnd w:id="200"/>
    </w:p>
    <w:p>
      <w:pPr>
        <w:spacing w:before="0" w:after="140" w:line="288" w:lineRule="auto"/>
      </w:pPr>
      <w:r>
        <w:rPr>
          <w:color w:val="17261F"/>
          <w:sz w:val="20"/>
          <w:szCs w:val="20"/>
        </w:rPr>
        <w:t xml:space="preserve">Cada ciclo empieza con un diagnóstico sobre la plataforma real, no sobre el plan: qué falla, qué está expuesto, qué pide la persona. Termina cuando el cambio está desplegado, probado de extremo a extremo y documentado.</w:t>
      </w:r>
    </w:p>
    <w:p>
      <w:pPr>
        <w:keepNext/>
        <w:spacing w:before="120" w:after="60" w:line="288" w:lineRule="auto"/>
        <w:jc w:val="center"/>
      </w:pPr>
      <w:r>
        <w:drawing>
          <wp:inline distT="0" distB="0" distL="0" distR="0">
            <wp:extent cx="4409685" cy="7112000"/>
            <wp:docPr id="201" name="SmartPot_34_PDCA_Cycle"/>
            <wp:cNvGraphicFramePr>
              <a:graphicFrameLocks noChangeAspect="1"/>
            </wp:cNvGraphicFramePr>
            <a:graphic>
              <a:graphicData uri="http://schemas.openxmlformats.org/drawingml/2006/picture">
                <pic:pic>
                  <pic:nvPicPr>
                    <pic:cNvPr id="201" name="SmartPot_34_PDCA_Cycle"/>
                    <pic:cNvPicPr/>
                  </pic:nvPicPr>
                  <pic:blipFill>
                    <a:blip r:embed="rIdImg37"/>
                    <a:stretch>
                      <a:fillRect/>
                    </a:stretch>
                  </pic:blipFill>
                  <pic:spPr>
                    <a:xfrm>
                      <a:off x="0" y="0"/>
                      <a:ext cx="4409685"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35</w:t>
      </w:r>
      <w:r>
        <w:rPr>
          <w:i/>
          <w:iCs/>
          <w:color w:val="5B6B63"/>
          <w:sz w:val="16"/>
          <w:szCs w:val="16"/>
        </w:rPr>
        <w:t xml:space="preserve">  ·  Ciclo PDCA de SmartPot</w:t>
      </w:r>
    </w:p>
    <w:p>
      <w:pPr>
        <w:keepNext/>
        <w:spacing w:before="360" w:after="40" w:line="288" w:lineRule="auto"/>
      </w:pPr>
      <w:r>
        <w:rPr>
          <w:b/>
          <w:bCs/>
          <w:color w:val="009A64"/>
          <w:spacing w:val="60"/>
          <w:sz w:val="16"/>
          <w:szCs w:val="16"/>
        </w:rPr>
        <w:t xml:space="preserve">SECCIÓN 33</w:t>
      </w:r>
    </w:p>
    <w:p>
      <w:pPr>
        <w:pStyle w:val="Heading1"/>
      </w:pPr>
      <w:bookmarkStart w:id="202" w:name="sec_202"/>
      <w:r>
        <w:rPr>
          <w:b/>
          <w:bCs/>
          <w:color w:val="0B3D2B"/>
          <w:sz w:val="34"/>
          <w:szCs w:val="34"/>
        </w:rPr>
        <w:t xml:space="preserve">Ciclos de mejora</w:t>
      </w:r>
      <w:bookmarkEnd w:id="202"/>
    </w:p>
    <w:p>
      <w:pPr>
        <w:keepNext/>
        <w:spacing w:before="120" w:after="60" w:line="288" w:lineRule="auto"/>
        <w:jc w:val="center"/>
      </w:pPr>
      <w:r>
        <w:drawing>
          <wp:inline distT="0" distB="0" distL="0" distR="0">
            <wp:extent cx="1862345" cy="7112000"/>
            <wp:docPr id="203" name="SmartPot_35_Improvement_Cycles"/>
            <wp:cNvGraphicFramePr>
              <a:graphicFrameLocks noChangeAspect="1"/>
            </wp:cNvGraphicFramePr>
            <a:graphic>
              <a:graphicData uri="http://schemas.openxmlformats.org/drawingml/2006/picture">
                <pic:pic>
                  <pic:nvPicPr>
                    <pic:cNvPr id="203" name="SmartPot_35_Improvement_Cycles"/>
                    <pic:cNvPicPr/>
                  </pic:nvPicPr>
                  <pic:blipFill>
                    <a:blip r:embed="rIdImg38"/>
                    <a:stretch>
                      <a:fillRect/>
                    </a:stretch>
                  </pic:blipFill>
                  <pic:spPr>
                    <a:xfrm>
                      <a:off x="0" y="0"/>
                      <a:ext cx="1862345"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36</w:t>
      </w:r>
      <w:r>
        <w:rPr>
          <w:i/>
          <w:iCs/>
          <w:color w:val="5B6B63"/>
          <w:sz w:val="16"/>
          <w:szCs w:val="16"/>
        </w:rPr>
        <w:t xml:space="preserve">  ·  Ciclos de mejora</w:t>
      </w:r>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40"/>
        <w:gridCol w:w="2534"/>
        <w:gridCol w:w="2925"/>
        <w:gridCol w:w="2061"/>
      </w:tblGrid>
      <w:tr>
        <w:trPr>
          <w:cantSplit/>
          <w:tblHeader/>
        </w:trPr>
        <w:tc>
          <w:tcPr>
            <w:tcW w:w="18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CICLO</w:t>
            </w:r>
          </w:p>
        </w:tc>
        <w:tc>
          <w:tcPr>
            <w:tcW w:w="253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DISPARADOR</w:t>
            </w:r>
          </w:p>
        </w:tc>
        <w:tc>
          <w:tcPr>
            <w:tcW w:w="292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CAMBIOS PRINCIPALES</w:t>
            </w:r>
          </w:p>
        </w:tc>
        <w:tc>
          <w:tcPr>
            <w:tcW w:w="206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EVIDENCIA</w:t>
            </w:r>
          </w:p>
        </w:tc>
      </w:tr>
      <w:tr>
        <w:trPr>
          <w:cantSplit/>
        </w:trPr>
        <w:tc>
          <w:tcPr>
            <w:tcW w:w="18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0 · Primera plataforma</w:t>
            </w:r>
          </w:p>
        </w:tc>
        <w:tc>
          <w:tcPr>
            <w:tcW w:w="253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Proyecto de diseño</w:t>
            </w:r>
          </w:p>
        </w:tc>
        <w:tc>
          <w:tcPr>
            <w:tcW w:w="292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portal web, base en la nube y ESP32</w:t>
            </w:r>
          </w:p>
        </w:tc>
        <w:tc>
          <w:tcPr>
            <w:tcW w:w="206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Repositorios desde 2024</w:t>
            </w:r>
          </w:p>
        </w:tc>
      </w:tr>
      <w:tr>
        <w:trPr>
          <w:cantSplit/>
        </w:trPr>
        <w:tc>
          <w:tcPr>
            <w:tcW w:w="18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1 · Reestructuración</w:t>
            </w:r>
          </w:p>
        </w:tc>
        <w:tc>
          <w:tcPr>
            <w:tcW w:w="253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Producción caída, servicios expuestos y rutas sin control de dueño</w:t>
            </w:r>
          </w:p>
        </w:tc>
        <w:tc>
          <w:tcPr>
            <w:tcW w:w="292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MQTT v1, servidor propio, seguridad, IA inicial, documentación y QA</w:t>
            </w:r>
          </w:p>
        </w:tc>
        <w:tc>
          <w:tcPr>
            <w:tcW w:w="206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Plataforma en smartpot.app; QA con E2E en verde</w:t>
            </w:r>
          </w:p>
        </w:tc>
      </w:tr>
      <w:tr>
        <w:trPr>
          <w:cantSplit/>
        </w:trPr>
        <w:tc>
          <w:tcPr>
            <w:tcW w:w="18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2 · Mirada de conjunto</w:t>
            </w:r>
          </w:p>
        </w:tc>
        <w:tc>
          <w:tcPr>
            <w:tcW w:w="253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Una persona con varios cultivos no tenía vista general</w:t>
            </w:r>
          </w:p>
        </w:tc>
        <w:tc>
          <w:tcPr>
            <w:tcW w:w="292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Panel general, control y acciones en bloque, pronóstico y cola de despliegues</w:t>
            </w:r>
          </w:p>
        </w:tc>
        <w:tc>
          <w:tcPr>
            <w:tcW w:w="206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Nuevos endpoints y 21 comprobaciones E2E</w:t>
            </w:r>
          </w:p>
        </w:tc>
      </w:tr>
      <w:tr>
        <w:trPr>
          <w:cantSplit/>
        </w:trPr>
        <w:tc>
          <w:tcPr>
            <w:tcW w:w="18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3 · Aprender y conectar</w:t>
            </w:r>
          </w:p>
        </w:tc>
        <w:tc>
          <w:tcPr>
            <w:tcW w:w="253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IA no mejoraba con el uso y no había avisos fuera de la PWA</w:t>
            </w:r>
          </w:p>
        </w:tc>
        <w:tc>
          <w:tcPr>
            <w:tcW w:w="292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Aprendizaje continuo, Telegram, macetas virtuales con clima real y despliegue desde GHCR</w:t>
            </w:r>
          </w:p>
        </w:tc>
        <w:tc>
          <w:tcPr>
            <w:tcW w:w="206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260 pruebas y 30 comprobaciones E2E</w:t>
            </w:r>
          </w:p>
        </w:tc>
      </w:tr>
      <w:tr>
        <w:trPr>
          <w:cantSplit/>
        </w:trPr>
        <w:tc>
          <w:tcPr>
            <w:tcW w:w="18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4 · Cultivos a la medida</w:t>
            </w:r>
          </w:p>
        </w:tc>
        <w:tc>
          <w:tcPr>
            <w:tcW w:w="253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 maceta virtual mezclaba simulación y hardware, y no todo cultivo es una maceta</w:t>
            </w:r>
          </w:p>
        </w:tc>
        <w:tc>
          <w:tcPr>
            <w:tcW w:w="292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real o virtual fijo al crearlo, cuatro formas, cada especie ilustrada con sus actuadores, guía ESP32 o Wokwi y aprendizaje solo con cultivos reales</w:t>
            </w:r>
          </w:p>
        </w:tc>
        <w:tc>
          <w:tcPr>
            <w:tcW w:w="206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281 pruebas y 35 comprobaciones E2E</w:t>
            </w:r>
          </w:p>
        </w:tc>
      </w:tr>
      <w:tr>
        <w:trPr>
          <w:cantSplit/>
        </w:trPr>
        <w:tc>
          <w:tcPr>
            <w:tcW w:w="18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Próximo</w:t>
            </w:r>
          </w:p>
        </w:tc>
        <w:tc>
          <w:tcPr>
            <w:tcW w:w="253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Pendientes de requisitos y de la investigación</w:t>
            </w:r>
          </w:p>
        </w:tc>
        <w:tc>
          <w:tcPr>
            <w:tcW w:w="292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Sección 36</w:t>
            </w:r>
          </w:p>
        </w:tc>
        <w:tc>
          <w:tcPr>
            <w:tcW w:w="206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34</w:t>
      </w:r>
    </w:p>
    <w:p>
      <w:pPr>
        <w:pStyle w:val="Heading1"/>
      </w:pPr>
      <w:bookmarkStart w:id="204" w:name="sec_204"/>
      <w:r>
        <w:rPr>
          <w:b/>
          <w:bCs/>
          <w:color w:val="0B3D2B"/>
          <w:sz w:val="34"/>
          <w:szCs w:val="34"/>
        </w:rPr>
        <w:t xml:space="preserve">Mejora que ocurre sola</w:t>
      </w:r>
      <w:bookmarkEnd w:id="204"/>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562"/>
        <w:gridCol w:w="3827"/>
        <w:gridCol w:w="3971"/>
      </w:tblGrid>
      <w:tr>
        <w:trPr>
          <w:cantSplit/>
          <w:tblHeader/>
        </w:trPr>
        <w:tc>
          <w:tcPr>
            <w:tcW w:w="156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MECANISMO</w:t>
            </w:r>
          </w:p>
        </w:tc>
        <w:tc>
          <w:tcPr>
            <w:tcW w:w="382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MEJORA</w:t>
            </w:r>
          </w:p>
        </w:tc>
        <w:tc>
          <w:tcPr>
            <w:tcW w:w="397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FRECUENCIA</w:t>
            </w:r>
          </w:p>
        </w:tc>
      </w:tr>
      <w:tr>
        <w:trPr>
          <w:cantSplit/>
        </w:trPr>
        <w:tc>
          <w:tcPr>
            <w:tcW w:w="156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Aprendizaje continuo</w:t>
            </w:r>
          </w:p>
        </w:tc>
        <w:tc>
          <w:tcPr>
            <w:tcW w:w="382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Los modelos se reentrenan con lecturas reales y solo reemplazan al vigente si lo superan</w:t>
            </w:r>
          </w:p>
        </w:tc>
        <w:tc>
          <w:tcPr>
            <w:tcW w:w="39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cierto número de lecturas nuevas por especie</w:t>
            </w:r>
          </w:p>
        </w:tc>
      </w:tr>
      <w:tr>
        <w:trPr>
          <w:cantSplit/>
        </w:trPr>
        <w:tc>
          <w:tcPr>
            <w:tcW w:w="156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Dependabot</w:t>
            </w:r>
          </w:p>
        </w:tc>
        <w:tc>
          <w:tcPr>
            <w:tcW w:w="382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Dependencias al día en todos los repositorios</w:t>
            </w:r>
          </w:p>
        </w:tc>
        <w:tc>
          <w:tcPr>
            <w:tcW w:w="39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Semanal en casi todos los ecosistemas; cada actualización pasa por el CI y se revisa antes de fusionar</w:t>
            </w:r>
          </w:p>
        </w:tc>
      </w:tr>
      <w:tr>
        <w:trPr>
          <w:cantSplit/>
        </w:trPr>
        <w:tc>
          <w:tcPr>
            <w:tcW w:w="156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CodeQL</w:t>
            </w:r>
          </w:p>
        </w:tc>
        <w:tc>
          <w:tcPr>
            <w:tcW w:w="382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Detección de vulnerabilidades en el código</w:t>
            </w:r>
          </w:p>
        </w:tc>
        <w:tc>
          <w:tcPr>
            <w:tcW w:w="397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En cada cambio</w:t>
            </w:r>
          </w:p>
        </w:tc>
      </w:tr>
      <w:tr>
        <w:trPr>
          <w:cantSplit/>
        </w:trPr>
        <w:tc>
          <w:tcPr>
            <w:tcW w:w="156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QA programado</w:t>
            </w:r>
          </w:p>
        </w:tc>
        <w:tc>
          <w:tcPr>
            <w:tcW w:w="382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plataforma completa se arma y se prueba aunque nadie haya cambiado nada</w:t>
            </w:r>
          </w:p>
        </w:tc>
        <w:tc>
          <w:tcPr>
            <w:tcW w:w="397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Cada lunes</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35</w:t>
      </w:r>
    </w:p>
    <w:p>
      <w:pPr>
        <w:pStyle w:val="Heading1"/>
      </w:pPr>
      <w:bookmarkStart w:id="205" w:name="sec_205"/>
      <w:r>
        <w:rPr>
          <w:b/>
          <w:bCs/>
          <w:color w:val="0B3D2B"/>
          <w:sz w:val="34"/>
          <w:szCs w:val="34"/>
        </w:rPr>
        <w:t xml:space="preserve">Indicadores</w:t>
      </w:r>
      <w:bookmarkEnd w:id="205"/>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868"/>
        <w:gridCol w:w="3004"/>
        <w:gridCol w:w="1762"/>
        <w:gridCol w:w="2726"/>
      </w:tblGrid>
      <w:tr>
        <w:trPr>
          <w:cantSplit/>
          <w:tblHeader/>
        </w:trPr>
        <w:tc>
          <w:tcPr>
            <w:tcW w:w="186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INDICADOR</w:t>
            </w:r>
          </w:p>
        </w:tc>
        <w:tc>
          <w:tcPr>
            <w:tcW w:w="300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DEFINICIÓN</w:t>
            </w:r>
          </w:p>
        </w:tc>
        <w:tc>
          <w:tcPr>
            <w:tcW w:w="176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FUENTE</w:t>
            </w:r>
          </w:p>
        </w:tc>
        <w:tc>
          <w:tcPr>
            <w:tcW w:w="272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META PROPUESTA</w:t>
            </w:r>
          </w:p>
        </w:tc>
      </w:tr>
      <w:tr>
        <w:trPr>
          <w:cantSplit/>
        </w:trPr>
        <w:tc>
          <w:tcPr>
            <w:tcW w:w="186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Tiempo en rango</w:t>
            </w:r>
          </w:p>
        </w:tc>
        <w:tc>
          <w:tcPr>
            <w:tcW w:w="30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Porcentaje de lecturas dentro del rango ideal de la especie</w:t>
            </w:r>
          </w:p>
        </w:tc>
        <w:tc>
          <w:tcPr>
            <w:tcW w:w="1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Lecturas en MongoDB</w:t>
            </w:r>
          </w:p>
        </w:tc>
        <w:tc>
          <w:tcPr>
            <w:tcW w:w="27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Subir semana a semana en cultivos con modo automático</w:t>
            </w:r>
          </w:p>
        </w:tc>
      </w:tr>
      <w:tr>
        <w:trPr>
          <w:cantSplit/>
        </w:trPr>
        <w:tc>
          <w:tcPr>
            <w:tcW w:w="186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Intervenciones manuales</w:t>
            </w:r>
          </w:p>
        </w:tc>
        <w:tc>
          <w:tcPr>
            <w:tcW w:w="30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Comandos de la persona frente a los del agente</w:t>
            </w:r>
          </w:p>
        </w:tc>
        <w:tc>
          <w:tcPr>
            <w:tcW w:w="1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Colección de comandos</w:t>
            </w:r>
          </w:p>
        </w:tc>
        <w:tc>
          <w:tcPr>
            <w:tcW w:w="27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Bajar a medida que el agente aprende</w:t>
            </w:r>
          </w:p>
        </w:tc>
      </w:tr>
      <w:tr>
        <w:trPr>
          <w:cantSplit/>
        </w:trPr>
        <w:tc>
          <w:tcPr>
            <w:tcW w:w="186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Ventaja de los modelos</w:t>
            </w:r>
          </w:p>
        </w:tc>
        <w:tc>
          <w:tcPr>
            <w:tcW w:w="30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Puntaje de cada modelo frente a su línea base</w:t>
            </w:r>
          </w:p>
        </w:tc>
        <w:tc>
          <w:tcPr>
            <w:tcW w:w="1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Página Aprendizaje</w:t>
            </w:r>
          </w:p>
        </w:tc>
        <w:tc>
          <w:tcPr>
            <w:tcW w:w="27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Siempre por encima de la línea base</w:t>
            </w:r>
          </w:p>
        </w:tc>
      </w:tr>
      <w:tr>
        <w:trPr>
          <w:cantSplit/>
        </w:trPr>
        <w:tc>
          <w:tcPr>
            <w:tcW w:w="186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Latencia de la API</w:t>
            </w:r>
          </w:p>
        </w:tc>
        <w:tc>
          <w:tcPr>
            <w:tcW w:w="30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Percentil 95 del tiempo de respuesta</w:t>
            </w:r>
          </w:p>
        </w:tc>
        <w:tc>
          <w:tcPr>
            <w:tcW w:w="1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Prueba de carga</w:t>
            </w:r>
          </w:p>
        </w:tc>
        <w:tc>
          <w:tcPr>
            <w:tcW w:w="27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Menos de 500 ms (criterio del acta)</w:t>
            </w:r>
          </w:p>
        </w:tc>
      </w:tr>
      <w:tr>
        <w:trPr>
          <w:cantSplit/>
        </w:trPr>
        <w:tc>
          <w:tcPr>
            <w:tcW w:w="186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Cobertura de pruebas</w:t>
            </w:r>
          </w:p>
        </w:tc>
        <w:tc>
          <w:tcPr>
            <w:tcW w:w="30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Porcentaje de líneas cubiertas en módulos críticos</w:t>
            </w:r>
          </w:p>
        </w:tc>
        <w:tc>
          <w:tcPr>
            <w:tcW w:w="1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 de cada repositorio</w:t>
            </w:r>
          </w:p>
        </w:tc>
        <w:tc>
          <w:tcPr>
            <w:tcW w:w="27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80 % (criterio del acta)</w:t>
            </w:r>
          </w:p>
        </w:tc>
      </w:tr>
      <w:tr>
        <w:trPr>
          <w:cantSplit/>
        </w:trPr>
        <w:tc>
          <w:tcPr>
            <w:tcW w:w="186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Frecuencia de despliegue</w:t>
            </w:r>
          </w:p>
        </w:tc>
        <w:tc>
          <w:tcPr>
            <w:tcW w:w="30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Despliegues a producción por semana</w:t>
            </w:r>
          </w:p>
        </w:tc>
        <w:tc>
          <w:tcPr>
            <w:tcW w:w="1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Workflow central</w:t>
            </w:r>
          </w:p>
        </w:tc>
        <w:tc>
          <w:tcPr>
            <w:tcW w:w="27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Al menos uno por ciclo</w:t>
            </w:r>
          </w:p>
        </w:tc>
      </w:tr>
      <w:tr>
        <w:trPr>
          <w:cantSplit/>
        </w:trPr>
        <w:tc>
          <w:tcPr>
            <w:tcW w:w="186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Cambios fallidos</w:t>
            </w:r>
          </w:p>
        </w:tc>
        <w:tc>
          <w:tcPr>
            <w:tcW w:w="30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Despliegues que requieren revertir</w:t>
            </w:r>
          </w:p>
        </w:tc>
        <w:tc>
          <w:tcPr>
            <w:tcW w:w="176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Workflow central y </w:t>
            </w:r>
            <w:r>
              <w:rPr>
                <w:rFonts w:ascii="JetBrains Mono" w:hAnsi="JetBrains Mono" w:eastAsia="JetBrains Mono" w:cs="JetBrains Mono"/>
                <w:color w:val="0A5A3C"/>
                <w:sz w:val="15"/>
                <w:szCs w:val="15"/>
              </w:rPr>
              <w:t xml:space="preserve">/health</w:t>
            </w:r>
          </w:p>
        </w:tc>
        <w:tc>
          <w:tcPr>
            <w:tcW w:w="27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Cero</w:t>
            </w:r>
          </w:p>
        </w:tc>
      </w:tr>
      <w:tr>
        <w:trPr>
          <w:cantSplit/>
        </w:trPr>
        <w:tc>
          <w:tcPr>
            <w:tcW w:w="186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Adopción</w:t>
            </w:r>
          </w:p>
        </w:tc>
        <w:tc>
          <w:tcPr>
            <w:tcW w:w="30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Cuentas y cultivos activos, en forma agregada y anónima</w:t>
            </w:r>
          </w:p>
        </w:tc>
        <w:tc>
          <w:tcPr>
            <w:tcW w:w="176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w:t>
            </w:r>
          </w:p>
        </w:tc>
        <w:tc>
          <w:tcPr>
            <w:tcW w:w="27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Línea base en el piloto académico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36</w:t>
      </w:r>
    </w:p>
    <w:p>
      <w:pPr>
        <w:pStyle w:val="Heading1"/>
      </w:pPr>
      <w:bookmarkStart w:id="206" w:name="sec_206"/>
      <w:r>
        <w:rPr>
          <w:b/>
          <w:bCs/>
          <w:color w:val="0B3D2B"/>
          <w:sz w:val="34"/>
          <w:szCs w:val="34"/>
        </w:rPr>
        <w:t xml:space="preserve">Backlog del próximo ciclo</w:t>
      </w:r>
      <w:bookmarkEnd w:id="206"/>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20"/>
        <w:gridCol w:w="5073"/>
        <w:gridCol w:w="2967"/>
      </w:tblGrid>
      <w:tr>
        <w:trPr>
          <w:cantSplit/>
          <w:tblHeader/>
        </w:trPr>
        <w:tc>
          <w:tcPr>
            <w:tcW w:w="13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PRIORIDAD</w:t>
            </w:r>
          </w:p>
        </w:tc>
        <w:tc>
          <w:tcPr>
            <w:tcW w:w="50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TRABAJO</w:t>
            </w:r>
          </w:p>
        </w:tc>
        <w:tc>
          <w:tcPr>
            <w:tcW w:w="296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ORIGEN</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Must</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Medir cobertura y latencia en el CI</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Criterios de aprobación del acta</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Must</w:t>
            </w:r>
          </w:p>
        </w:tc>
        <w:tc>
          <w:tcPr>
            <w:tcW w:w="50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Tiempo en rango e intervenciones como indicadores visibles</w:t>
            </w:r>
          </w:p>
        </w:tc>
        <w:tc>
          <w:tcPr>
            <w:tcW w:w="29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Marco lógico</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Must</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Métricas de adopción agregadas y anónimas</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Estudio de mercado</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Should</w:t>
            </w:r>
          </w:p>
        </w:tc>
        <w:tc>
          <w:tcPr>
            <w:tcW w:w="50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Autenticación en dos pasos</w:t>
            </w:r>
          </w:p>
        </w:tc>
        <w:tc>
          <w:tcPr>
            <w:tcW w:w="29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RNF-001</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Should</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Umbrales propios por cultivo y calibración remota</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RF-008 y RF-002</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Should</w:t>
            </w:r>
          </w:p>
        </w:tc>
        <w:tc>
          <w:tcPr>
            <w:tcW w:w="50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Reportes periódicos programados</w:t>
            </w:r>
          </w:p>
        </w:tc>
        <w:tc>
          <w:tcPr>
            <w:tcW w:w="29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RF-012</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Could</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Actualización en vivo hacia la PWA</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RNF-003</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Could</w:t>
            </w:r>
          </w:p>
        </w:tc>
        <w:tc>
          <w:tcPr>
            <w:tcW w:w="50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Temas y ajustes de visualización</w:t>
            </w:r>
          </w:p>
        </w:tc>
        <w:tc>
          <w:tcPr>
            <w:tcW w:w="29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RNF-006</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Could</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Más canales de notificación</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Arquitectura de canales</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Later</w:t>
            </w:r>
          </w:p>
        </w:tc>
        <w:tc>
          <w:tcPr>
            <w:tcW w:w="50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Prototipo físico y dos ciclos de cultivo comparados</w:t>
            </w:r>
          </w:p>
        </w:tc>
        <w:tc>
          <w:tcPr>
            <w:tcW w:w="29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Propuesta de investigación</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Later</w:t>
            </w:r>
          </w:p>
        </w:tc>
        <w:tc>
          <w:tcPr>
            <w:tcW w:w="50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Redes recurrentes cuando haya meses de datos reales</w:t>
            </w:r>
          </w:p>
        </w:tc>
        <w:tc>
          <w:tcPr>
            <w:tcW w:w="29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Propuesta de investigación</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37</w:t>
      </w:r>
    </w:p>
    <w:p>
      <w:pPr>
        <w:pStyle w:val="Heading1"/>
      </w:pPr>
      <w:bookmarkStart w:id="207" w:name="sec_207"/>
      <w:r>
        <w:rPr>
          <w:b/>
          <w:bCs/>
          <w:color w:val="0B3D2B"/>
          <w:sz w:val="34"/>
          <w:szCs w:val="34"/>
        </w:rPr>
        <w:t xml:space="preserve">Lecciones aprendidas</w:t>
      </w:r>
      <w:bookmarkEnd w:id="207"/>
    </w:p>
    <w:p>
      <w:pPr>
        <w:keepNext/>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584"/>
        <w:gridCol w:w="7776"/>
      </w:tblGrid>
      <w:tr>
        <w:trPr>
          <w:cantSplit/>
          <w:tblHeader/>
        </w:trPr>
        <w:tc>
          <w:tcPr>
            <w:tcW w:w="158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DISCIPLINA</w:t>
            </w:r>
          </w:p>
        </w:tc>
        <w:tc>
          <w:tcPr>
            <w:tcW w:w="777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LECCIÓN</w:t>
            </w:r>
          </w:p>
        </w:tc>
      </w:tr>
      <w:tr>
        <w:trPr>
          <w:cantSplit/>
        </w:trPr>
        <w:tc>
          <w:tcPr>
            <w:tcW w:w="158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Formulación</w:t>
            </w:r>
          </w:p>
        </w:tc>
        <w:tc>
          <w:tcPr>
            <w:tcW w:w="77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Formular el proyecto como flujo de datos, y no como aparato, fue lo que permitió que el software valiera sin hardware</w:t>
            </w:r>
          </w:p>
        </w:tc>
      </w:tr>
      <w:tr>
        <w:trPr>
          <w:cantSplit/>
        </w:trPr>
        <w:tc>
          <w:tcPr>
            <w:tcW w:w="158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Evaluación</w:t>
            </w:r>
          </w:p>
        </w:tc>
        <w:tc>
          <w:tcPr>
            <w:tcW w:w="77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 estudio de mercado sin fuente primaria da un buen mapa y malos números; la variable que decide es la conversión y hay que medirla</w:t>
            </w:r>
          </w:p>
        </w:tc>
      </w:tr>
      <w:tr>
        <w:trPr>
          <w:cantSplit/>
        </w:trPr>
        <w:tc>
          <w:tcPr>
            <w:tcW w:w="158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Gestión</w:t>
            </w:r>
          </w:p>
        </w:tc>
        <w:tc>
          <w:tcPr>
            <w:tcW w:w="77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plan que no registra avance no detecta desvíos; la evidencia automática (pruebas, QA y despliegues) fue mejor termómetro que el porcentaje declarado</w:t>
            </w:r>
          </w:p>
        </w:tc>
      </w:tr>
      <w:tr>
        <w:trPr>
          <w:cantSplit/>
        </w:trPr>
        <w:tc>
          <w:tcPr>
            <w:tcW w:w="158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Gestión</w:t>
            </w:r>
          </w:p>
        </w:tc>
        <w:tc>
          <w:tcPr>
            <w:tcW w:w="77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Nivelar recursos y aceptar una fecha más tarde es una decisión de gestión, no un fracaso</w:t>
            </w:r>
          </w:p>
        </w:tc>
      </w:tr>
      <w:tr>
        <w:trPr>
          <w:cantSplit/>
        </w:trPr>
        <w:tc>
          <w:tcPr>
            <w:tcW w:w="158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Análisis</w:t>
            </w:r>
          </w:p>
        </w:tc>
        <w:tc>
          <w:tcPr>
            <w:tcW w:w="77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requisito que no se puede probar termina redefinido por quien lo construye; conviene escribirlo verificable desde el principio</w:t>
            </w:r>
          </w:p>
        </w:tc>
      </w:tr>
      <w:tr>
        <w:trPr>
          <w:cantSplit/>
        </w:trPr>
        <w:tc>
          <w:tcPr>
            <w:tcW w:w="158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Diseño</w:t>
            </w:r>
          </w:p>
        </w:tc>
        <w:tc>
          <w:tcPr>
            <w:tcW w:w="77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Los contratos primero (MQTT v1 y OpenAPI) desacoplan equipos y repositorios mejor que cualquier red de precedencias</w:t>
            </w:r>
          </w:p>
        </w:tc>
      </w:tr>
      <w:tr>
        <w:trPr>
          <w:cantSplit/>
        </w:trPr>
        <w:tc>
          <w:tcPr>
            <w:tcW w:w="158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Construcción</w:t>
            </w:r>
          </w:p>
        </w:tc>
        <w:tc>
          <w:tcPr>
            <w:tcW w:w="77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Diez repositorios solo son manejables con convenciones idénticas y un QA que los arme juntos</w:t>
            </w:r>
          </w:p>
        </w:tc>
      </w:tr>
      <w:tr>
        <w:trPr>
          <w:cantSplit/>
        </w:trPr>
        <w:tc>
          <w:tcPr>
            <w:tcW w:w="158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Pruebas</w:t>
            </w:r>
          </w:p>
        </w:tc>
        <w:tc>
          <w:tcPr>
            <w:tcW w:w="777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Las pruebas deben recorrer la configuración real, no solo el código</w:t>
            </w:r>
          </w:p>
        </w:tc>
      </w:tr>
      <w:tr>
        <w:trPr>
          <w:cantSplit/>
        </w:trPr>
        <w:tc>
          <w:tcPr>
            <w:tcW w:w="158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Mejora continua</w:t>
            </w:r>
          </w:p>
        </w:tc>
        <w:tc>
          <w:tcPr>
            <w:tcW w:w="777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Ciclos cortos con diagnóstico sobre la plataforma real avanzaron más en semanas que la planeación de un semestre</w:t>
            </w:r>
          </w:p>
        </w:tc>
      </w:tr>
    </w:tbl>
    <w:p>
      <w:pPr>
        <w:spacing w:before="160" w:after="0" w:line="240" w:lineRule="auto"/>
        <w:rPr>
          <w:sz w:val="8"/>
        </w:rPr>
      </w:pPr>
    </w:p>
    <w:sectPr>
      <w:headerReference w:type="default" r:id="rIdHeader"/>
      <w:footerReference w:type="default" r:id="rIdFooter"/>
      <w:pgSz w:w="12240" w:h="15840"/>
      <w:pgMar w:top="1700" w:right="1440" w:bottom="1440" w:left="1440" w:header="700" w:footer="620" w:gutter="0"/>
      <w:cols w:space="72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Century Gothic">
    <w:altName w:val="Arial"/>
    <w:charset w:val="00"/>
    <w:family w:val="swiss"/>
    <w:pitch w:val="variable"/>
  </w:font>
  <w:font w:name="Segoe UI">
    <w:altName w:val="Arial"/>
    <w:charset w:val="00"/>
    <w:family w:val="swiss"/>
    <w:pitch w:val="variable"/>
  </w:font>
  <w:font w:name="JetBrains Mono">
    <w:altName w:val="Consolas"/>
    <w:charset w:val="00"/>
    <w:family w:val="modern"/>
    <w:pitch w:val="fixed"/>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D5E3DC"/>
      </w:pBdr>
      <w:tabs>
        <w:tab w:val="right" w:pos="9360"/>
      </w:tabs>
      <w:spacing w:before="0" w:after="0" w:line="240" w:lineRule="auto"/>
    </w:pPr>
    <w:r>
      <w:rPr>
        <w:color w:val="5B6B63"/>
        <w:sz w:val="15"/>
        <w:szCs w:val="15"/>
      </w:rPr>
      <w:t xml:space="preserve">SmartPotTech · smartpot.app</w:t>
    </w:r>
    <w:r>
      <w:rPr>
        <w:color w:val="5B6B63"/>
        <w:sz w:val="15"/>
        <w:szCs w:val="15"/>
      </w:rPr>
      <w:t xml:space="preserve">	Página </w:t>
    </w:r>
    <w:fldSimple w:instr=" PAGE ">
      <w:r>
        <w:rPr>
          <w:b/>
          <w:color w:val="067A52"/>
          <w:sz w:val="15"/>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c>
        <w:tcPr>
          <w:tcW w:w="4680" w:type="dxa"/>
          <w:tcBorders>
            <w:bottom w:val="single" w:sz="4" w:space="0" w:color="D5E3DC"/>
          </w:tcBorders>
          <w:tcMar>
            <w:bottom w:w="80" w:type="dxa"/>
          </w:tcMar>
          <w:vAlign w:val="center"/>
        </w:tcPr>
        <w:p>
          <w:pPr>
            <w:spacing w:before="0" w:after="0" w:line="240" w:lineRule="auto"/>
            <w:jc w:val="left"/>
          </w:pPr>
          <w:r>
            <w:drawing>
              <wp:inline distT="0" distB="0" distL="0" distR="0">
                <wp:extent cx="180000" cy="180000"/>
                <wp:docPr id="208" name="Icono"/>
                <wp:cNvGraphicFramePr>
                  <a:graphicFrameLocks noChangeAspect="1"/>
                </wp:cNvGraphicFramePr>
                <a:graphic>
                  <a:graphicData uri="http://schemas.openxmlformats.org/drawingml/2006/picture">
                    <pic:pic>
                      <pic:nvPicPr>
                        <pic:cNvPr id="208" name="Icono"/>
                        <pic:cNvPicPr/>
                      </pic:nvPicPr>
                      <pic:blipFill>
                        <a:blip r:embed="rIdImg39"/>
                        <a:stretch>
                          <a:fillRect/>
                        </a:stretch>
                      </pic:blipFill>
                      <pic:spPr>
                        <a:xfrm>
                          <a:off x="0" y="0"/>
                          <a:ext cx="180000" cy="180000"/>
                        </a:xfrm>
                        <a:prstGeom prst="rect">
                          <a:avLst/>
                        </a:prstGeom>
                      </pic:spPr>
                    </pic:pic>
                  </a:graphicData>
                </a:graphic>
              </wp:inline>
            </w:drawing>
          </w:r>
          <w:r>
            <w:rPr>
              <w:b/>
              <w:bCs/>
              <w:color w:val="0B3D2B"/>
              <w:spacing w:val="40"/>
              <w:sz w:val="15"/>
              <w:szCs w:val="15"/>
            </w:rPr>
            <w:t xml:space="preserve">  SMARTPOT</w:t>
          </w:r>
          <w:r>
            <w:rPr>
              <w:b/>
              <w:bCs/>
              <w:color w:val="009A64"/>
              <w:spacing w:val="40"/>
              <w:sz w:val="15"/>
              <w:szCs w:val="15"/>
            </w:rPr>
            <w:t xml:space="preserve">  ·  PLATAFORMA</w:t>
          </w:r>
        </w:p>
      </w:tc>
      <w:tc>
        <w:tcPr>
          <w:tcW w:w="4680" w:type="dxa"/>
          <w:tcBorders>
            <w:bottom w:val="single" w:sz="4" w:space="0" w:color="D5E3DC"/>
          </w:tcBorders>
          <w:tcMar>
            <w:bottom w:w="80" w:type="dxa"/>
          </w:tcMar>
          <w:vAlign w:val="center"/>
        </w:tcPr>
        <w:p>
          <w:pPr>
            <w:spacing w:before="0" w:after="0" w:line="240" w:lineRule="auto"/>
            <w:jc w:val="right"/>
          </w:pPr>
          <w:r>
            <w:rPr>
              <w:b/>
              <w:bCs/>
              <w:color w:val="5B6B63"/>
              <w:spacing w:val="30"/>
              <w:sz w:val="14"/>
              <w:szCs w:val="14"/>
            </w:rPr>
            <w:t xml:space="preserve">CICLO DE VIDA DEL SOFTWARE · V1.0</w:t>
          </w:r>
        </w:p>
      </w:tc>
    </w:tr>
  </w:tbl>
  <w:p>
    <w:pPr>
      <w:spacing w:before="0" w:after="0" w:line="240" w:lineRule="auto"/>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singleLevel"/>
    <w:lvl w:ilvl="0">
      <w:start w:val="1"/>
      <w:numFmt w:val="bullet"/>
      <w:lvlText w:val="•"/>
      <w:lvlJc w:val="left"/>
      <w:pPr>
        <w:ind w:left="360" w:hanging="260"/>
      </w:pPr>
      <w:rPr>
        <w:color w:val="00B074"/>
        <w:b/>
      </w:rPr>
    </w:lvl>
  </w:abstractNum>
  <w:abstractNum w:abstractNumId="2">
    <w:multiLevelType w:val="singleLevel"/>
    <w:lvl w:ilvl="0">
      <w:start w:val="1"/>
      <w:numFmt w:val="decimal"/>
      <w:lvlText w:val="%1."/>
      <w:lvlJc w:val="left"/>
      <w:pPr>
        <w:ind w:left="360" w:hanging="260"/>
      </w:pPr>
      <w:rPr>
        <w:color w:val="00B074"/>
        <w:b/>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Segoe UI" w:hAnsi="Segoe UI" w:eastAsia="Segoe UI" w:cs="Segoe UI"/>
        <w:color w:val="17261F"/>
        <w:sz w:val="20"/>
        <w:szCs w:val="20"/>
        <w:lang w:val="es-CO" w:eastAsia="es-CO" w:bidi="ar-SA"/>
      </w:rPr>
    </w:rPrDefault>
    <w:pPrDefault>
      <w:pPr>
        <w:spacing w:after="120" w:line="288" w:lineRule="auto"/>
      </w:pPr>
    </w:pPrDefault>
  </w:docDefaults>
  <w:style w:type="paragraph" w:default="1" w:styleId="Normal">
    <w:name w:val="Normal"/>
    <w:qFormat/>
  </w:style>
  <w:style w:type="paragraph" w:styleId="Heading1">
    <w:name w:val="heading 1"/>
    <w:basedOn w:val="Normal"/>
    <w:next w:val="Normal"/>
    <w:qFormat/>
    <w:pPr>
      <w:keepNext/>
      <w:keepLines/>
      <w:pBdr>
        <w:bottom w:val="single" w:sz="12" w:space="6" w:color="00B074"/>
      </w:pBdr>
      <w:spacing w:before="0" w:after="200" w:line="240" w:lineRule="auto"/>
      <w:outlineLvl w:val="0"/>
    </w:pPr>
    <w:rPr>
      <w:rFonts w:ascii="Century Gothic" w:hAnsi="Century Gothic" w:eastAsia="Century Gothic" w:cs="Century Gothic"/>
      <w:b/>
      <w:bCs/>
      <w:color w:val="0B3D2B"/>
      <w:sz w:val="34"/>
      <w:szCs w:val="34"/>
    </w:rPr>
  </w:style>
  <w:style w:type="paragraph" w:styleId="Heading2">
    <w:name w:val="heading 2"/>
    <w:basedOn w:val="Normal"/>
    <w:next w:val="Normal"/>
    <w:qFormat/>
    <w:pPr>
      <w:keepNext/>
      <w:keepLines/>
      <w:spacing w:before="280" w:after="100" w:line="240" w:lineRule="auto"/>
      <w:outlineLvl w:val="1"/>
    </w:pPr>
    <w:rPr>
      <w:rFonts w:ascii="Century Gothic" w:hAnsi="Century Gothic" w:eastAsia="Century Gothic" w:cs="Century Gothic"/>
      <w:b/>
      <w:bCs/>
      <w:color w:val="067A52"/>
      <w:sz w:val="25"/>
      <w:szCs w:val="25"/>
    </w:rPr>
  </w:style>
  <w:style w:type="paragraph" w:styleId="Heading3">
    <w:name w:val="heading 3"/>
    <w:basedOn w:val="Normal"/>
    <w:next w:val="Normal"/>
    <w:qFormat/>
    <w:pPr>
      <w:keepNext/>
      <w:keepLines/>
      <w:spacing w:before="200" w:after="80" w:line="240" w:lineRule="auto"/>
      <w:outlineLvl w:val="2"/>
    </w:pPr>
    <w:rPr>
      <w:rFonts w:ascii="Segoe UI" w:hAnsi="Segoe UI" w:eastAsia="Segoe UI" w:cs="Segoe UI"/>
      <w:b/>
      <w:bCs/>
      <w:color w:val="067A52"/>
      <w:sz w:val="21"/>
      <w:szCs w:val="21"/>
    </w:rPr>
  </w:style>
  <w:style w:type="table" w:default="1" w:styleId="TableNormal">
    <w:name w:val="Normal Table"/>
    <w:tblPr>
      <w:tblInd w:w="0" w:type="dxa"/>
      <w:tblCellMar>
        <w:top w:w="0" w:type="dxa"/>
        <w:left w:w="108" w:type="dxa"/>
        <w:bottom w:w="0" w:type="dxa"/>
        <w:right w:w="108" w:type="dxa"/>
      </w:tblCellMar>
    </w:tblPr>
  </w:style>
  <w:style w:type="character" w:styleId="Hyperlink">
    <w:name w:val="Hyperlink"/>
    <w:rPr>
      <w:color w:val="1F6FA0"/>
      <w:u w:val="single"/>
    </w:rPr>
  </w:style>
</w:styles>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Link3" Type="http://schemas.openxmlformats.org/officeDocument/2006/relationships/hyperlink" Target="https://smartpot.app" TargetMode="External"/><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pn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 Id="rIdImg29" Type="http://schemas.openxmlformats.org/officeDocument/2006/relationships/image" Target="media/image29.png"/><Relationship Id="rIdImg30" Type="http://schemas.openxmlformats.org/officeDocument/2006/relationships/image" Target="media/image30.png"/><Relationship Id="rIdImg31" Type="http://schemas.openxmlformats.org/officeDocument/2006/relationships/image" Target="media/image31.png"/><Relationship Id="rIdImg32" Type="http://schemas.openxmlformats.org/officeDocument/2006/relationships/image" Target="media/image32.png"/><Relationship Id="rIdImg33" Type="http://schemas.openxmlformats.org/officeDocument/2006/relationships/image" Target="media/image33.png"/><Relationship Id="rIdImg34" Type="http://schemas.openxmlformats.org/officeDocument/2006/relationships/image" Target="media/image34.png"/><Relationship Id="rIdImg35" Type="http://schemas.openxmlformats.org/officeDocument/2006/relationships/image" Target="media/image35.png"/><Relationship Id="rIdImg36" Type="http://schemas.openxmlformats.org/officeDocument/2006/relationships/image" Target="media/image36.png"/><Relationship Id="rIdImg37" Type="http://schemas.openxmlformats.org/officeDocument/2006/relationships/image" Target="media/image37.png"/><Relationship Id="rIdImg38" Type="http://schemas.openxmlformats.org/officeDocument/2006/relationships/image" Target="media/image38.png"/><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s>
</file>

<file path=word/_rels/header1.xml.rels><?xml version="1.0" encoding="UTF-8" standalone="yes"?><Relationships xmlns="http://schemas.openxmlformats.org/package/2006/relationships"><Relationship Id="rIdImg39" Type="http://schemas.openxmlformats.org/officeDocument/2006/relationships/image" Target="media/image39.png"/></Relationships>
</file>

<file path=docProps/app.xml><?xml version="1.0" encoding="utf-8"?>
<Properties xmlns="http://schemas.openxmlformats.org/officeDocument/2006/extended-properties">
  <Application>SmartPot docs</Application>
  <Company>SmartPotTech</Company>
</Properties>
</file>

<file path=docProps/core.xml><?xml version="1.0" encoding="utf-8"?>
<cp:coreProperties xmlns:cp="http://schemas.openxmlformats.org/package/2006/metadata/core-properties" xmlns:dc="http://purl.org/dc/elements/1.1/" xmlns:dcterms="http://purl.org/dc/terms/" xmlns:xsi="http://www.w3.org/2001/XMLSchema-instance">
  <dc:title>SmartPot de punta a punta</dc:title>
  <dc:subject>Formulación, gestión, análisis, diseño, construcción, pruebas y mejora continua</dc:subject>
  <dc:creator>SmartPotTech</dc:creator>
  <dc:language>es-CO</dc:language>
  <dcterms:created xsi:type="dcterms:W3CDTF">2026-09-28T09:30:50Z</dcterms:created>
  <dcterms:modified xsi:type="dcterms:W3CDTF">2026-09-28T09:30:50Z</dcterms:modified>
</cp:coreProperties>
</file>