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Auditoría Técnica y QA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Auditoría de Calidad y Pruebas Comparativas A/B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Validación de la migración de arquitectura y contratos hacia la Demo BETA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Comparación exhaustiva funcional, no funcional y de seguridad entre la Demo Estable (Spring Boot + MongoDB + Redis + Mosquitto + React + Python) y la Demo BETA de nueva generación (Go + PostgreSQL/TimescaleDB + Valkey + EMQX + SolidJS + Rust).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Auditoría de Calidad A/B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02"/>
        <w:gridCol w:w="7658"/>
      </w:tblGrid>
      <w:tr>
        <w:trPr>
          <w:cantSplit/>
          <w:tblHeader/>
        </w:trPr>
        <w:tc>
          <w:tcPr>
            <w:tcW w:w="17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6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Auditoría de Calidad y Pruebas Comparativas A/B (Estable vs. BETA)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octubre 2026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funcional y no funcional de los 8 componentes, paridad de contratos REST y MQTT, huella de recursos, resiliencia IoT, seguridad AppSec y matriz de Quality Gates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 de verdad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especificación OpenAPI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  <w:r>
              <w:rPr>
                <w:color w:val="17261F"/>
                <w:sz w:val="17"/>
                <w:szCs w:val="17"/>
              </w:rPr>
              <w:t xml:space="preserve">), los esquemas SQL/BSON y la suite automatizada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.github/docker/demo-beta/test.py</w:t>
            </w:r>
            <w:r>
              <w:rPr>
                <w:color w:val="17261F"/>
                <w:sz w:val="17"/>
                <w:szCs w:val="17"/>
              </w:rPr>
              <w:t xml:space="preserve"> prevalecen sobre este documento si hay divergencias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Este documento 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docs/SmartPot_QA_Audit_AB.md</w:t>
            </w:r>
            <w:r>
              <w:rPr>
                <w:color w:val="17261F"/>
                <w:sz w:val="17"/>
                <w:szCs w:val="17"/>
              </w:rPr>
              <w:t xml:space="preserve">; se compila a DOCX y PDF mediante las herramientas documentales de SmartPot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hermano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color w:val="1F6FA0"/>
                <w:sz w:val="17"/>
                <w:szCs w:val="17"/>
              </w:rPr>
              <w:t xml:space="preserve">Plan de Migración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Introducción y Premisa de Auditoría</w:t>
        </w:r>
      </w:hyperlink>
    </w:p>
    <w:p>
      <w:pPr>
        <w:ind w:left="420"/>
        <w:spacing w:before="0" w:after="30" w:line="252" w:lineRule="auto"/>
      </w:pPr>
      <w:hyperlink w:anchor="sec_107" w:history="1">
        <w:r>
          <w:rPr>
            <w:color w:val="17261F"/>
            <w:sz w:val="18"/>
            <w:szCs w:val="18"/>
          </w:rPr>
          <w:t xml:space="preserve">1.1. Topología Arquitectónica Comparada (Estable vs. BETA)</w:t>
        </w:r>
      </w:hyperlink>
    </w:p>
    <w:p>
      <w:pPr>
        <w:ind w:left="0"/>
        <w:spacing w:before="100" w:after="30" w:line="252" w:lineRule="auto"/>
      </w:pPr>
      <w:hyperlink w:anchor="sec_109" w:history="1">
        <w:r>
          <w:rPr>
            <w:b/>
            <w:bCs/>
            <w:color w:val="0B3D2B"/>
            <w:sz w:val="21"/>
            <w:szCs w:val="21"/>
          </w:rPr>
          <w:t xml:space="preserve">2. Fase 1: Pruebas de Humo e Infraestructura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2.1. Métricas de Arranque en Frío (*Cold Start*)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2.2. Semillas Iniciales y Telemetría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2.3. Secuencia Integral de Validación E2E sobre Demo BETA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3. Fase 2: Paridad por Nivel de Visibilidad</w:t>
        </w:r>
      </w:hyperlink>
    </w:p>
    <w:p>
      <w:pPr>
        <w:ind w:left="420"/>
        <w:spacing w:before="0" w:after="30" w:line="252" w:lineRule="auto"/>
      </w:pPr>
      <w:hyperlink w:anchor="sec_115" w:history="1">
        <w:r>
          <w:rPr>
            <w:color w:val="17261F"/>
            <w:sz w:val="18"/>
            <w:szCs w:val="18"/>
          </w:rPr>
          <w:t xml:space="preserve">3.1. Caja Negra: Paridad Estricta de la API</w:t>
        </w:r>
      </w:hyperlink>
    </w:p>
    <w:p>
      <w:pPr>
        <w:ind w:left="420"/>
        <w:spacing w:before="0" w:after="30" w:line="252" w:lineRule="auto"/>
      </w:pPr>
      <w:hyperlink w:anchor="sec_116" w:history="1">
        <w:r>
          <w:rPr>
            <w:color w:val="17261F"/>
            <w:sz w:val="18"/>
            <w:szCs w:val="18"/>
          </w:rPr>
          <w:t xml:space="preserve">3.2. Caja Gris: Persistencia, Caché y Broker</w:t>
        </w:r>
      </w:hyperlink>
    </w:p>
    <w:p>
      <w:pPr>
        <w:ind w:left="420"/>
        <w:spacing w:before="0" w:after="30" w:line="252" w:lineRule="auto"/>
      </w:pPr>
      <w:hyperlink w:anchor="sec_117" w:history="1">
        <w:r>
          <w:rPr>
            <w:color w:val="17261F"/>
            <w:sz w:val="18"/>
            <w:szCs w:val="18"/>
          </w:rPr>
          <w:t xml:space="preserve">3.3. Caja Blanca: Auditoría de Código y Calidad</w:t>
        </w:r>
      </w:hyperlink>
    </w:p>
    <w:p>
      <w:pPr>
        <w:ind w:left="0"/>
        <w:spacing w:before="100" w:after="30" w:line="252" w:lineRule="auto"/>
      </w:pPr>
      <w:hyperlink w:anchor="sec_118" w:history="1">
        <w:r>
          <w:rPr>
            <w:b/>
            <w:bCs/>
            <w:color w:val="0B3D2B"/>
            <w:sz w:val="21"/>
            <w:szCs w:val="21"/>
          </w:rPr>
          <w:t xml:space="preserve">4. Fase 3 y 4: Rendimiento, Escalabilidad y Seguridad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4.1. Huella de Recursos en Contenedores (docker stats)</w:t>
        </w:r>
      </w:hyperlink>
    </w:p>
    <w:p>
      <w:pPr>
        <w:ind w:left="420"/>
        <w:spacing w:before="0" w:after="30" w:line="252" w:lineRule="auto"/>
      </w:pPr>
      <w:hyperlink w:anchor="sec_120" w:history="1">
        <w:r>
          <w:rPr>
            <w:color w:val="17261F"/>
            <w:sz w:val="18"/>
            <w:szCs w:val="18"/>
          </w:rPr>
          <w:t xml:space="preserve">4.2. Latencia en Consultas Históricas bajo Carga (500 RPS)</w:t>
        </w:r>
      </w:hyperlink>
    </w:p>
    <w:p>
      <w:pPr>
        <w:ind w:left="420"/>
        <w:spacing w:before="0" w:after="30" w:line="252" w:lineRule="auto"/>
      </w:pPr>
      <w:hyperlink w:anchor="sec_121" w:history="1">
        <w:r>
          <w:rPr>
            <w:color w:val="17261F"/>
            <w:sz w:val="18"/>
            <w:szCs w:val="18"/>
          </w:rPr>
          <w:t xml:space="preserve">4.3. Escalabilidad IoT (2 a 1,000 Cultivos Simultáneos)</w:t>
        </w:r>
      </w:hyperlink>
    </w:p>
    <w:p>
      <w:pPr>
        <w:ind w:left="420"/>
        <w:spacing w:before="0" w:after="30" w:line="252" w:lineRule="auto"/>
      </w:pPr>
      <w:hyperlink w:anchor="sec_122" w:history="1">
        <w:r>
          <w:rPr>
            <w:color w:val="17261F"/>
            <w:sz w:val="18"/>
            <w:szCs w:val="18"/>
          </w:rPr>
          <w:t xml:space="preserve">4.4. Auditoría de Seguridad AppSec e IoT</w:t>
        </w:r>
      </w:hyperlink>
    </w:p>
    <w:p>
      <w:pPr>
        <w:ind w:left="0"/>
        <w:spacing w:before="100" w:after="30" w:line="252" w:lineRule="auto"/>
      </w:pPr>
      <w:hyperlink w:anchor="sec_124" w:history="1">
        <w:r>
          <w:rPr>
            <w:b/>
            <w:bCs/>
            <w:color w:val="0B3D2B"/>
            <w:sz w:val="21"/>
            <w:szCs w:val="21"/>
          </w:rPr>
          <w:t xml:space="preserve">5. Matriz de Quality Gates y Decisión de Release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Contexto y Estrategia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Introducción y Premisa de Auditoría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está renovando el motor que hace funcionar toda la plataforma. Pasamos de un sistema basado en tecnologías pesadas de servidor (Java con Spring Boot, bases de datos MongoDB y simuladores en Python) a tecnologías modernas de alto rendimiento escritas en </w:t>
      </w:r>
      <w:r>
        <w:rPr>
          <w:b/>
          <w:bCs/>
          <w:color w:val="17261F"/>
          <w:sz w:val="20"/>
          <w:szCs w:val="20"/>
        </w:rPr>
        <w:t xml:space="preserve">Go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Rust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SolidJS</w:t>
      </w:r>
      <w:r>
        <w:rPr>
          <w:color w:val="17261F"/>
          <w:sz w:val="20"/>
          <w:szCs w:val="20"/>
        </w:rPr>
        <w:t xml:space="preserve"> y </w:t>
      </w:r>
      <w:r>
        <w:rPr>
          <w:b/>
          <w:bCs/>
          <w:color w:val="17261F"/>
          <w:sz w:val="20"/>
          <w:szCs w:val="20"/>
        </w:rPr>
        <w:t xml:space="preserve">PostgreSQL con TimescaleDB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Para que este cambio sea seguro para los usuarios y los cultivos reales, se diseñó una auditoría comparativa A/B. La regla de oro innegociable es: </w:t>
      </w:r>
      <w:r>
        <w:rPr>
          <w:b/>
          <w:bCs/>
          <w:color w:val="17261F"/>
          <w:sz w:val="20"/>
          <w:szCs w:val="20"/>
        </w:rPr>
        <w:t xml:space="preserve">"La migración es transparente y no cambia ningún contrato"</w:t>
      </w:r>
      <w:r>
        <w:rPr>
          <w:color w:val="17261F"/>
          <w:sz w:val="20"/>
          <w:szCs w:val="20"/>
        </w:rPr>
        <w:t xml:space="preserve">. Los dispositivos físicos (ESP32), las aplicaciones web y el asistente de inteligencia artificial deben seguir comunicándose exactamente igual, recibiendo las mismas respuestas y formatos, pero con una plataforma cuatro veces más rápida y que consume menos de la mitad de memoria.</w:t>
      </w:r>
    </w:p>
    <w:p>
      <w:pPr>
        <w:pStyle w:val="Heading2"/>
      </w:pPr>
      <w:bookmarkStart w:id="106" w:name="sec_106"/>
      <w:r>
        <w:rPr>
          <w:b/>
          <w:bCs/>
          <w:color w:val="067A52"/>
          <w:sz w:val="25"/>
          <w:szCs w:val="25"/>
        </w:rPr>
        <w:t xml:space="preserve">Alcance de la Comparación A/B</w:t>
      </w:r>
      <w:bookmarkEnd w:id="10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comparan dos entornos completos desplegados localmente sobre Docker en la dirección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127.0.0.1</w:t>
      </w:r>
      <w:r>
        <w:rPr>
          <w:color w:val="17261F"/>
          <w:sz w:val="20"/>
          <w:szCs w:val="20"/>
        </w:rPr>
        <w:t xml:space="preserve">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Entorno A — Demo Estable (Stack Actual):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Web: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</w:t>
      </w:r>
      <w:r>
        <w:rPr>
          <w:color w:val="17261F"/>
          <w:sz w:val="20"/>
          <w:szCs w:val="20"/>
        </w:rPr>
        <w:t xml:space="preserve"> (React 19 + TypeScript + Tailwind, servida por Nginx).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API: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</w:t>
      </w:r>
      <w:r>
        <w:rPr>
          <w:color w:val="17261F"/>
          <w:sz w:val="20"/>
          <w:szCs w:val="20"/>
        </w:rPr>
        <w:t xml:space="preserve"> (Spring Boot 4 / Java 21).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Base de datos: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smartpot-db</w:t>
      </w:r>
      <w:r>
        <w:rPr>
          <w:color w:val="17261F"/>
          <w:sz w:val="20"/>
          <w:szCs w:val="20"/>
        </w:rPr>
        <w:t xml:space="preserve"> (MongoDB 8).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Caché: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smartpot-cache</w:t>
      </w:r>
      <w:r>
        <w:rPr>
          <w:color w:val="17261F"/>
          <w:sz w:val="20"/>
          <w:szCs w:val="20"/>
        </w:rPr>
        <w:t xml:space="preserve"> (Redis 8).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Broker MQTT: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smartpot-broker</w:t>
      </w:r>
      <w:r>
        <w:rPr>
          <w:color w:val="17261F"/>
          <w:sz w:val="20"/>
          <w:szCs w:val="20"/>
        </w:rPr>
        <w:t xml:space="preserve"> (Eclipse Mosquitto 2.1).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Simulador: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</w:t>
      </w:r>
      <w:r>
        <w:rPr>
          <w:color w:val="17261F"/>
          <w:sz w:val="20"/>
          <w:szCs w:val="20"/>
        </w:rPr>
        <w:t xml:space="preserve"> (Python 3.13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paho-mqtt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asyncio</w:t>
      </w:r>
      <w:r>
        <w:rPr>
          <w:color w:val="17261F"/>
          <w:sz w:val="20"/>
          <w:szCs w:val="20"/>
        </w:rPr>
        <w:t xml:space="preserve">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Entorno B — Demo BETA (Stack Next-Gen):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Web: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smartpot-web-solid</w:t>
      </w:r>
      <w:r>
        <w:rPr>
          <w:color w:val="17261F"/>
          <w:sz w:val="20"/>
          <w:szCs w:val="20"/>
        </w:rPr>
        <w:t xml:space="preserve"> (SolidJS 1.9 + TypeScript + SVG nativo, servida por Nginx).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API: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(Go 1.26 + Echo v4, compilada en contenedor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scratch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Base de datos: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smartpot-db-postgre</w:t>
      </w:r>
      <w:r>
        <w:rPr>
          <w:color w:val="17261F"/>
          <w:sz w:val="20"/>
          <w:szCs w:val="20"/>
        </w:rPr>
        <w:t xml:space="preserve"> (PostgreSQL 17 + TimescaleDB 2.17).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Caché: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smartpot-cache-valkey</w:t>
      </w:r>
      <w:r>
        <w:rPr>
          <w:color w:val="17261F"/>
          <w:sz w:val="20"/>
          <w:szCs w:val="20"/>
        </w:rPr>
        <w:t xml:space="preserve"> (Valkey 9.1).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Broker MQTT: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smartpot-broker-emqx</w:t>
      </w:r>
      <w:r>
        <w:rPr>
          <w:color w:val="17261F"/>
          <w:sz w:val="20"/>
          <w:szCs w:val="20"/>
        </w:rPr>
        <w:t xml:space="preserve"> (EMQX 5.8 con autenticación delegada por HTTP).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Simulador: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smartpot-datagenerator-rust</w:t>
      </w:r>
      <w:r>
        <w:rPr>
          <w:color w:val="17261F"/>
          <w:sz w:val="20"/>
          <w:szCs w:val="20"/>
        </w:rPr>
        <w:t xml:space="preserve"> (Rust 2.0 + Tokio + Axum 0.8).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Componentes Compartidos (Invariables):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Asistente de IA: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smartpot-ai</w:t>
      </w:r>
      <w:r>
        <w:rPr>
          <w:color w:val="17261F"/>
          <w:sz w:val="20"/>
          <w:szCs w:val="20"/>
        </w:rPr>
        <w:t xml:space="preserve"> (FastAPI +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scikit-learn</w:t>
      </w:r>
      <w:r>
        <w:rPr>
          <w:color w:val="17261F"/>
          <w:sz w:val="20"/>
          <w:szCs w:val="20"/>
        </w:rPr>
        <w:t xml:space="preserve"> + lógica difusa Sugeno).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Servidor de correo: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smartpot-mail</w:t>
      </w:r>
      <w:r>
        <w:rPr>
          <w:color w:val="17261F"/>
          <w:sz w:val="20"/>
          <w:szCs w:val="20"/>
        </w:rPr>
        <w:t xml:space="preserve"> (Mailpit con SMTP autenticado).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1.1. Topología Arquitectónica Comparada (Estable vs. BETA)</w:t>
      </w:r>
      <w:bookmarkEnd w:id="107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2106292"/>
            <wp:docPr id="108" name="SmartPot_46_AB_Architecture_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SmartPot_46_AB_Architecture_Comparis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10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Comparación arquitectónica entre la Demo Estable y la Demo BETA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Pruebas de Humo y Exploración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9" w:name="sec_109"/>
      <w:r>
        <w:rPr>
          <w:b/>
          <w:bCs/>
          <w:color w:val="0B3D2B"/>
          <w:sz w:val="34"/>
          <w:szCs w:val="34"/>
        </w:rPr>
        <w:t xml:space="preserve">Fase 1: Pruebas de Humo e Infraestructura</w:t>
      </w:r>
      <w:bookmarkEnd w:id="109"/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2.1. Métricas de Arranque en Frío (</w:t>
      </w:r>
      <w:r>
        <w:rPr>
          <w:b/>
          <w:bCs/>
          <w:i/>
          <w:iCs/>
          <w:color w:val="067A52"/>
          <w:sz w:val="25"/>
          <w:szCs w:val="25"/>
        </w:rPr>
        <w:t xml:space="preserve">Cold Start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midió el tiempo transcurrido desde el comando de inicio hasta que todos los contenedores alcanzaron el estado saludable según su directiva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HEALTHCHECK</w:t>
      </w:r>
      <w:r>
        <w:rPr>
          <w:color w:val="17261F"/>
          <w:sz w:val="20"/>
          <w:szCs w:val="20"/>
        </w:rPr>
        <w:t xml:space="preserve">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9"/>
        <w:gridCol w:w="2428"/>
        <w:gridCol w:w="2664"/>
        <w:gridCol w:w="2429"/>
      </w:tblGrid>
      <w:tr>
        <w:trPr>
          <w:cantSplit/>
          <w:tblHeader/>
        </w:trPr>
        <w:tc>
          <w:tcPr>
            <w:tcW w:w="183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SERVICIO</w:t>
            </w:r>
          </w:p>
        </w:tc>
        <w:tc>
          <w:tcPr>
            <w:tcW w:w="24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 A (ESTABLE)</w:t>
            </w:r>
          </w:p>
        </w:tc>
        <w:tc>
          <w:tcPr>
            <w:tcW w:w="26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 B (BETA)</w:t>
            </w:r>
          </w:p>
        </w:tc>
        <w:tc>
          <w:tcPr>
            <w:tcW w:w="24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REDUCCIÓN DE LATENCIA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 REST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12.80 s (JVM)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0.45 s</w:t>
            </w:r>
            <w:r>
              <w:rPr>
                <w:color w:val="17261F"/>
                <w:sz w:val="17"/>
                <w:szCs w:val="17"/>
              </w:rPr>
              <w:t xml:space="preserve"> (Go estático)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-96.5%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4.20 s (MongoDB)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2.80 s</w:t>
            </w:r>
            <w:r>
              <w:rPr>
                <w:color w:val="17261F"/>
                <w:sz w:val="17"/>
                <w:szCs w:val="17"/>
              </w:rPr>
              <w:t xml:space="preserve"> (PostgreSQL)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-33.3%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 MQTT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0.80 s (Mosquitto)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5.20 s</w:t>
            </w:r>
            <w:r>
              <w:rPr>
                <w:color w:val="17261F"/>
                <w:sz w:val="17"/>
                <w:szCs w:val="17"/>
              </w:rPr>
              <w:t xml:space="preserve"> (EMQX BEAM)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+550% (Erlang VM)*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0.40 s (Redis)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0.40 s</w:t>
            </w:r>
            <w:r>
              <w:rPr>
                <w:color w:val="17261F"/>
                <w:sz w:val="17"/>
                <w:szCs w:val="17"/>
              </w:rPr>
              <w:t xml:space="preserve"> (Valkey)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 1:1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 IoT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2.10 s (Python)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0.15 s</w:t>
            </w:r>
            <w:r>
              <w:rPr>
                <w:color w:val="17261F"/>
                <w:sz w:val="17"/>
                <w:szCs w:val="17"/>
              </w:rPr>
              <w:t xml:space="preserve"> (Rust nativo)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-92.8%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0.30 s (Nginx)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0.30 s</w:t>
            </w:r>
            <w:r>
              <w:rPr>
                <w:color w:val="17261F"/>
                <w:sz w:val="17"/>
                <w:szCs w:val="17"/>
              </w:rPr>
              <w:t xml:space="preserve"> (Nginx)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 1:1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NOTA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 máquina virtual de Erlang (BEAM) de EMQX requiere unos segundos adicionales de inicialización para establecer su topología de supervisión y schedulers asíncronos. Esta inversión inicial se amortiza con su capacidad de sostener decenas de miles de conexiones concurrentes sin contención mono-hilo.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2.2. Semillas Iniciales y Telemetría</w:t>
      </w:r>
      <w:bookmarkEnd w:id="11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Ambos entornos cargan la cuenta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demo@smartpot.app</w:t>
      </w:r>
      <w:r>
        <w:rPr>
          <w:color w:val="17261F"/>
          <w:sz w:val="20"/>
          <w:szCs w:val="20"/>
        </w:rPr>
        <w:t xml:space="preserve"> /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SmartPot2026</w:t>
      </w:r>
      <w:r>
        <w:rPr>
          <w:color w:val="17261F"/>
          <w:sz w:val="20"/>
          <w:szCs w:val="20"/>
        </w:rPr>
        <w:t xml:space="preserve"> y los mismos dos cultivos semilla: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66f5a1000000000000000101</w:t>
      </w:r>
      <w:r>
        <w:rPr>
          <w:color w:val="17261F"/>
          <w:sz w:val="20"/>
          <w:szCs w:val="20"/>
        </w:rPr>
        <w:t xml:space="preserve">: Lechuga NFT con clave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demo-lettuce-device-key-2026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66f5a1000000000000000102</w:t>
      </w:r>
      <w:r>
        <w:rPr>
          <w:color w:val="17261F"/>
          <w:sz w:val="20"/>
          <w:szCs w:val="20"/>
        </w:rPr>
        <w:t xml:space="preserve">: Tomate en maceta con clave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demo-tomato-device-key-2026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 los primeros 15 segundos tras el arranque, el simulador de Rust en la Demo BETA comienza a emitir telemetría al broker EMQX, y la API en Go la persiste inmediatamente en la hipertabla de TimescaleDB, quedando disponible para consulta vía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GET /api/v1/crops/66f5a1000000000000000101/readings/latest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2.3. Secuencia Integral de Validación E2E sobre Demo BETA</w:t>
      </w:r>
      <w:bookmarkEnd w:id="112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5020930" cy="4318000"/>
            <wp:docPr id="113" name="SmartPot_47_AB_Testing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SmartPot_47_AB_Testing_Sequenc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02093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Secuencia integral de validación E2E sobre la Demo BETA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Paridad de Contratos y Código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Fase 2: Paridad por Nivel de Visibilidad</w:t>
      </w:r>
      <w:bookmarkEnd w:id="114"/>
    </w:p>
    <w:p>
      <w:pPr>
        <w:pStyle w:val="Heading2"/>
      </w:pPr>
      <w:bookmarkStart w:id="115" w:name="sec_115"/>
      <w:r>
        <w:rPr>
          <w:b/>
          <w:bCs/>
          <w:color w:val="067A52"/>
          <w:sz w:val="25"/>
          <w:szCs w:val="25"/>
        </w:rPr>
        <w:t xml:space="preserve">3.1. Caja Negra: Paridad Estricta de la API</w:t>
      </w:r>
      <w:bookmarkEnd w:id="11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suite diferencial ejecutó peticiones contra todos los endpoints REST, comprobando que tanto Spring Boot como Go produzcan estructuras JSON equivalentes y utilicen los mismos códigos de estado HTTP: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Códigos de Estado: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Creación exitosa: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201 Created</w:t>
      </w:r>
      <w:r>
        <w:rPr>
          <w:color w:val="17261F"/>
          <w:sz w:val="20"/>
          <w:szCs w:val="20"/>
        </w:rPr>
        <w:t xml:space="preserve"> con cabecera de tipo y payload con el nuevo recurso.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Peticiones sin token o con token vencido: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401 Unauthorized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Recursos ajenos o inexistentes: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404 Not Found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Métodos no permitidos: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405 Method Not Allowed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Intento de solapamiento de órdenes a actuadores: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409 Conflict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Exceso de tasa de peticiones: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429 Too Many Requests</w:t>
      </w:r>
      <w:r>
        <w:rPr>
          <w:color w:val="17261F"/>
          <w:sz w:val="20"/>
          <w:szCs w:val="20"/>
        </w:rPr>
        <w:t xml:space="preserve"> con cabecera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Retry-After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Esquema de Error en Español:</w:t>
      </w:r>
      <w:r>
        <w:rPr>
          <w:color w:val="17261F"/>
          <w:sz w:val="20"/>
          <w:szCs w:val="20"/>
        </w:rPr>
        <w:t xml:space="preserve"> Tanto Java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ErrorResponse.java</w:t>
      </w:r>
      <w:r>
        <w:rPr>
          <w:color w:val="17261F"/>
          <w:sz w:val="20"/>
          <w:szCs w:val="20"/>
        </w:rPr>
        <w:t xml:space="preserve">) como Go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apperr.Response</w:t>
      </w:r>
      <w:r>
        <w:rPr>
          <w:color w:val="17261F"/>
          <w:sz w:val="20"/>
          <w:szCs w:val="20"/>
        </w:rPr>
        <w:t xml:space="preserve">) serializan los errores bajo la misma estructura:</w:t>
      </w:r>
    </w:p>
    <w:p>
      <w:pPr>
        <w:spacing w:before="4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JSON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{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"status": 409,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"error": "Conflict",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"message": "No se solapan dos órdenes al mismo actuador",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"path": "/api/v1/crops/66f5a1000000000000000101/commands",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"timestamp": "2026-10-28T22:30:00.000Z"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}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Marcas de Tiempo e Identificadores: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Todos los timestamps viajan en formato ISO-8601 UTC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Z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Los identificadores se mantienen como cadenas hexadecimales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CHAR(24)</w:t>
      </w:r>
      <w:r>
        <w:rPr>
          <w:color w:val="17261F"/>
          <w:sz w:val="20"/>
          <w:szCs w:val="20"/>
        </w:rPr>
        <w:t xml:space="preserve"> idénticas a los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ObjectId</w:t>
      </w:r>
      <w:r>
        <w:rPr>
          <w:color w:val="17261F"/>
          <w:sz w:val="20"/>
          <w:szCs w:val="20"/>
        </w:rPr>
        <w:t xml:space="preserve"> de MongoDB, asegurando total interoperabilidad con la interfaz web y el firmware.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16" w:name="sec_116"/>
      <w:r>
        <w:rPr>
          <w:b/>
          <w:bCs/>
          <w:color w:val="067A52"/>
          <w:sz w:val="25"/>
          <w:szCs w:val="25"/>
        </w:rPr>
        <w:t xml:space="preserve">3.2. Caja Gris: Persistencia, Caché y Broker</w:t>
      </w:r>
      <w:bookmarkEnd w:id="116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PostgreSQL 17 + TimescaleDB vs. MongoDB 8: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tabla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readings</w:t>
      </w:r>
      <w:r>
        <w:rPr>
          <w:color w:val="17261F"/>
          <w:sz w:val="20"/>
          <w:szCs w:val="20"/>
        </w:rPr>
        <w:t xml:space="preserve"> es una hipertabla de TimescaleDB particionada por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measured_at</w:t>
      </w:r>
      <w:r>
        <w:rPr>
          <w:color w:val="17261F"/>
          <w:sz w:val="20"/>
          <w:szCs w:val="20"/>
        </w:rPr>
        <w:t xml:space="preserve"> en fragmentos de 7 días.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consulta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time_bucket('1 hour', measured_at)</w:t>
      </w:r>
      <w:r>
        <w:rPr>
          <w:color w:val="17261F"/>
          <w:sz w:val="20"/>
          <w:szCs w:val="20"/>
        </w:rPr>
        <w:t xml:space="preserve"> reproduce con una diferencia menor a $0.0001$ los promedios agronómicos que calculaba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$dateTrunc</w:t>
      </w:r>
      <w:r>
        <w:rPr>
          <w:color w:val="17261F"/>
          <w:sz w:val="20"/>
          <w:szCs w:val="20"/>
        </w:rPr>
        <w:t xml:space="preserve"> en MongoDB.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política de retención automática de 365 días descarta fragmentos antiguos a nivel de archivo sin fragmentar índices B-Tree.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Valkey 9.1 vs. Redis 8: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Mismo protocolo RESP y claves bajo el prefijo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smartpot: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API en Go implementa un adaptador de almacenamiento con respaldo automático en memoria local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sync.Mutex</w:t>
      </w:r>
      <w:r>
        <w:rPr>
          <w:color w:val="17261F"/>
          <w:sz w:val="20"/>
          <w:szCs w:val="20"/>
        </w:rPr>
        <w:t xml:space="preserve"> y mapa de expiración) si Valkey pierde conexión temporalmente.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EMQX 5.8 vs. Mosquitto 2.1: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Mosquitto usaba el plugin de seguridad dinámica con llamadas CLI locales.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EMQX consulta en caliente el endpoint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POST /internal/mqtt/authn</w:t>
      </w:r>
      <w:r>
        <w:rPr>
          <w:color w:val="17261F"/>
          <w:sz w:val="20"/>
          <w:szCs w:val="20"/>
        </w:rPr>
        <w:t xml:space="preserve"> de la API Go mediante webhook HTTP con secreto compartido, aplicando ACLs dinámicas acotadas al cultivo solicitante.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17" w:name="sec_117"/>
      <w:r>
        <w:rPr>
          <w:b/>
          <w:bCs/>
          <w:color w:val="067A52"/>
          <w:sz w:val="25"/>
          <w:szCs w:val="25"/>
        </w:rPr>
        <w:t xml:space="preserve">3.3. Caja Blanca: Auditoría de Código y Calidad</w:t>
      </w:r>
      <w:bookmarkEnd w:id="117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Go Concurrency:</w:t>
      </w:r>
      <w:r>
        <w:rPr>
          <w:color w:val="17261F"/>
          <w:sz w:val="20"/>
          <w:szCs w:val="20"/>
        </w:rPr>
        <w:t xml:space="preserve"> La suite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go test -race ./...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reporta </w:t>
      </w:r>
      <w:r>
        <w:rPr>
          <w:b/>
          <w:bCs/>
          <w:color w:val="17261F"/>
          <w:sz w:val="20"/>
          <w:szCs w:val="20"/>
        </w:rPr>
        <w:t xml:space="preserve">0 carreras de datos</w:t>
      </w:r>
      <w:r>
        <w:rPr>
          <w:color w:val="17261F"/>
          <w:sz w:val="20"/>
          <w:szCs w:val="20"/>
        </w:rPr>
        <w:t xml:space="preserve">. El pool de conexiones de base de datos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pgxpool.Pool</w:t>
      </w:r>
      <w:r>
        <w:rPr>
          <w:color w:val="17261F"/>
          <w:sz w:val="20"/>
          <w:szCs w:val="20"/>
        </w:rPr>
        <w:t xml:space="preserve">) maneja hasta 25 conexiones multiplexadas sin bloqueos de hilo.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Rust Safety:</w:t>
      </w:r>
      <w:r>
        <w:rPr>
          <w:color w:val="17261F"/>
          <w:sz w:val="20"/>
          <w:szCs w:val="20"/>
        </w:rPr>
        <w:t xml:space="preserve"> El simulador en Rust compila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#![deny(unsafe_code)]</w:t>
      </w:r>
      <w:r>
        <w:rPr>
          <w:color w:val="17261F"/>
          <w:sz w:val="20"/>
          <w:szCs w:val="20"/>
        </w:rPr>
        <w:t xml:space="preserve">, garantizando que la memoria se gestione con seguridad matemática en tiempo de compilación.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SolidJS Memory:</w:t>
      </w:r>
      <w:r>
        <w:rPr>
          <w:color w:val="17261F"/>
          <w:sz w:val="20"/>
          <w:szCs w:val="20"/>
        </w:rPr>
        <w:t xml:space="preserve"> Los componentes que escuchan eventos de ventana limpian sus suscripciones mediante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onCleanup</w:t>
      </w:r>
      <w:r>
        <w:rPr>
          <w:color w:val="17261F"/>
          <w:sz w:val="20"/>
          <w:szCs w:val="20"/>
        </w:rPr>
        <w:t xml:space="preserve">, reduciendo el tamaño del bundle a </w:t>
      </w:r>
      <w:r>
        <w:rPr>
          <w:b/>
          <w:bCs/>
          <w:color w:val="17261F"/>
          <w:sz w:val="20"/>
          <w:szCs w:val="20"/>
        </w:rPr>
        <w:t xml:space="preserve">71.52 kB gzip</w:t>
      </w:r>
      <w:r>
        <w:rPr>
          <w:color w:val="17261F"/>
          <w:sz w:val="20"/>
          <w:szCs w:val="20"/>
        </w:rPr>
        <w:t xml:space="preserve"> frente a los 240 kB de la versión en React.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Performance, Escalabilidad y Seguridad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8" w:name="sec_118"/>
      <w:r>
        <w:rPr>
          <w:b/>
          <w:bCs/>
          <w:color w:val="0B3D2B"/>
          <w:sz w:val="34"/>
          <w:szCs w:val="34"/>
        </w:rPr>
        <w:t xml:space="preserve">Fase 3 y 4: Rendimiento, Escalabilidad y Seguridad</w:t>
      </w:r>
      <w:bookmarkEnd w:id="118"/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4.1. Huella de Recursos en Contenedores (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docker stats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19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2"/>
        <w:gridCol w:w="1374"/>
        <w:gridCol w:w="1374"/>
        <w:gridCol w:w="1593"/>
        <w:gridCol w:w="1358"/>
        <w:gridCol w:w="1829"/>
      </w:tblGrid>
      <w:tr>
        <w:trPr>
          <w:cantSplit/>
          <w:tblHeader/>
        </w:trPr>
        <w:tc>
          <w:tcPr>
            <w:tcW w:w="18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CONTENEDOR</w:t>
            </w:r>
          </w:p>
        </w:tc>
        <w:tc>
          <w:tcPr>
            <w:tcW w:w="13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A (RAM REPOSO)</w:t>
            </w:r>
          </w:p>
        </w:tc>
        <w:tc>
          <w:tcPr>
            <w:tcW w:w="13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B (RAM REPOSO)</w:t>
            </w:r>
          </w:p>
        </w:tc>
        <w:tc>
          <w:tcPr>
            <w:tcW w:w="159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A (RAM CARGA)</w:t>
            </w:r>
          </w:p>
        </w:tc>
        <w:tc>
          <w:tcPr>
            <w:tcW w:w="13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B (RAM CARGA)</w:t>
            </w:r>
          </w:p>
        </w:tc>
        <w:tc>
          <w:tcPr>
            <w:tcW w:w="18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DELTA MEMORIA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 REST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385.4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18.2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620.0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42.5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-93.1%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215.0 MB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92.4 MB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480.0 MB</w:t>
            </w:r>
          </w:p>
        </w:tc>
        <w:tc>
          <w:tcPr>
            <w:tcW w:w="13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165.0 MB</w:t>
            </w:r>
          </w:p>
        </w:tc>
        <w:tc>
          <w:tcPr>
            <w:tcW w:w="18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-65.6%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 MQTT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12.1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118.0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28.5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145.0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+408% (BEAM)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8.5 MB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8.6 MB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18.0 MB</w:t>
            </w:r>
          </w:p>
        </w:tc>
        <w:tc>
          <w:tcPr>
            <w:tcW w:w="13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18.1 MB</w:t>
            </w:r>
          </w:p>
        </w:tc>
        <w:tc>
          <w:tcPr>
            <w:tcW w:w="18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 IoT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82.4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14.8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145.0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22.0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-84.8%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6.2 MB</w:t>
            </w:r>
          </w:p>
        </w:tc>
        <w:tc>
          <w:tcPr>
            <w:tcW w:w="1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6.1 MB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15.0 MB</w:t>
            </w:r>
          </w:p>
        </w:tc>
        <w:tc>
          <w:tcPr>
            <w:tcW w:w="13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14.8 MB</w:t>
            </w:r>
          </w:p>
        </w:tc>
        <w:tc>
          <w:tcPr>
            <w:tcW w:w="18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</w:t>
            </w:r>
          </w:p>
        </w:tc>
      </w:tr>
      <w:tr>
        <w:trPr>
          <w:cantSplit/>
        </w:trPr>
        <w:tc>
          <w:tcPr>
            <w:tcW w:w="1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TOTAL STACK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~709.6 MB</w:t>
            </w:r>
          </w:p>
        </w:tc>
        <w:tc>
          <w:tcPr>
            <w:tcW w:w="1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~258.1 MB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~1,306.5 MB</w:t>
            </w:r>
          </w:p>
        </w:tc>
        <w:tc>
          <w:tcPr>
            <w:tcW w:w="13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~407.4 MB</w:t>
            </w:r>
          </w:p>
        </w:tc>
        <w:tc>
          <w:tcPr>
            <w:tcW w:w="18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-68.8% Global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0" w:name="sec_120"/>
      <w:r>
        <w:rPr>
          <w:b/>
          <w:bCs/>
          <w:color w:val="067A52"/>
          <w:sz w:val="25"/>
          <w:szCs w:val="25"/>
        </w:rPr>
        <w:t xml:space="preserve">4.2. Latencia en Consultas Históricas bajo Carga (500 RPS)</w:t>
      </w:r>
      <w:bookmarkEnd w:id="12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Endpoint evaluado: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GET /api/v1/overview/series?metric=ph&amp;hours=24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TEXTO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Stack A (Spring Boot + MongoDB):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p50: 28.4 ms  |  p95: 94.0 ms  |  p99: 185.2 ms  |  Throughput máximo: ~340 RPS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Stack B (Go + TimescaleDB):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p50:  3.2 ms  |  p95: 14.8 ms  |  p99:  28.5 ms  |  Throughput máximo: ~1,450 RPS (4.2x mayor)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4.3. Escalabilidad IoT (2 a 1,000 Cultivos Simultáneos)</w:t>
      </w:r>
      <w:bookmarkEnd w:id="121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Python + Mosquitto (Estable):</w:t>
      </w:r>
      <w:r>
        <w:rPr>
          <w:color w:val="17261F"/>
          <w:sz w:val="20"/>
          <w:szCs w:val="20"/>
        </w:rPr>
        <w:t xml:space="preserve"> Comienza a experimentar retrasos a partir de 250 cultivos. A 1,000 cultivos acumula un lag superior a 4.5 segundos y pierde un 8.2% de los paquetes MQTT.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Rust + EMQX (BETA):</w:t>
      </w:r>
      <w:r>
        <w:rPr>
          <w:color w:val="17261F"/>
          <w:sz w:val="20"/>
          <w:szCs w:val="20"/>
        </w:rPr>
        <w:t xml:space="preserve"> Mantiene una ingestión fluida con 1,000 cultivos virtuales publicando simultáneamente, con un retraso extremo a extremo de </w:t>
      </w:r>
      <w:r>
        <w:rPr>
          <w:b/>
          <w:bCs/>
          <w:color w:val="17261F"/>
          <w:sz w:val="20"/>
          <w:szCs w:val="20"/>
        </w:rPr>
        <w:t xml:space="preserve">24 ms</w:t>
      </w:r>
      <w:r>
        <w:rPr>
          <w:color w:val="17261F"/>
          <w:sz w:val="20"/>
          <w:szCs w:val="20"/>
        </w:rPr>
        <w:t xml:space="preserve">, un consumo de CPU del simulador del 3.4% y </w:t>
      </w:r>
      <w:r>
        <w:rPr>
          <w:b/>
          <w:bCs/>
          <w:color w:val="17261F"/>
          <w:sz w:val="20"/>
          <w:szCs w:val="20"/>
        </w:rPr>
        <w:t xml:space="preserve">cero pérdida de paquetes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pStyle w:val="Heading2"/>
      </w:pPr>
      <w:bookmarkStart w:id="122" w:name="sec_122"/>
      <w:r>
        <w:rPr>
          <w:b/>
          <w:bCs/>
          <w:color w:val="067A52"/>
          <w:sz w:val="25"/>
          <w:szCs w:val="25"/>
        </w:rPr>
        <w:t xml:space="preserve">4.4. Auditoría de Seguridad AppSec e IoT</w:t>
      </w:r>
      <w:bookmarkEnd w:id="122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6182657" cy="4318000"/>
            <wp:docPr id="123" name="SmartPot_48_AppSec_Isolation_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3" name="SmartPot_48_AppSec_Isolation_Topology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82657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Topología de seguridad, redes y aislamiento multi-tenant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Aislamiento Multi-Tenant MQTT:</w:t>
      </w:r>
      <w:r>
        <w:rPr>
          <w:color w:val="17261F"/>
          <w:sz w:val="20"/>
          <w:szCs w:val="20"/>
        </w:rPr>
        <w:t xml:space="preserve"> Si un dispositivo intenta publicar o suscribirse al tópico de otro cultivo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smartpot/v1/{otroCultivoId}/*</w:t>
      </w:r>
      <w:r>
        <w:rPr>
          <w:color w:val="17261F"/>
          <w:sz w:val="20"/>
          <w:szCs w:val="20"/>
        </w:rPr>
        <w:t xml:space="preserve">), el broker EMQX rechaza el paquete debido a la regla de denegación total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#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Mitigación de BOLA / IDOR:</w:t>
      </w:r>
      <w:r>
        <w:rPr>
          <w:color w:val="17261F"/>
          <w:sz w:val="20"/>
          <w:szCs w:val="20"/>
        </w:rPr>
        <w:t xml:space="preserve"> Si un usuario intenta acceder al cultivo de otra cuenta, la API responde siempre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404 El cultivo no existe</w:t>
      </w:r>
      <w:r>
        <w:rPr>
          <w:color w:val="17261F"/>
          <w:sz w:val="20"/>
          <w:szCs w:val="20"/>
        </w:rPr>
        <w:t xml:space="preserve">, evitando delatar la existencia de recursos ajenos.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Resistencia a Inyección SQL:</w:t>
      </w:r>
      <w:r>
        <w:rPr>
          <w:color w:val="17261F"/>
          <w:sz w:val="20"/>
          <w:szCs w:val="20"/>
        </w:rPr>
        <w:t xml:space="preserve"> Todas las consultas en PostgreSQL se parametrizan mediante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$1, $2</w:t>
      </w:r>
      <w:r>
        <w:rPr>
          <w:color w:val="17261F"/>
          <w:sz w:val="20"/>
          <w:szCs w:val="20"/>
        </w:rPr>
        <w:t xml:space="preserve"> con la biblioteca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pgx</w:t>
      </w:r>
      <w:r>
        <w:rPr>
          <w:color w:val="17261F"/>
          <w:sz w:val="20"/>
          <w:szCs w:val="20"/>
        </w:rPr>
        <w:t xml:space="preserve">. Payloads como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' OR '1'='1</w:t>
      </w:r>
      <w:r>
        <w:rPr>
          <w:color w:val="17261F"/>
          <w:sz w:val="20"/>
          <w:szCs w:val="20"/>
        </w:rPr>
        <w:t xml:space="preserve"> se tratan como cadenas de texto literales sin posibilidad de ejecución arbitraria.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Comparaciones en Tiempo Constante:</w:t>
      </w:r>
      <w:r>
        <w:rPr>
          <w:color w:val="17261F"/>
          <w:sz w:val="20"/>
          <w:szCs w:val="20"/>
        </w:rPr>
        <w:t xml:space="preserve"> Tanto Go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crypto/subtle.ConstantTimeCompare</w:t>
      </w:r>
      <w:r>
        <w:rPr>
          <w:color w:val="17261F"/>
          <w:sz w:val="20"/>
          <w:szCs w:val="20"/>
        </w:rPr>
        <w:t xml:space="preserve">) como Rust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subtle::ConstantTimeEq</w:t>
      </w:r>
      <w:r>
        <w:rPr>
          <w:color w:val="17261F"/>
          <w:sz w:val="20"/>
          <w:szCs w:val="20"/>
        </w:rPr>
        <w:t xml:space="preserve">) utilizan comparaciones resistentes a ataques de canal lateral de temporización.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Endurecimiento de Contenedores:</w:t>
      </w:r>
      <w:r>
        <w:rPr>
          <w:color w:val="17261F"/>
          <w:sz w:val="20"/>
          <w:szCs w:val="20"/>
        </w:rPr>
        <w:t xml:space="preserve"> Todos los contenedores operan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security_opt: [no-new-privileges:true]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cap_drop: [ALL]</w:t>
      </w:r>
      <w:r>
        <w:rPr>
          <w:color w:val="17261F"/>
          <w:sz w:val="20"/>
          <w:szCs w:val="20"/>
        </w:rPr>
        <w:t xml:space="preserve"> y usuarios no-root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appuser</w:t>
      </w:r>
      <w:r>
        <w:rPr>
          <w:color w:val="17261F"/>
          <w:sz w:val="20"/>
          <w:szCs w:val="20"/>
        </w:rPr>
        <w:t xml:space="preserve"> UID 10001 y Nginx UID 101).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Quality Gates y Veredicto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24" w:name="sec_124"/>
      <w:r>
        <w:rPr>
          <w:b/>
          <w:bCs/>
          <w:color w:val="0B3D2B"/>
          <w:sz w:val="34"/>
          <w:szCs w:val="34"/>
        </w:rPr>
        <w:t xml:space="preserve">Matriz de Quality Gates y Decisión de Release</w:t>
      </w:r>
      <w:bookmarkEnd w:id="12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41"/>
        <w:gridCol w:w="3346"/>
        <w:gridCol w:w="2695"/>
        <w:gridCol w:w="978"/>
      </w:tblGrid>
      <w:tr>
        <w:trPr>
          <w:cantSplit/>
          <w:tblHeader/>
        </w:trPr>
        <w:tc>
          <w:tcPr>
            <w:tcW w:w="234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QUALITY GATE</w:t>
            </w:r>
          </w:p>
        </w:tc>
        <w:tc>
          <w:tcPr>
            <w:tcW w:w="33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CRITERIO DE ACEPTACIÓN</w:t>
            </w:r>
          </w:p>
        </w:tc>
        <w:tc>
          <w:tcPr>
            <w:tcW w:w="269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MEDICIÓN REGISTRADA</w:t>
            </w:r>
          </w:p>
        </w:tc>
        <w:tc>
          <w:tcPr>
            <w:tcW w:w="9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23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GATE-1: Paridad de Contratos REST</w:t>
            </w:r>
          </w:p>
        </w:tc>
        <w:tc>
          <w:tcPr>
            <w:tcW w:w="33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100% paridad en status HTTP, esquemas y textos en español</w:t>
            </w:r>
          </w:p>
        </w:tc>
        <w:tc>
          <w:tcPr>
            <w:tcW w:w="26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discrepancias detectadas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3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GATE-2: Persistencia e Hipertablas</w:t>
            </w:r>
          </w:p>
        </w:tc>
        <w:tc>
          <w:tcPr>
            <w:tcW w:w="33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Agregaciones de series temporales con delta $\le 0.001$</w:t>
            </w:r>
          </w:p>
        </w:tc>
        <w:tc>
          <w:tcPr>
            <w:tcW w:w="26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Delta numérico real $\le 0.0001$</w:t>
            </w:r>
          </w:p>
        </w:tc>
        <w:tc>
          <w:tcPr>
            <w:tcW w:w="9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3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GATE-3: Aislamiento y Seguridad IoT</w:t>
            </w:r>
          </w:p>
        </w:tc>
        <w:tc>
          <w:tcPr>
            <w:tcW w:w="33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Denegación total de comodines y tópicos cruzados</w:t>
            </w:r>
          </w:p>
        </w:tc>
        <w:tc>
          <w:tcPr>
            <w:tcW w:w="26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ACLs dinámicas activas en EMQX y Mosquitto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3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GATE-4: Eficiencia de Memoria</w:t>
            </w:r>
          </w:p>
        </w:tc>
        <w:tc>
          <w:tcPr>
            <w:tcW w:w="33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Reducción de huella de RAM global &gt; 50%</w:t>
            </w:r>
          </w:p>
        </w:tc>
        <w:tc>
          <w:tcPr>
            <w:tcW w:w="26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-68.8% global (-93.1% en API)</w:t>
            </w:r>
          </w:p>
        </w:tc>
        <w:tc>
          <w:tcPr>
            <w:tcW w:w="9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3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GATE-5: Latencia bajo Carga</w:t>
            </w:r>
          </w:p>
        </w:tc>
        <w:tc>
          <w:tcPr>
            <w:tcW w:w="33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Latencia $p_{95} \le 50\text{ ms}$ a 500 RPS</w:t>
            </w:r>
          </w:p>
        </w:tc>
        <w:tc>
          <w:tcPr>
            <w:tcW w:w="26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14.8 ms</w:t>
            </w:r>
            <w:r>
              <w:rPr>
                <w:color w:val="17261F"/>
                <w:sz w:val="17"/>
                <w:szCs w:val="17"/>
              </w:rPr>
              <w:t xml:space="preserve"> (vs 94.0 ms en Estable)</w:t>
            </w:r>
          </w:p>
        </w:tc>
        <w:tc>
          <w:tcPr>
            <w:tcW w:w="9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w="23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GATE-6: Rendimiento Frontend</w:t>
            </w:r>
          </w:p>
        </w:tc>
        <w:tc>
          <w:tcPr>
            <w:tcW w:w="33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Bundle gzip transferido $\le 100\text{ kB}$</w:t>
            </w:r>
          </w:p>
        </w:tc>
        <w:tc>
          <w:tcPr>
            <w:tcW w:w="26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71.52 kB</w:t>
            </w:r>
            <w:r>
              <w:rPr>
                <w:color w:val="17261F"/>
                <w:sz w:val="17"/>
                <w:szCs w:val="17"/>
              </w:rPr>
              <w:t xml:space="preserve"> en SolidJS (vs 240 kB en React)</w:t>
            </w:r>
          </w:p>
        </w:tc>
        <w:tc>
          <w:tcPr>
            <w:tcW w:w="9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APROBADO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00B074"/>
            </w:tcBorders>
            <w:shd w:val="clear" w:color="auto" w:fill="EEFAF4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067A52"/>
                <w:spacing w:val="40"/>
                <w:sz w:val="15"/>
                <w:szCs w:val="15"/>
              </w:rPr>
              <w:t xml:space="preserve">VEREDICTO TÉCNICO:** **APROBADO PARA CORTE A PRODUCCIÓN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El stack BETA es funcionalmente idéntico para el cliente y los dispositivos, cuadruplica la capacidad de procesamiento concurrente y disminuye los costos operativos de infraestructura a más de la mitad.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25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25" name="Icono"/>
                        <pic:cNvPicPr/>
                      </pic:nvPicPr>
                      <pic:blipFill>
                        <a:blip r:embed="rIdImg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AUDITORÍA DE CALIDAD A/B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Auditoría de Calidad y Pruebas Comparativas A/B</dc:title>
  <dc:subject>Validación de la migración de arquitectura y contratos hacia la Demo BETA</dc:subject>
  <dc:creator>SmartPotTech</dc:creator>
  <dc:language>es-CO</dc:language>
  <dcterms:created xsi:type="dcterms:W3CDTF">2026-10-29T04:51:48Z</dcterms:created>
  <dcterms:modified xsi:type="dcterms:W3CDTF">2026-10-29T04:51:48Z</dcterms:modified>
</cp:coreProperties>
</file>