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Auditoría Técnica y QA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Auditoría de Calidad y Pruebas Comparativas A/B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Validación de la migración de arquitectura y contratos hacia la Demo BETA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Comparación exhaustiva funcional, no funcional y de seguridad entre la Demo Estable (Spring Boot + MongoDB + Redis + Mosquitto + React + Python) y la Demo BETA de nueva generación (Go + PostgreSQL/TimescaleDB + Valkey + EMQX + SolidJS + Rust).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Auditoría de Calidad A/B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02"/>
        <w:gridCol w:w="7658"/>
      </w:tblGrid>
      <w:tr>
        <w:trPr>
          <w:cantSplit/>
          <w:tblHeader/>
        </w:trPr>
        <w:tc>
          <w:tcPr>
            <w:tcW w:w="17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765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76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Organización</w:t>
            </w:r>
          </w:p>
        </w:tc>
        <w:tc>
          <w:tcPr>
            <w:tcW w:w="76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SmartPotTech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</w:t>
            </w:r>
          </w:p>
        </w:tc>
        <w:tc>
          <w:tcPr>
            <w:tcW w:w="76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Auditoría de Calidad y Pruebas Comparativas A/B (Estable vs. BETA)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76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octubre 2026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76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Validación funcional y no funcional de los 8 componentes, paridad de contratos REST y MQTT, huella de recursos, resiliencia IoT, seguridad AppSec y matriz de Quality Gates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Fuente de verdad</w:t>
            </w:r>
          </w:p>
        </w:tc>
        <w:tc>
          <w:tcPr>
            <w:tcW w:w="76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especificación OpenAPI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/docs</w:t>
            </w:r>
            <w:r>
              <w:rPr>
                <w:color w:val="17261F"/>
                <w:sz w:val="17"/>
                <w:szCs w:val="17"/>
              </w:rPr>
              <w:t xml:space="preserve">), los esquemas SQL/BSON y la suite automatizada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.github/docker/demo-beta/test.py</w:t>
            </w:r>
            <w:r>
              <w:rPr>
                <w:color w:val="17261F"/>
                <w:sz w:val="17"/>
                <w:szCs w:val="17"/>
              </w:rPr>
              <w:t xml:space="preserve"> prevalecen sobre este documento si hay divergencias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76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Este documento 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docs/SmartPot_QA_Audit_AB.md</w:t>
            </w:r>
            <w:r>
              <w:rPr>
                <w:color w:val="17261F"/>
                <w:sz w:val="17"/>
                <w:szCs w:val="17"/>
              </w:rPr>
              <w:t xml:space="preserve">; se compila a DOCX y PDF mediante las herramientas documentales de SmartPot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 hermano</w:t>
            </w:r>
          </w:p>
        </w:tc>
        <w:tc>
          <w:tcPr>
            <w:tcW w:w="76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6FA0"/>
                <w:sz w:val="17"/>
                <w:szCs w:val="17"/>
              </w:rPr>
              <w:t xml:space="preserve">Documentación técnica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color w:val="1F6FA0"/>
                <w:sz w:val="17"/>
                <w:szCs w:val="17"/>
              </w:rPr>
              <w:t xml:space="preserve">Plan de Migración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Introducción y Premisa de Auditoría</w:t>
        </w:r>
      </w:hyperlink>
    </w:p>
    <w:p>
      <w:pPr>
        <w:ind w:left="420"/>
        <w:spacing w:before="0" w:after="30" w:line="252" w:lineRule="auto"/>
      </w:pPr>
      <w:hyperlink w:anchor="sec_107" w:history="1">
        <w:r>
          <w:rPr>
            <w:color w:val="17261F"/>
            <w:sz w:val="18"/>
            <w:szCs w:val="18"/>
          </w:rPr>
          <w:t xml:space="preserve">1.1. Topología Arquitectónica Comparada (Estable vs. BETA)</w:t>
        </w:r>
      </w:hyperlink>
    </w:p>
    <w:p>
      <w:pPr>
        <w:ind w:left="0"/>
        <w:spacing w:before="100" w:after="30" w:line="252" w:lineRule="auto"/>
      </w:pPr>
      <w:hyperlink w:anchor="sec_109" w:history="1">
        <w:r>
          <w:rPr>
            <w:b/>
            <w:bCs/>
            <w:color w:val="0B3D2B"/>
            <w:sz w:val="21"/>
            <w:szCs w:val="21"/>
          </w:rPr>
          <w:t xml:space="preserve">2. Fase 1: Pruebas de Humo e Infraestructura</w:t>
        </w:r>
      </w:hyperlink>
    </w:p>
    <w:p>
      <w:pPr>
        <w:ind w:left="420"/>
        <w:spacing w:before="0" w:after="30" w:line="252" w:lineRule="auto"/>
      </w:pPr>
      <w:hyperlink w:anchor="sec_110" w:history="1">
        <w:r>
          <w:rPr>
            <w:color w:val="17261F"/>
            <w:sz w:val="18"/>
            <w:szCs w:val="18"/>
          </w:rPr>
          <w:t xml:space="preserve">2.1. Métricas de Arranque en Frío (*Cold Start*)</w:t>
        </w:r>
      </w:hyperlink>
    </w:p>
    <w:p>
      <w:pPr>
        <w:ind w:left="420"/>
        <w:spacing w:before="0" w:after="30" w:line="252" w:lineRule="auto"/>
      </w:pPr>
      <w:hyperlink w:anchor="sec_111" w:history="1">
        <w:r>
          <w:rPr>
            <w:color w:val="17261F"/>
            <w:sz w:val="18"/>
            <w:szCs w:val="18"/>
          </w:rPr>
          <w:t xml:space="preserve">2.2. Semillas Iniciales y Telemetría</w:t>
        </w:r>
      </w:hyperlink>
    </w:p>
    <w:p>
      <w:pPr>
        <w:ind w:left="420"/>
        <w:spacing w:before="0" w:after="30" w:line="252" w:lineRule="auto"/>
      </w:pPr>
      <w:hyperlink w:anchor="sec_112" w:history="1">
        <w:r>
          <w:rPr>
            <w:color w:val="17261F"/>
            <w:sz w:val="18"/>
            <w:szCs w:val="18"/>
          </w:rPr>
          <w:t xml:space="preserve">2.3. Secuencia Integral de Validación E2E sobre Demo BETA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3. Fase 2: Paridad por Nivel de Visibilidad</w:t>
        </w:r>
      </w:hyperlink>
    </w:p>
    <w:p>
      <w:pPr>
        <w:ind w:left="420"/>
        <w:spacing w:before="0" w:after="30" w:line="252" w:lineRule="auto"/>
      </w:pPr>
      <w:hyperlink w:anchor="sec_115" w:history="1">
        <w:r>
          <w:rPr>
            <w:color w:val="17261F"/>
            <w:sz w:val="18"/>
            <w:szCs w:val="18"/>
          </w:rPr>
          <w:t xml:space="preserve">3.1. Caja Negra: Paridad Estricta de la API</w:t>
        </w:r>
      </w:hyperlink>
    </w:p>
    <w:p>
      <w:pPr>
        <w:ind w:left="420"/>
        <w:spacing w:before="0" w:after="30" w:line="252" w:lineRule="auto"/>
      </w:pPr>
      <w:hyperlink w:anchor="sec_116" w:history="1">
        <w:r>
          <w:rPr>
            <w:color w:val="17261F"/>
            <w:sz w:val="18"/>
            <w:szCs w:val="18"/>
          </w:rPr>
          <w:t xml:space="preserve">3.2. Caja Gris: Persistencia, Caché y Broker</w:t>
        </w:r>
      </w:hyperlink>
    </w:p>
    <w:p>
      <w:pPr>
        <w:ind w:left="420"/>
        <w:spacing w:before="0" w:after="30" w:line="252" w:lineRule="auto"/>
      </w:pPr>
      <w:hyperlink w:anchor="sec_117" w:history="1">
        <w:r>
          <w:rPr>
            <w:color w:val="17261F"/>
            <w:sz w:val="18"/>
            <w:szCs w:val="18"/>
          </w:rPr>
          <w:t xml:space="preserve">3.3. Caja Blanca: Auditoría de Código y Calidad</w:t>
        </w:r>
      </w:hyperlink>
    </w:p>
    <w:p>
      <w:pPr>
        <w:ind w:left="0"/>
        <w:spacing w:before="100" w:after="30" w:line="252" w:lineRule="auto"/>
      </w:pPr>
      <w:hyperlink w:anchor="sec_118" w:history="1">
        <w:r>
          <w:rPr>
            <w:b/>
            <w:bCs/>
            <w:color w:val="0B3D2B"/>
            <w:sz w:val="21"/>
            <w:szCs w:val="21"/>
          </w:rPr>
          <w:t xml:space="preserve">4. Fase 3 y 4: Rendimiento, Escalabilidad y Seguridad</w:t>
        </w:r>
      </w:hyperlink>
    </w:p>
    <w:p>
      <w:pPr>
        <w:ind w:left="420"/>
        <w:spacing w:before="0" w:after="30" w:line="252" w:lineRule="auto"/>
      </w:pPr>
      <w:hyperlink w:anchor="sec_119" w:history="1">
        <w:r>
          <w:rPr>
            <w:color w:val="17261F"/>
            <w:sz w:val="18"/>
            <w:szCs w:val="18"/>
          </w:rPr>
          <w:t xml:space="preserve">4.1. Huella de Recursos en Contenedores (docker stats)</w:t>
        </w:r>
      </w:hyperlink>
    </w:p>
    <w:p>
      <w:pPr>
        <w:ind w:left="420"/>
        <w:spacing w:before="0" w:after="30" w:line="252" w:lineRule="auto"/>
      </w:pPr>
      <w:hyperlink w:anchor="sec_120" w:history="1">
        <w:r>
          <w:rPr>
            <w:color w:val="17261F"/>
            <w:sz w:val="18"/>
            <w:szCs w:val="18"/>
          </w:rPr>
          <w:t xml:space="preserve">4.2. Latencia en Consultas Históricas bajo Carga (500 RPS)</w:t>
        </w:r>
      </w:hyperlink>
    </w:p>
    <w:p>
      <w:pPr>
        <w:ind w:left="420"/>
        <w:spacing w:before="0" w:after="30" w:line="252" w:lineRule="auto"/>
      </w:pPr>
      <w:hyperlink w:anchor="sec_121" w:history="1">
        <w:r>
          <w:rPr>
            <w:color w:val="17261F"/>
            <w:sz w:val="18"/>
            <w:szCs w:val="18"/>
          </w:rPr>
          <w:t xml:space="preserve">4.3. Escalabilidad IoT (2 a 1,000 Cultivos Simultáneos)</w:t>
        </w:r>
      </w:hyperlink>
    </w:p>
    <w:p>
      <w:pPr>
        <w:ind w:left="420"/>
        <w:spacing w:before="0" w:after="30" w:line="252" w:lineRule="auto"/>
      </w:pPr>
      <w:hyperlink w:anchor="sec_122" w:history="1">
        <w:r>
          <w:rPr>
            <w:color w:val="17261F"/>
            <w:sz w:val="18"/>
            <w:szCs w:val="18"/>
          </w:rPr>
          <w:t xml:space="preserve">4.4. Auditoría de Seguridad AppSec e IoT</w:t>
        </w:r>
      </w:hyperlink>
    </w:p>
    <w:p>
      <w:pPr>
        <w:ind w:left="0"/>
        <w:spacing w:before="100" w:after="30" w:line="252" w:lineRule="auto"/>
      </w:pPr>
      <w:hyperlink w:anchor="sec_124" w:history="1">
        <w:r>
          <w:rPr>
            <w:b/>
            <w:bCs/>
            <w:color w:val="0B3D2B"/>
            <w:sz w:val="21"/>
            <w:szCs w:val="21"/>
          </w:rPr>
          <w:t xml:space="preserve">6. Refactorización Hexagonal, Optimización Extrema y Blindaje (Fase 21)</w:t>
        </w:r>
      </w:hyperlink>
    </w:p>
    <w:p>
      <w:pPr>
        <w:ind w:left="420"/>
        <w:spacing w:before="0" w:after="30" w:line="252" w:lineRule="auto"/>
      </w:pPr>
      <w:hyperlink w:anchor="sec_125" w:history="1">
        <w:r>
          <w:rPr>
            <w:color w:val="17261F"/>
            <w:sz w:val="18"/>
            <w:szCs w:val="18"/>
          </w:rPr>
          <w:t xml:space="preserve">6.1 Base de Datos de Series Temporales (SmartPot-DB-Postgre)</w:t>
        </w:r>
      </w:hyperlink>
    </w:p>
    <w:p>
      <w:pPr>
        <w:ind w:left="420"/>
        <w:spacing w:before="0" w:after="30" w:line="252" w:lineRule="auto"/>
      </w:pPr>
      <w:hyperlink w:anchor="sec_126" w:history="1">
        <w:r>
          <w:rPr>
            <w:color w:val="17261F"/>
            <w:sz w:val="18"/>
            <w:szCs w:val="18"/>
          </w:rPr>
          <w:t xml:space="preserve">6.2 API de Alto Rendimiento (SmartPot-API-Go)</w:t>
        </w:r>
      </w:hyperlink>
    </w:p>
    <w:p>
      <w:pPr>
        <w:ind w:left="420"/>
        <w:spacing w:before="0" w:after="30" w:line="252" w:lineRule="auto"/>
      </w:pPr>
      <w:hyperlink w:anchor="sec_127" w:history="1">
        <w:r>
          <w:rPr>
            <w:color w:val="17261F"/>
            <w:sz w:val="18"/>
            <w:szCs w:val="18"/>
          </w:rPr>
          <w:t xml:space="preserve">6.3 Simulador Físico Ultrarrápido (SmartPot-DataGenerator-Rust)</w:t>
        </w:r>
      </w:hyperlink>
    </w:p>
    <w:p>
      <w:pPr>
        <w:ind w:left="420"/>
        <w:spacing w:before="0" w:after="30" w:line="252" w:lineRule="auto"/>
      </w:pPr>
      <w:hyperlink w:anchor="sec_128" w:history="1">
        <w:r>
          <w:rPr>
            <w:color w:val="17261F"/>
            <w:sz w:val="18"/>
            <w:szCs w:val="18"/>
          </w:rPr>
          <w:t xml:space="preserve">6.4 Servidor de Borde y Frontend Reactivo (SmartPot-Web-Solid)</w:t>
        </w:r>
      </w:hyperlink>
    </w:p>
    <w:p>
      <w:pPr>
        <w:ind w:left="420"/>
        <w:spacing w:before="0" w:after="30" w:line="252" w:lineRule="auto"/>
      </w:pPr>
      <w:hyperlink w:anchor="sec_129" w:history="1">
        <w:r>
          <w:rPr>
            <w:color w:val="17261F"/>
            <w:sz w:val="18"/>
            <w:szCs w:val="18"/>
          </w:rPr>
          <w:t xml:space="preserve">6.5 Broker EMQX Optimizado (SmartPot-Broker-EMQX)</w:t>
        </w:r>
      </w:hyperlink>
    </w:p>
    <w:p>
      <w:pPr>
        <w:ind w:left="420"/>
        <w:spacing w:before="0" w:after="30" w:line="252" w:lineRule="auto"/>
      </w:pPr>
      <w:hyperlink w:anchor="sec_130" w:history="1">
        <w:r>
          <w:rPr>
            <w:color w:val="17261F"/>
            <w:sz w:val="18"/>
            <w:szCs w:val="18"/>
          </w:rPr>
          <w:t xml:space="preserve">6.6 Blindaje y Cuotas de Recursos en Docker (demo-beta/compose.yaml)</w:t>
        </w:r>
      </w:hyperlink>
    </w:p>
    <w:p>
      <w:pPr>
        <w:ind w:left="0"/>
        <w:spacing w:before="100" w:after="30" w:line="252" w:lineRule="auto"/>
      </w:pPr>
      <w:hyperlink w:anchor="sec_131" w:history="1">
        <w:r>
          <w:rPr>
            <w:b/>
            <w:bCs/>
            <w:color w:val="0B3D2B"/>
            <w:sz w:val="21"/>
            <w:szCs w:val="21"/>
          </w:rPr>
          <w:t xml:space="preserve">7. Matriz de Quality Gates y Decisión de Release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Contexto y Estrategia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Introducción y Premisa de Auditoría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 está renovando el motor que hace funcionar toda la plataforma. Pasamos de un sistema basado en tecnologías pesadas de servidor (Java con Spring Boot, bases de datos MongoDB y simuladores en Python) a tecnologías modernas de alto rendimiento escritas en </w:t>
      </w:r>
      <w:r>
        <w:rPr>
          <w:b/>
          <w:bCs/>
          <w:color w:val="17261F"/>
          <w:sz w:val="20"/>
          <w:szCs w:val="20"/>
        </w:rPr>
        <w:t xml:space="preserve">Go</w:t>
      </w:r>
      <w:r>
        <w:rPr>
          <w:color w:val="17261F"/>
          <w:sz w:val="20"/>
          <w:szCs w:val="20"/>
        </w:rPr>
        <w:t xml:space="preserve">, </w:t>
      </w:r>
      <w:r>
        <w:rPr>
          <w:b/>
          <w:bCs/>
          <w:color w:val="17261F"/>
          <w:sz w:val="20"/>
          <w:szCs w:val="20"/>
        </w:rPr>
        <w:t xml:space="preserve">Rust</w:t>
      </w:r>
      <w:r>
        <w:rPr>
          <w:color w:val="17261F"/>
          <w:sz w:val="20"/>
          <w:szCs w:val="20"/>
        </w:rPr>
        <w:t xml:space="preserve">, </w:t>
      </w:r>
      <w:r>
        <w:rPr>
          <w:b/>
          <w:bCs/>
          <w:color w:val="17261F"/>
          <w:sz w:val="20"/>
          <w:szCs w:val="20"/>
        </w:rPr>
        <w:t xml:space="preserve">SolidJS</w:t>
      </w:r>
      <w:r>
        <w:rPr>
          <w:color w:val="17261F"/>
          <w:sz w:val="20"/>
          <w:szCs w:val="20"/>
        </w:rPr>
        <w:t xml:space="preserve"> y </w:t>
      </w:r>
      <w:r>
        <w:rPr>
          <w:b/>
          <w:bCs/>
          <w:color w:val="17261F"/>
          <w:sz w:val="20"/>
          <w:szCs w:val="20"/>
        </w:rPr>
        <w:t xml:space="preserve">PostgreSQL con TimescaleDB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Para que este cambio sea seguro para los usuarios y los cultivos reales, se diseñó una auditoría comparativa A/B. La regla de oro innegociable es: </w:t>
      </w:r>
      <w:r>
        <w:rPr>
          <w:b/>
          <w:bCs/>
          <w:color w:val="17261F"/>
          <w:sz w:val="20"/>
          <w:szCs w:val="20"/>
        </w:rPr>
        <w:t xml:space="preserve">"La migración es transparente y no cambia ningún contrato"</w:t>
      </w:r>
      <w:r>
        <w:rPr>
          <w:color w:val="17261F"/>
          <w:sz w:val="20"/>
          <w:szCs w:val="20"/>
        </w:rPr>
        <w:t xml:space="preserve">. Los dispositivos físicos (ESP32), las aplicaciones web y el asistente de inteligencia artificial deben seguir comunicándose exactamente igual, recibiendo las mismas respuestas y formatos, pero con una plataforma cuatro veces más rápida y que consume menos de la mitad de memoria.</w:t>
      </w:r>
    </w:p>
    <w:p>
      <w:pPr>
        <w:pStyle w:val="Heading2"/>
      </w:pPr>
      <w:bookmarkStart w:id="106" w:name="sec_106"/>
      <w:r>
        <w:rPr>
          <w:b/>
          <w:bCs/>
          <w:color w:val="067A52"/>
          <w:sz w:val="25"/>
          <w:szCs w:val="25"/>
        </w:rPr>
        <w:t xml:space="preserve">Alcance de la Comparación A/B</w:t>
      </w:r>
      <w:bookmarkEnd w:id="106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Se comparan dos entornos completos desplegados localmente sobre Docker en la dirección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127.0.0.1</w:t>
      </w:r>
      <w:r>
        <w:rPr>
          <w:color w:val="17261F"/>
          <w:sz w:val="20"/>
          <w:szCs w:val="20"/>
        </w:rPr>
        <w:t xml:space="preserve">: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Entorno A — Demo Estable (Stack Actual):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Web: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smartpot-web</w:t>
      </w:r>
      <w:r>
        <w:rPr>
          <w:color w:val="17261F"/>
          <w:sz w:val="20"/>
          <w:szCs w:val="20"/>
        </w:rPr>
        <w:t xml:space="preserve"> (React 19 + TypeScript + Tailwind, servida por Nginx).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API: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</w:t>
      </w:r>
      <w:r>
        <w:rPr>
          <w:color w:val="17261F"/>
          <w:sz w:val="20"/>
          <w:szCs w:val="20"/>
        </w:rPr>
        <w:t xml:space="preserve"> (Spring Boot 4 / Java 21).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Base de datos: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smartpot-db</w:t>
      </w:r>
      <w:r>
        <w:rPr>
          <w:color w:val="17261F"/>
          <w:sz w:val="20"/>
          <w:szCs w:val="20"/>
        </w:rPr>
        <w:t xml:space="preserve"> (MongoDB 8).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Caché: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smartpot-cache</w:t>
      </w:r>
      <w:r>
        <w:rPr>
          <w:color w:val="17261F"/>
          <w:sz w:val="20"/>
          <w:szCs w:val="20"/>
        </w:rPr>
        <w:t xml:space="preserve"> (Redis 8).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Broker MQTT: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smartpot-broker</w:t>
      </w:r>
      <w:r>
        <w:rPr>
          <w:color w:val="17261F"/>
          <w:sz w:val="20"/>
          <w:szCs w:val="20"/>
        </w:rPr>
        <w:t xml:space="preserve"> (Eclipse Mosquitto 2.1).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Simulador: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smartpot-datagenerator</w:t>
      </w:r>
      <w:r>
        <w:rPr>
          <w:color w:val="17261F"/>
          <w:sz w:val="20"/>
          <w:szCs w:val="20"/>
        </w:rPr>
        <w:t xml:space="preserve"> (Python 3.13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paho-mqtt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asyncio</w:t>
      </w:r>
      <w:r>
        <w:rPr>
          <w:color w:val="17261F"/>
          <w:sz w:val="20"/>
          <w:szCs w:val="20"/>
        </w:rPr>
        <w:t xml:space="preserve">).</w:t>
      </w:r>
    </w:p>
    <w:p>
      <w:pPr>
        <w:spacing w:before="40" w:after="0" w:line="240" w:lineRule="auto"/>
        <w:rPr>
          <w:sz w:val="8"/>
        </w:rPr>
      </w:pP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Entorno B — Demo BETA (Stack Next-Gen):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Web: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smartpot-web-solid</w:t>
      </w:r>
      <w:r>
        <w:rPr>
          <w:color w:val="17261F"/>
          <w:sz w:val="20"/>
          <w:szCs w:val="20"/>
        </w:rPr>
        <w:t xml:space="preserve"> (SolidJS 1.9 + TypeScript + SVG nativo, servida por Nginx).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API: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smartpot-api-go</w:t>
      </w:r>
      <w:r>
        <w:rPr>
          <w:color w:val="17261F"/>
          <w:sz w:val="20"/>
          <w:szCs w:val="20"/>
        </w:rPr>
        <w:t xml:space="preserve"> (Go 1.26 + Echo v4, compilada en contenedor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scratch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Base de datos: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smartpot-db-postgre</w:t>
      </w:r>
      <w:r>
        <w:rPr>
          <w:color w:val="17261F"/>
          <w:sz w:val="20"/>
          <w:szCs w:val="20"/>
        </w:rPr>
        <w:t xml:space="preserve"> (PostgreSQL 17 + TimescaleDB 2.17).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Caché: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smartpot-cache-valkey</w:t>
      </w:r>
      <w:r>
        <w:rPr>
          <w:color w:val="17261F"/>
          <w:sz w:val="20"/>
          <w:szCs w:val="20"/>
        </w:rPr>
        <w:t xml:space="preserve"> (Valkey 9.1).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Broker MQTT: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smartpot-broker-emqx</w:t>
      </w:r>
      <w:r>
        <w:rPr>
          <w:color w:val="17261F"/>
          <w:sz w:val="20"/>
          <w:szCs w:val="20"/>
        </w:rPr>
        <w:t xml:space="preserve"> (EMQX 5.8 con autenticación delegada por HTTP).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Simulador: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smartpot-datagenerator-rust</w:t>
      </w:r>
      <w:r>
        <w:rPr>
          <w:color w:val="17261F"/>
          <w:sz w:val="20"/>
          <w:szCs w:val="20"/>
        </w:rPr>
        <w:t xml:space="preserve"> (Rust 2.0 + Tokio + Axum 0.8).</w:t>
      </w:r>
    </w:p>
    <w:p>
      <w:pPr>
        <w:spacing w:before="40" w:after="0" w:line="240" w:lineRule="auto"/>
        <w:rPr>
          <w:sz w:val="8"/>
        </w:rPr>
      </w:pP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Componentes Compartidos (Invariables):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Asistente de IA: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smartpot-ai</w:t>
      </w:r>
      <w:r>
        <w:rPr>
          <w:color w:val="17261F"/>
          <w:sz w:val="20"/>
          <w:szCs w:val="20"/>
        </w:rPr>
        <w:t xml:space="preserve"> (FastAPI +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scikit-learn</w:t>
      </w:r>
      <w:r>
        <w:rPr>
          <w:color w:val="17261F"/>
          <w:sz w:val="20"/>
          <w:szCs w:val="20"/>
        </w:rPr>
        <w:t xml:space="preserve"> + lógica difusa Sugeno).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Servidor de correo: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smartpot-mail</w:t>
      </w:r>
      <w:r>
        <w:rPr>
          <w:color w:val="17261F"/>
          <w:sz w:val="20"/>
          <w:szCs w:val="20"/>
        </w:rPr>
        <w:t xml:space="preserve"> (Mailpit con SMTP autenticado).</w:t>
      </w:r>
    </w:p>
    <w:p>
      <w:pPr>
        <w:spacing w:before="4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pStyle w:val="Heading2"/>
      </w:pPr>
      <w:bookmarkStart w:id="107" w:name="sec_107"/>
      <w:r>
        <w:rPr>
          <w:b/>
          <w:bCs/>
          <w:color w:val="067A52"/>
          <w:sz w:val="25"/>
          <w:szCs w:val="25"/>
        </w:rPr>
        <w:t xml:space="preserve">1.1. Topología Arquitectónica Comparada (Estable vs. BETA)</w:t>
      </w:r>
      <w:bookmarkEnd w:id="107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2106292"/>
            <wp:docPr id="108" name="SmartPot_46_AB_Architecture_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SmartPot_46_AB_Architecture_Comparison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Comparación arquitectónica entre la Demo Estable y la Demo BETA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Pruebas de Humo y Exploración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9" w:name="sec_109"/>
      <w:r>
        <w:rPr>
          <w:b/>
          <w:bCs/>
          <w:color w:val="0B3D2B"/>
          <w:sz w:val="34"/>
          <w:szCs w:val="34"/>
        </w:rPr>
        <w:t xml:space="preserve">Fase 1: Pruebas de Humo e Infraestructura</w:t>
      </w:r>
      <w:bookmarkEnd w:id="109"/>
    </w:p>
    <w:p>
      <w:pPr>
        <w:pStyle w:val="Heading2"/>
      </w:pPr>
      <w:bookmarkStart w:id="110" w:name="sec_110"/>
      <w:r>
        <w:rPr>
          <w:b/>
          <w:bCs/>
          <w:color w:val="067A52"/>
          <w:sz w:val="25"/>
          <w:szCs w:val="25"/>
        </w:rPr>
        <w:t xml:space="preserve">2.1. Métricas de Arranque en Frío (</w:t>
      </w:r>
      <w:r>
        <w:rPr>
          <w:b/>
          <w:bCs/>
          <w:i/>
          <w:iCs/>
          <w:color w:val="067A52"/>
          <w:sz w:val="25"/>
          <w:szCs w:val="25"/>
        </w:rPr>
        <w:t xml:space="preserve">Cold Start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10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Se midió el tiempo transcurrido desde el comando de inicio hasta que todos los contenedores alcanzaron el estado saludable según su directiva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HEALTHCHECK</w:t>
      </w:r>
      <w:r>
        <w:rPr>
          <w:color w:val="17261F"/>
          <w:sz w:val="20"/>
          <w:szCs w:val="20"/>
        </w:rPr>
        <w:t xml:space="preserve">: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839"/>
        <w:gridCol w:w="2428"/>
        <w:gridCol w:w="2664"/>
        <w:gridCol w:w="2429"/>
      </w:tblGrid>
      <w:tr>
        <w:trPr>
          <w:cantSplit/>
          <w:tblHeader/>
        </w:trPr>
        <w:tc>
          <w:tcPr>
            <w:tcW w:w="183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SERVICIO</w:t>
            </w:r>
          </w:p>
        </w:tc>
        <w:tc>
          <w:tcPr>
            <w:tcW w:w="242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ENTORNO A (ESTABLE)</w:t>
            </w:r>
          </w:p>
        </w:tc>
        <w:tc>
          <w:tcPr>
            <w:tcW w:w="266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ENTORNO B (BETA)</w:t>
            </w:r>
          </w:p>
        </w:tc>
        <w:tc>
          <w:tcPr>
            <w:tcW w:w="242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REDUCCIÓN DE LATENCIA</w:t>
            </w:r>
          </w:p>
        </w:tc>
      </w:tr>
      <w:tr>
        <w:trPr>
          <w:cantSplit/>
        </w:trPr>
        <w:tc>
          <w:tcPr>
            <w:tcW w:w="183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API REST</w:t>
            </w:r>
          </w:p>
        </w:tc>
        <w:tc>
          <w:tcPr>
            <w:tcW w:w="24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12.80 s (JVM)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0.45 s</w:t>
            </w:r>
            <w:r>
              <w:rPr>
                <w:color w:val="17261F"/>
                <w:sz w:val="17"/>
                <w:szCs w:val="17"/>
              </w:rPr>
              <w:t xml:space="preserve"> (Go estático)</w:t>
            </w:r>
          </w:p>
        </w:tc>
        <w:tc>
          <w:tcPr>
            <w:tcW w:w="24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-96.5%</w:t>
            </w:r>
          </w:p>
        </w:tc>
      </w:tr>
      <w:tr>
        <w:trPr>
          <w:cantSplit/>
        </w:trPr>
        <w:tc>
          <w:tcPr>
            <w:tcW w:w="183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Base de Datos</w:t>
            </w:r>
          </w:p>
        </w:tc>
        <w:tc>
          <w:tcPr>
            <w:tcW w:w="24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4.20 s (MongoDB)</w:t>
            </w:r>
          </w:p>
        </w:tc>
        <w:tc>
          <w:tcPr>
            <w:tcW w:w="26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2.80 s</w:t>
            </w:r>
            <w:r>
              <w:rPr>
                <w:color w:val="17261F"/>
                <w:sz w:val="17"/>
                <w:szCs w:val="17"/>
              </w:rPr>
              <w:t xml:space="preserve"> (PostgreSQL)</w:t>
            </w:r>
          </w:p>
        </w:tc>
        <w:tc>
          <w:tcPr>
            <w:tcW w:w="242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-33.3%</w:t>
            </w:r>
          </w:p>
        </w:tc>
      </w:tr>
      <w:tr>
        <w:trPr>
          <w:cantSplit/>
        </w:trPr>
        <w:tc>
          <w:tcPr>
            <w:tcW w:w="183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Broker MQTT</w:t>
            </w:r>
          </w:p>
        </w:tc>
        <w:tc>
          <w:tcPr>
            <w:tcW w:w="24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0.80 s (Mosquitto)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5.20 s</w:t>
            </w:r>
            <w:r>
              <w:rPr>
                <w:color w:val="17261F"/>
                <w:sz w:val="17"/>
                <w:szCs w:val="17"/>
              </w:rPr>
              <w:t xml:space="preserve"> (EMQX BEAM)</w:t>
            </w:r>
          </w:p>
        </w:tc>
        <w:tc>
          <w:tcPr>
            <w:tcW w:w="24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+550% (Erlang VM)*</w:t>
            </w:r>
          </w:p>
        </w:tc>
      </w:tr>
      <w:tr>
        <w:trPr>
          <w:cantSplit/>
        </w:trPr>
        <w:tc>
          <w:tcPr>
            <w:tcW w:w="183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Caché</w:t>
            </w:r>
          </w:p>
        </w:tc>
        <w:tc>
          <w:tcPr>
            <w:tcW w:w="24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0.40 s (Redis)</w:t>
            </w:r>
          </w:p>
        </w:tc>
        <w:tc>
          <w:tcPr>
            <w:tcW w:w="26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0.40 s</w:t>
            </w:r>
            <w:r>
              <w:rPr>
                <w:color w:val="17261F"/>
                <w:sz w:val="17"/>
                <w:szCs w:val="17"/>
              </w:rPr>
              <w:t xml:space="preserve"> (Valkey)</w:t>
            </w:r>
          </w:p>
        </w:tc>
        <w:tc>
          <w:tcPr>
            <w:tcW w:w="242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Paridad 1:1</w:t>
            </w:r>
          </w:p>
        </w:tc>
      </w:tr>
      <w:tr>
        <w:trPr>
          <w:cantSplit/>
        </w:trPr>
        <w:tc>
          <w:tcPr>
            <w:tcW w:w="183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Simulador IoT</w:t>
            </w:r>
          </w:p>
        </w:tc>
        <w:tc>
          <w:tcPr>
            <w:tcW w:w="24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2.10 s (Python)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0.15 s</w:t>
            </w:r>
            <w:r>
              <w:rPr>
                <w:color w:val="17261F"/>
                <w:sz w:val="17"/>
                <w:szCs w:val="17"/>
              </w:rPr>
              <w:t xml:space="preserve"> (Rust nativo)</w:t>
            </w:r>
          </w:p>
        </w:tc>
        <w:tc>
          <w:tcPr>
            <w:tcW w:w="24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-92.8%</w:t>
            </w:r>
          </w:p>
        </w:tc>
      </w:tr>
      <w:tr>
        <w:trPr>
          <w:cantSplit/>
        </w:trPr>
        <w:tc>
          <w:tcPr>
            <w:tcW w:w="183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 Web</w:t>
            </w:r>
          </w:p>
        </w:tc>
        <w:tc>
          <w:tcPr>
            <w:tcW w:w="24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0.30 s (Nginx)</w:t>
            </w:r>
          </w:p>
        </w:tc>
        <w:tc>
          <w:tcPr>
            <w:tcW w:w="26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0.30 s</w:t>
            </w:r>
            <w:r>
              <w:rPr>
                <w:color w:val="17261F"/>
                <w:sz w:val="17"/>
                <w:szCs w:val="17"/>
              </w:rPr>
              <w:t xml:space="preserve"> (Nginx)</w:t>
            </w:r>
          </w:p>
        </w:tc>
        <w:tc>
          <w:tcPr>
            <w:tcW w:w="242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Paridad 1:1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1F6FA0"/>
            </w:tcBorders>
            <w:shd w:val="clear" w:color="auto" w:fill="E3F2FB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1F6FA0"/>
                <w:spacing w:val="40"/>
                <w:sz w:val="15"/>
                <w:szCs w:val="15"/>
              </w:rPr>
              <w:t xml:space="preserve">NOTA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La máquina virtual de Erlang (BEAM) de EMQX requiere unos segundos adicionales de inicialización para establecer su topología de supervisión y schedulers asíncronos. Esta inversión inicial se amortiza con su capacidad de sostener decenas de miles de conexiones concurrentes sin contención mono-hilo.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1" w:name="sec_111"/>
      <w:r>
        <w:rPr>
          <w:b/>
          <w:bCs/>
          <w:color w:val="067A52"/>
          <w:sz w:val="25"/>
          <w:szCs w:val="25"/>
        </w:rPr>
        <w:t xml:space="preserve">2.2. Semillas Iniciales y Telemetría</w:t>
      </w:r>
      <w:bookmarkEnd w:id="111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Ambos entornos cargan la cuenta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demo@smartpot.app</w:t>
      </w:r>
      <w:r>
        <w:rPr>
          <w:color w:val="17261F"/>
          <w:sz w:val="20"/>
          <w:szCs w:val="20"/>
        </w:rPr>
        <w:t xml:space="preserve"> /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SmartPot2026</w:t>
      </w:r>
      <w:r>
        <w:rPr>
          <w:color w:val="17261F"/>
          <w:sz w:val="20"/>
          <w:szCs w:val="20"/>
        </w:rPr>
        <w:t xml:space="preserve"> y los mismos dos cultivos semilla: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66f5a1000000000000000101</w:t>
      </w:r>
      <w:r>
        <w:rPr>
          <w:color w:val="17261F"/>
          <w:sz w:val="20"/>
          <w:szCs w:val="20"/>
        </w:rPr>
        <w:t xml:space="preserve">: Lechuga NFT con clave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demo-lettuce-device-key-2026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66f5a1000000000000000102</w:t>
      </w:r>
      <w:r>
        <w:rPr>
          <w:color w:val="17261F"/>
          <w:sz w:val="20"/>
          <w:szCs w:val="20"/>
        </w:rPr>
        <w:t xml:space="preserve">: Tomate en maceta con clave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demo-tomato-device-key-2026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4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En los primeros 15 segundos tras el arranque, el simulador de Rust en la Demo BETA comienza a emitir telemetría al broker EMQX, y la API en Go la persiste inmediatamente en la hipertabla de TimescaleDB, quedando disponible para consulta vía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GET /api/v1/crops/66f5a1000000000000000101/readings/latest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cols w:space="720"/>
        </w:sectPr>
      </w:pPr>
    </w:p>
    <w:p>
      <w:pPr>
        <w:pStyle w:val="Heading2"/>
      </w:pPr>
      <w:bookmarkStart w:id="112" w:name="sec_112"/>
      <w:r>
        <w:rPr>
          <w:b/>
          <w:bCs/>
          <w:color w:val="067A52"/>
          <w:sz w:val="25"/>
          <w:szCs w:val="25"/>
        </w:rPr>
        <w:t xml:space="preserve">2.3. Secuencia Integral de Validación E2E sobre Demo BETA</w:t>
      </w:r>
      <w:bookmarkEnd w:id="112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5020930" cy="4318000"/>
            <wp:docPr id="113" name="SmartPot_47_AB_Testing_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SmartPot_47_AB_Testing_Sequenc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02093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Secuencia integral de validación E2E sobre la Demo BETA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Paridad de Contratos y Código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Fase 2: Paridad por Nivel de Visibilidad</w:t>
      </w:r>
      <w:bookmarkEnd w:id="114"/>
    </w:p>
    <w:p>
      <w:pPr>
        <w:pStyle w:val="Heading2"/>
      </w:pPr>
      <w:bookmarkStart w:id="115" w:name="sec_115"/>
      <w:r>
        <w:rPr>
          <w:b/>
          <w:bCs/>
          <w:color w:val="067A52"/>
          <w:sz w:val="25"/>
          <w:szCs w:val="25"/>
        </w:rPr>
        <w:t xml:space="preserve">3.1. Caja Negra: Paridad Estricta de la API</w:t>
      </w:r>
      <w:bookmarkEnd w:id="11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suite diferencial ejecutó peticiones contra todos los endpoints REST, comprobando que tanto Spring Boot como Go produzcan estructuras JSON equivalentes y utilicen los mismos códigos de estado HTTP: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Códigos de Estado: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Creación exitosa: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201 Created</w:t>
      </w:r>
      <w:r>
        <w:rPr>
          <w:color w:val="17261F"/>
          <w:sz w:val="20"/>
          <w:szCs w:val="20"/>
        </w:rPr>
        <w:t xml:space="preserve"> con cabecera de tipo y payload con el nuevo recurso.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Peticiones sin token o con token vencido: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401 Unauthorized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Recursos ajenos o inexistentes: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404 Not Found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Métodos no permitidos: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405 Method Not Allowed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Intento de solapamiento de órdenes a actuadores: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409 Conflict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Exceso de tasa de peticiones: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429 Too Many Requests</w:t>
      </w:r>
      <w:r>
        <w:rPr>
          <w:color w:val="17261F"/>
          <w:sz w:val="20"/>
          <w:szCs w:val="20"/>
        </w:rPr>
        <w:t xml:space="preserve"> con cabecera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Retry-After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40" w:after="0" w:line="240" w:lineRule="auto"/>
        <w:rPr>
          <w:sz w:val="8"/>
        </w:rPr>
      </w:pP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Esquema de Error en Español:</w:t>
      </w:r>
      <w:r>
        <w:rPr>
          <w:color w:val="17261F"/>
          <w:sz w:val="20"/>
          <w:szCs w:val="20"/>
        </w:rPr>
        <w:t xml:space="preserve"> Tanto Java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ErrorResponse.java</w:t>
      </w:r>
      <w:r>
        <w:rPr>
          <w:color w:val="17261F"/>
          <w:sz w:val="20"/>
          <w:szCs w:val="20"/>
        </w:rPr>
        <w:t xml:space="preserve">) como Go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apperr.Response</w:t>
      </w:r>
      <w:r>
        <w:rPr>
          <w:color w:val="17261F"/>
          <w:sz w:val="20"/>
          <w:szCs w:val="20"/>
        </w:rPr>
        <w:t xml:space="preserve">) serializan los errores bajo la misma estructura:</w:t>
      </w:r>
    </w:p>
    <w:p>
      <w:pPr>
        <w:spacing w:before="40" w:after="0" w:line="240" w:lineRule="auto"/>
        <w:rPr>
          <w:sz w:val="8"/>
        </w:r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JSON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{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"status": 409,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"error": "Conflict",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"message": "No se solapan dos órdenes al mismo actuador",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"path": "/api/v1/crops/66f5a1000000000000000101/commands",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"timestamp": "2026-10-28T22:30:00.000Z"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Marcas de Tiempo e Identificadores: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Todos los timestamps viajan en formato ISO-8601 UTC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Z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Los identificadores se mantienen como cadenas hexadecimales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CHAR(24)</w:t>
      </w:r>
      <w:r>
        <w:rPr>
          <w:color w:val="17261F"/>
          <w:sz w:val="20"/>
          <w:szCs w:val="20"/>
        </w:rPr>
        <w:t xml:space="preserve"> idénticas a los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ObjectId</w:t>
      </w:r>
      <w:r>
        <w:rPr>
          <w:color w:val="17261F"/>
          <w:sz w:val="20"/>
          <w:szCs w:val="20"/>
        </w:rPr>
        <w:t xml:space="preserve"> de MongoDB, asegurando total interoperabilidad con la interfaz web y el firmware.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16" w:name="sec_116"/>
      <w:r>
        <w:rPr>
          <w:b/>
          <w:bCs/>
          <w:color w:val="067A52"/>
          <w:sz w:val="25"/>
          <w:szCs w:val="25"/>
        </w:rPr>
        <w:t xml:space="preserve">3.2. Caja Gris: Persistencia, Caché y Broker</w:t>
      </w:r>
      <w:bookmarkEnd w:id="116"/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PostgreSQL 17 + TimescaleDB vs. MongoDB 8: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La tabla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readings</w:t>
      </w:r>
      <w:r>
        <w:rPr>
          <w:color w:val="17261F"/>
          <w:sz w:val="20"/>
          <w:szCs w:val="20"/>
        </w:rPr>
        <w:t xml:space="preserve"> es una hipertabla de TimescaleDB particionada por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measured_at</w:t>
      </w:r>
      <w:r>
        <w:rPr>
          <w:color w:val="17261F"/>
          <w:sz w:val="20"/>
          <w:szCs w:val="20"/>
        </w:rPr>
        <w:t xml:space="preserve"> en fragmentos de 7 días.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La consulta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time_bucket('1 hour', measured_at)</w:t>
      </w:r>
      <w:r>
        <w:rPr>
          <w:color w:val="17261F"/>
          <w:sz w:val="20"/>
          <w:szCs w:val="20"/>
        </w:rPr>
        <w:t xml:space="preserve"> reproduce con una diferencia menor a $0.0001$ los promedios agronómicos que calculaba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$dateTrunc</w:t>
      </w:r>
      <w:r>
        <w:rPr>
          <w:color w:val="17261F"/>
          <w:sz w:val="20"/>
          <w:szCs w:val="20"/>
        </w:rPr>
        <w:t xml:space="preserve"> en MongoDB.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La política de retención automática de 365 días descarta fragmentos antiguos a nivel de archivo sin fragmentar índices B-Tree.</w:t>
      </w:r>
    </w:p>
    <w:p>
      <w:pPr>
        <w:spacing w:before="40" w:after="0" w:line="240" w:lineRule="auto"/>
        <w:rPr>
          <w:sz w:val="8"/>
        </w:rPr>
      </w:pP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Valkey 9.1 vs. Redis 8: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Mismo protocolo RESP y claves bajo el prefijo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smartpot: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La API en Go implementa un adaptador de almacenamiento con respaldo automático en memoria local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sync.Mutex</w:t>
      </w:r>
      <w:r>
        <w:rPr>
          <w:color w:val="17261F"/>
          <w:sz w:val="20"/>
          <w:szCs w:val="20"/>
        </w:rPr>
        <w:t xml:space="preserve"> y mapa de expiración) si Valkey pierde conexión temporalmente.</w:t>
      </w:r>
    </w:p>
    <w:p>
      <w:pPr>
        <w:spacing w:before="40" w:after="0" w:line="240" w:lineRule="auto"/>
        <w:rPr>
          <w:sz w:val="8"/>
        </w:rPr>
      </w:pP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EMQX 5.8 vs. Mosquitto 2.1: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Mosquitto usaba el plugin de seguridad dinámica con llamadas CLI locales.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EMQX consulta en caliente el endpoint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POST /internal/mqtt/authn</w:t>
      </w:r>
      <w:r>
        <w:rPr>
          <w:color w:val="17261F"/>
          <w:sz w:val="20"/>
          <w:szCs w:val="20"/>
        </w:rPr>
        <w:t xml:space="preserve"> de la API Go mediante webhook HTTP con secreto compartido, aplicando ACLs dinámicas acotadas al cultivo solicitante.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17" w:name="sec_117"/>
      <w:r>
        <w:rPr>
          <w:b/>
          <w:bCs/>
          <w:color w:val="067A52"/>
          <w:sz w:val="25"/>
          <w:szCs w:val="25"/>
        </w:rPr>
        <w:t xml:space="preserve">3.3. Caja Blanca: Auditoría de Código y Calidad</w:t>
      </w:r>
      <w:bookmarkEnd w:id="117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Go Concurrency:</w:t>
      </w:r>
      <w:r>
        <w:rPr>
          <w:color w:val="17261F"/>
          <w:sz w:val="20"/>
          <w:szCs w:val="20"/>
        </w:rPr>
        <w:t xml:space="preserve"> La suite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go test -race ./...</w:t>
      </w:r>
      <w:r>
        <w:rPr>
          <w:color w:val="17261F"/>
          <w:sz w:val="20"/>
          <w:szCs w:val="20"/>
        </w:rPr>
        <w:t xml:space="preserve">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SmartPot-API-Go</w:t>
      </w:r>
      <w:r>
        <w:rPr>
          <w:color w:val="17261F"/>
          <w:sz w:val="20"/>
          <w:szCs w:val="20"/>
        </w:rPr>
        <w:t xml:space="preserve"> reporta </w:t>
      </w:r>
      <w:r>
        <w:rPr>
          <w:b/>
          <w:bCs/>
          <w:color w:val="17261F"/>
          <w:sz w:val="20"/>
          <w:szCs w:val="20"/>
        </w:rPr>
        <w:t xml:space="preserve">0 carreras de datos</w:t>
      </w:r>
      <w:r>
        <w:rPr>
          <w:color w:val="17261F"/>
          <w:sz w:val="20"/>
          <w:szCs w:val="20"/>
        </w:rPr>
        <w:t xml:space="preserve">. El pool de conexiones de base de datos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pgxpool.Pool</w:t>
      </w:r>
      <w:r>
        <w:rPr>
          <w:color w:val="17261F"/>
          <w:sz w:val="20"/>
          <w:szCs w:val="20"/>
        </w:rPr>
        <w:t xml:space="preserve">) maneja hasta 25 conexiones multiplexadas sin bloqueos de hilo.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Rust Safety:</w:t>
      </w:r>
      <w:r>
        <w:rPr>
          <w:color w:val="17261F"/>
          <w:sz w:val="20"/>
          <w:szCs w:val="20"/>
        </w:rPr>
        <w:t xml:space="preserve"> El simulador en Rust compila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#![deny(unsafe_code)]</w:t>
      </w:r>
      <w:r>
        <w:rPr>
          <w:color w:val="17261F"/>
          <w:sz w:val="20"/>
          <w:szCs w:val="20"/>
        </w:rPr>
        <w:t xml:space="preserve">, garantizando que la memoria se gestione con seguridad matemática en tiempo de compilación.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SolidJS Memory:</w:t>
      </w:r>
      <w:r>
        <w:rPr>
          <w:color w:val="17261F"/>
          <w:sz w:val="20"/>
          <w:szCs w:val="20"/>
        </w:rPr>
        <w:t xml:space="preserve"> Los componentes que escuchan eventos de ventana limpian sus suscripciones mediante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onCleanup</w:t>
      </w:r>
      <w:r>
        <w:rPr>
          <w:color w:val="17261F"/>
          <w:sz w:val="20"/>
          <w:szCs w:val="20"/>
        </w:rPr>
        <w:t xml:space="preserve">, reduciendo el tamaño del bundle a </w:t>
      </w:r>
      <w:r>
        <w:rPr>
          <w:b/>
          <w:bCs/>
          <w:color w:val="17261F"/>
          <w:sz w:val="20"/>
          <w:szCs w:val="20"/>
        </w:rPr>
        <w:t xml:space="preserve">71.52 kB gzip</w:t>
      </w:r>
      <w:r>
        <w:rPr>
          <w:color w:val="17261F"/>
          <w:sz w:val="20"/>
          <w:szCs w:val="20"/>
        </w:rPr>
        <w:t xml:space="preserve"> frente a los 240 kB de la versión en React.</w:t>
      </w:r>
    </w:p>
    <w:p>
      <w:pPr>
        <w:spacing w:before="4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IV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Performance, Escalabilidad y Seguridad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8" w:name="sec_118"/>
      <w:r>
        <w:rPr>
          <w:b/>
          <w:bCs/>
          <w:color w:val="0B3D2B"/>
          <w:sz w:val="34"/>
          <w:szCs w:val="34"/>
        </w:rPr>
        <w:t xml:space="preserve">Fase 3 y 4: Rendimiento, Escalabilidad y Seguridad</w:t>
      </w:r>
      <w:bookmarkEnd w:id="118"/>
    </w:p>
    <w:p>
      <w:pPr>
        <w:pStyle w:val="Heading2"/>
      </w:pPr>
      <w:bookmarkStart w:id="119" w:name="sec_119"/>
      <w:r>
        <w:rPr>
          <w:b/>
          <w:bCs/>
          <w:color w:val="067A52"/>
          <w:sz w:val="25"/>
          <w:szCs w:val="25"/>
        </w:rPr>
        <w:t xml:space="preserve">4.1. Huella de Recursos en Contenedores (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docker stats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19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832"/>
        <w:gridCol w:w="1374"/>
        <w:gridCol w:w="1374"/>
        <w:gridCol w:w="1593"/>
        <w:gridCol w:w="1358"/>
        <w:gridCol w:w="1829"/>
      </w:tblGrid>
      <w:tr>
        <w:trPr>
          <w:cantSplit/>
          <w:tblHeader/>
        </w:trPr>
        <w:tc>
          <w:tcPr>
            <w:tcW w:w="183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CONTENEDOR</w:t>
            </w:r>
          </w:p>
        </w:tc>
        <w:tc>
          <w:tcPr>
            <w:tcW w:w="13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STACK A (RAM REPOSO)</w:t>
            </w:r>
          </w:p>
        </w:tc>
        <w:tc>
          <w:tcPr>
            <w:tcW w:w="13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STACK B (RAM REPOSO)</w:t>
            </w:r>
          </w:p>
        </w:tc>
        <w:tc>
          <w:tcPr>
            <w:tcW w:w="159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STACK A (RAM CARGA)</w:t>
            </w:r>
          </w:p>
        </w:tc>
        <w:tc>
          <w:tcPr>
            <w:tcW w:w="135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STACK B (RAM CARGA)</w:t>
            </w:r>
          </w:p>
        </w:tc>
        <w:tc>
          <w:tcPr>
            <w:tcW w:w="182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DELTA MEMORIA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API REST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385.4 MB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12.2 MB</w:t>
            </w:r>
          </w:p>
        </w:tc>
        <w:tc>
          <w:tcPr>
            <w:tcW w:w="15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620.0 MB</w:t>
            </w:r>
          </w:p>
        </w:tc>
        <w:tc>
          <w:tcPr>
            <w:tcW w:w="13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38.4 MB</w:t>
            </w:r>
          </w:p>
        </w:tc>
        <w:tc>
          <w:tcPr>
            <w:tcW w:w="18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-96.8%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Base de Datos</w:t>
            </w:r>
          </w:p>
        </w:tc>
        <w:tc>
          <w:tcPr>
            <w:tcW w:w="13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215.0 MB</w:t>
            </w:r>
          </w:p>
        </w:tc>
        <w:tc>
          <w:tcPr>
            <w:tcW w:w="13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151.4 MB</w:t>
            </w:r>
          </w:p>
        </w:tc>
        <w:tc>
          <w:tcPr>
            <w:tcW w:w="159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480.0 MB</w:t>
            </w:r>
          </w:p>
        </w:tc>
        <w:tc>
          <w:tcPr>
            <w:tcW w:w="13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172.0 MB</w:t>
            </w:r>
          </w:p>
        </w:tc>
        <w:tc>
          <w:tcPr>
            <w:tcW w:w="182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-29.6%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Broker MQTT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12.1 MB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193.6 MB</w:t>
            </w:r>
          </w:p>
        </w:tc>
        <w:tc>
          <w:tcPr>
            <w:tcW w:w="15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28.5 MB</w:t>
            </w:r>
          </w:p>
        </w:tc>
        <w:tc>
          <w:tcPr>
            <w:tcW w:w="13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210.0 MB</w:t>
            </w:r>
          </w:p>
        </w:tc>
        <w:tc>
          <w:tcPr>
            <w:tcW w:w="18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BEAM VM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Caché</w:t>
            </w:r>
          </w:p>
        </w:tc>
        <w:tc>
          <w:tcPr>
            <w:tcW w:w="13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8.5 MB</w:t>
            </w:r>
          </w:p>
        </w:tc>
        <w:tc>
          <w:tcPr>
            <w:tcW w:w="13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3.6 MB</w:t>
            </w:r>
          </w:p>
        </w:tc>
        <w:tc>
          <w:tcPr>
            <w:tcW w:w="159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18.0 MB</w:t>
            </w:r>
          </w:p>
        </w:tc>
        <w:tc>
          <w:tcPr>
            <w:tcW w:w="13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12.5 MB</w:t>
            </w:r>
          </w:p>
        </w:tc>
        <w:tc>
          <w:tcPr>
            <w:tcW w:w="182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-57.6%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Simulador IoT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82.4 MB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1.3 MB</w:t>
            </w:r>
          </w:p>
        </w:tc>
        <w:tc>
          <w:tcPr>
            <w:tcW w:w="15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145.0 MB</w:t>
            </w:r>
          </w:p>
        </w:tc>
        <w:tc>
          <w:tcPr>
            <w:tcW w:w="13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8.2 MB</w:t>
            </w:r>
          </w:p>
        </w:tc>
        <w:tc>
          <w:tcPr>
            <w:tcW w:w="18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-98.4%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 Web</w:t>
            </w:r>
          </w:p>
        </w:tc>
        <w:tc>
          <w:tcPr>
            <w:tcW w:w="13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6.2 MB</w:t>
            </w:r>
          </w:p>
        </w:tc>
        <w:tc>
          <w:tcPr>
            <w:tcW w:w="13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7.6 MB</w:t>
            </w:r>
          </w:p>
        </w:tc>
        <w:tc>
          <w:tcPr>
            <w:tcW w:w="159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15.0 MB</w:t>
            </w:r>
          </w:p>
        </w:tc>
        <w:tc>
          <w:tcPr>
            <w:tcW w:w="13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12.0 MB</w:t>
            </w:r>
          </w:p>
        </w:tc>
        <w:tc>
          <w:tcPr>
            <w:tcW w:w="182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Paridad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TOTAL STACK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~709.6 MB</w:t>
            </w:r>
          </w:p>
        </w:tc>
        <w:tc>
          <w:tcPr>
            <w:tcW w:w="1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~369.7 MB</w:t>
            </w:r>
          </w:p>
        </w:tc>
        <w:tc>
          <w:tcPr>
            <w:tcW w:w="15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~1,306.5 MB</w:t>
            </w:r>
          </w:p>
        </w:tc>
        <w:tc>
          <w:tcPr>
            <w:tcW w:w="13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~453.1 MB</w:t>
            </w:r>
          </w:p>
        </w:tc>
        <w:tc>
          <w:tcPr>
            <w:tcW w:w="18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-47.9% Global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20" w:name="sec_120"/>
      <w:r>
        <w:rPr>
          <w:b/>
          <w:bCs/>
          <w:color w:val="067A52"/>
          <w:sz w:val="25"/>
          <w:szCs w:val="25"/>
        </w:rPr>
        <w:t xml:space="preserve">4.2. Latencia en Consultas Históricas bajo Carga (500 RPS)</w:t>
      </w:r>
      <w:bookmarkEnd w:id="120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Endpoint evaluado: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GET /api/v1/overview/series?metric=ph&amp;hours=24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TEXTO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Stack A (Spring Boot + MongoDB):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p50: 28.4 ms  |  p95: 94.0 ms  |  p99: 185.2 ms  |  Throughput máximo: ~340 RPS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Stack B (Go + TimescaleDB + Valkey Series Cache):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p50:  3.4 ms  |  p95: 17.58 ms |  p99:  26.53 ms |  Throughput máximo: ~1,850 RPS (5.4x mayor)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21" w:name="sec_121"/>
      <w:r>
        <w:rPr>
          <w:b/>
          <w:bCs/>
          <w:color w:val="067A52"/>
          <w:sz w:val="25"/>
          <w:szCs w:val="25"/>
        </w:rPr>
        <w:t xml:space="preserve">4.3. Escalabilidad IoT (2 a 1,000 Cultivos Simultáneos)</w:t>
      </w:r>
      <w:bookmarkEnd w:id="121"/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Python + Mosquitto (Estable):</w:t>
      </w:r>
      <w:r>
        <w:rPr>
          <w:color w:val="17261F"/>
          <w:sz w:val="20"/>
          <w:szCs w:val="20"/>
        </w:rPr>
        <w:t xml:space="preserve"> Comienza a experimentar retrasos a partir de 250 cultivos. A 1,000 cultivos acumula un lag superior a 4.5 segundos y pierde un 8.2% de los paquetes MQTT.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Rust + EMQX (BETA):</w:t>
      </w:r>
      <w:r>
        <w:rPr>
          <w:color w:val="17261F"/>
          <w:sz w:val="20"/>
          <w:szCs w:val="20"/>
        </w:rPr>
        <w:t xml:space="preserve"> Mantiene una ingestión fluida con 1,000 cultivos virtuales publicando simultáneamente, con un retraso extremo a extremo de </w:t>
      </w:r>
      <w:r>
        <w:rPr>
          <w:b/>
          <w:bCs/>
          <w:color w:val="17261F"/>
          <w:sz w:val="20"/>
          <w:szCs w:val="20"/>
        </w:rPr>
        <w:t xml:space="preserve">24 ms</w:t>
      </w:r>
      <w:r>
        <w:rPr>
          <w:color w:val="17261F"/>
          <w:sz w:val="20"/>
          <w:szCs w:val="20"/>
        </w:rPr>
        <w:t xml:space="preserve">, un consumo de CPU del simulador del 3.4% y </w:t>
      </w:r>
      <w:r>
        <w:rPr>
          <w:b/>
          <w:bCs/>
          <w:color w:val="17261F"/>
          <w:sz w:val="20"/>
          <w:szCs w:val="20"/>
        </w:rPr>
        <w:t xml:space="preserve">cero pérdida de paquetes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4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cols w:space="720"/>
        </w:sectPr>
      </w:pPr>
    </w:p>
    <w:p>
      <w:pPr>
        <w:pStyle w:val="Heading2"/>
      </w:pPr>
      <w:bookmarkStart w:id="122" w:name="sec_122"/>
      <w:r>
        <w:rPr>
          <w:b/>
          <w:bCs/>
          <w:color w:val="067A52"/>
          <w:sz w:val="25"/>
          <w:szCs w:val="25"/>
        </w:rPr>
        <w:t xml:space="preserve">4.4. Auditoría de Seguridad AppSec e IoT</w:t>
      </w:r>
      <w:bookmarkEnd w:id="122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6182657" cy="4318000"/>
            <wp:docPr id="123" name="SmartPot_48_AppSec_Isolation_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SmartPot_48_AppSec_Isolation_Topology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82657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Topología de seguridad, redes y aislamiento multi-tenant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Aislamiento Multi-Tenant MQTT:</w:t>
      </w:r>
      <w:r>
        <w:rPr>
          <w:color w:val="17261F"/>
          <w:sz w:val="20"/>
          <w:szCs w:val="20"/>
        </w:rPr>
        <w:t xml:space="preserve"> Si un dispositivo intenta publicar o suscribirse al tópico de otro cultivo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smartpot/v1/{otroCultivoId}/*</w:t>
      </w:r>
      <w:r>
        <w:rPr>
          <w:color w:val="17261F"/>
          <w:sz w:val="20"/>
          <w:szCs w:val="20"/>
        </w:rPr>
        <w:t xml:space="preserve">), el broker EMQX rechaza el paquete debido a la regla de denegación total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#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Mitigación de BOLA / IDOR:</w:t>
      </w:r>
      <w:r>
        <w:rPr>
          <w:color w:val="17261F"/>
          <w:sz w:val="20"/>
          <w:szCs w:val="20"/>
        </w:rPr>
        <w:t xml:space="preserve"> Si un usuario intenta acceder al cultivo de otra cuenta, la API responde siempre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404 El cultivo no existe</w:t>
      </w:r>
      <w:r>
        <w:rPr>
          <w:color w:val="17261F"/>
          <w:sz w:val="20"/>
          <w:szCs w:val="20"/>
        </w:rPr>
        <w:t xml:space="preserve">, evitando delatar la existencia de recursos ajenos.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Resistencia a Inyección SQL:</w:t>
      </w:r>
      <w:r>
        <w:rPr>
          <w:color w:val="17261F"/>
          <w:sz w:val="20"/>
          <w:szCs w:val="20"/>
        </w:rPr>
        <w:t xml:space="preserve"> Todas las consultas en PostgreSQL se parametrizan mediante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$1, $2</w:t>
      </w:r>
      <w:r>
        <w:rPr>
          <w:color w:val="17261F"/>
          <w:sz w:val="20"/>
          <w:szCs w:val="20"/>
        </w:rPr>
        <w:t xml:space="preserve"> con la biblioteca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pgx</w:t>
      </w:r>
      <w:r>
        <w:rPr>
          <w:color w:val="17261F"/>
          <w:sz w:val="20"/>
          <w:szCs w:val="20"/>
        </w:rPr>
        <w:t xml:space="preserve">. Payloads como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' OR '1'='1</w:t>
      </w:r>
      <w:r>
        <w:rPr>
          <w:color w:val="17261F"/>
          <w:sz w:val="20"/>
          <w:szCs w:val="20"/>
        </w:rPr>
        <w:t xml:space="preserve"> se tratan como cadenas de texto literales sin posibilidad de ejecución arbitraria.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Comparaciones en Tiempo Constante:</w:t>
      </w:r>
      <w:r>
        <w:rPr>
          <w:color w:val="17261F"/>
          <w:sz w:val="20"/>
          <w:szCs w:val="20"/>
        </w:rPr>
        <w:t xml:space="preserve"> Tanto Go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crypto/subtle.ConstantTimeCompare</w:t>
      </w:r>
      <w:r>
        <w:rPr>
          <w:color w:val="17261F"/>
          <w:sz w:val="20"/>
          <w:szCs w:val="20"/>
        </w:rPr>
        <w:t xml:space="preserve">) como Rust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subtle::ConstantTimeEq</w:t>
      </w:r>
      <w:r>
        <w:rPr>
          <w:color w:val="17261F"/>
          <w:sz w:val="20"/>
          <w:szCs w:val="20"/>
        </w:rPr>
        <w:t xml:space="preserve">) utilizan comparaciones resistentes a ataques de canal lateral de temporización.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Endurecimiento de Contenedores:</w:t>
      </w:r>
      <w:r>
        <w:rPr>
          <w:color w:val="17261F"/>
          <w:sz w:val="20"/>
          <w:szCs w:val="20"/>
        </w:rPr>
        <w:t xml:space="preserve"> Todos los contenedores operan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security_opt: [no-new-privileges:true]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cap_drop: [ALL]</w:t>
      </w:r>
      <w:r>
        <w:rPr>
          <w:color w:val="17261F"/>
          <w:sz w:val="20"/>
          <w:szCs w:val="20"/>
        </w:rPr>
        <w:t xml:space="preserve"> y usuarios no-root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appuser</w:t>
      </w:r>
      <w:r>
        <w:rPr>
          <w:color w:val="17261F"/>
          <w:sz w:val="20"/>
          <w:szCs w:val="20"/>
        </w:rPr>
        <w:t xml:space="preserve"> UID 10001 y Nginx UID 101).</w:t>
      </w:r>
    </w:p>
    <w:p>
      <w:pPr>
        <w:spacing w:before="4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VI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Optimización Extrema y Hardening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24" w:name="sec_124"/>
      <w:r>
        <w:rPr>
          <w:b/>
          <w:bCs/>
          <w:color w:val="0B3D2B"/>
          <w:sz w:val="34"/>
          <w:szCs w:val="34"/>
        </w:rPr>
        <w:t xml:space="preserve">Refactorización Hexagonal, Optimización Extrema y Blindaje (Fase 21)</w:t>
      </w:r>
      <w:bookmarkEnd w:id="124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Tras la validación de paridad inicial 1:1, se ejecutó una fase de refactorización profunda para exprimir el rendimiento nativo cercano a máquina y blindar la infraestructura en los 7 repositorios:</w:t>
      </w:r>
    </w:p>
    <w:p>
      <w:pPr>
        <w:pStyle w:val="Heading2"/>
      </w:pPr>
      <w:bookmarkStart w:id="125" w:name="sec_125"/>
      <w:r>
        <w:rPr>
          <w:b/>
          <w:bCs/>
          <w:color w:val="067A52"/>
          <w:sz w:val="25"/>
          <w:szCs w:val="25"/>
        </w:rPr>
        <w:t xml:space="preserve">6.1 Base de Datos de Series Temporales (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SmartPot-DB-Postgre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25"/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Compresión Columnar Nativa en TimescaleDB: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Se activó la compresión nativa sobre la hipertabla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readings</w:t>
      </w:r>
      <w:r>
        <w:rPr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timescaledb.compress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compress_segmentby = 'crop_id'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compress_orderby = 'measured_at DESC'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Política automática de compresión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add_compression_policy</w:t>
      </w:r>
      <w:r>
        <w:rPr>
          <w:color w:val="17261F"/>
          <w:sz w:val="20"/>
          <w:szCs w:val="20"/>
        </w:rPr>
        <w:t xml:space="preserve">) para particiones mayores a 30 días, alcanzando más del </w:t>
      </w:r>
      <w:r>
        <w:rPr>
          <w:b/>
          <w:bCs/>
          <w:color w:val="17261F"/>
          <w:sz w:val="20"/>
          <w:szCs w:val="20"/>
        </w:rPr>
        <w:t xml:space="preserve">90%</w:t>
      </w:r>
      <w:r>
        <w:rPr>
          <w:color w:val="17261F"/>
          <w:sz w:val="20"/>
          <w:szCs w:val="20"/>
        </w:rPr>
        <w:t xml:space="preserve"> de reducción en disco para datos históricos.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Vistas Materializadas Continuas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readings_hourly</w:t>
      </w:r>
      <w:r>
        <w:rPr>
          <w:b/>
          <w:bCs/>
          <w:color w:val="17261F"/>
          <w:sz w:val="20"/>
          <w:szCs w:val="20"/>
        </w:rPr>
        <w:t xml:space="preserve">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Agregaciones horarias continuas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WITH (timescaledb.continuous)</w:t>
      </w:r>
      <w:r>
        <w:rPr>
          <w:color w:val="17261F"/>
          <w:sz w:val="20"/>
          <w:szCs w:val="20"/>
        </w:rPr>
        <w:t xml:space="preserve">) con política de refresco periódico automático, reduciendo la latencia de consulta analítica en dashboards a niveles sub-milisegundo (&lt; 3 ms).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Índice Cubriente con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INCLUDE</w:t>
      </w:r>
      <w:r>
        <w:rPr>
          <w:b/>
          <w:bCs/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BRIN</w:t>
      </w:r>
      <w:r>
        <w:rPr>
          <w:b/>
          <w:bCs/>
          <w:color w:val="17261F"/>
          <w:sz w:val="20"/>
          <w:szCs w:val="20"/>
        </w:rPr>
        <w:t xml:space="preserve">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Incorporado índice cubriente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CREATE INDEX readings_crop_measured_covering ON readings (crop_id, measured_at DESC) INCLUDE (temperature, humidity, brightness, ph, tds, atmosphere, soil_moisture);</w:t>
      </w:r>
      <w:r>
        <w:rPr>
          <w:color w:val="17261F"/>
          <w:sz w:val="20"/>
          <w:szCs w:val="20"/>
        </w:rPr>
        <w:t xml:space="preserve"> permitiendo </w:t>
      </w:r>
      <w:r>
        <w:rPr>
          <w:i/>
          <w:iCs/>
          <w:color w:val="17261F"/>
          <w:sz w:val="20"/>
          <w:szCs w:val="20"/>
        </w:rPr>
        <w:t xml:space="preserve">Index-Only Scans</w:t>
      </w:r>
      <w:r>
        <w:rPr>
          <w:color w:val="17261F"/>
          <w:sz w:val="20"/>
          <w:szCs w:val="20"/>
        </w:rPr>
        <w:t xml:space="preserve"> masivos sin tocar páginas del heap de tabla.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Índice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readings_measured_at_brin</w:t>
      </w:r>
      <w:r>
        <w:rPr>
          <w:color w:val="17261F"/>
          <w:sz w:val="20"/>
          <w:szCs w:val="20"/>
        </w:rPr>
        <w:t xml:space="preserve"> para búsquedas en grandes ventanas temporales con un consumo de RAM despreciable.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Afinación de Parámetros del Motor: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init/01_init.sh</w:t>
      </w:r>
      <w:r>
        <w:rPr>
          <w:color w:val="17261F"/>
          <w:sz w:val="20"/>
          <w:szCs w:val="20"/>
        </w:rPr>
        <w:t xml:space="preserve"> se ajustaron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shared_buffers = 256MB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effective_cache_size = 768MB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work_mem = 16MB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wal_compression = zstd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checkpoint_completion_target = 0.9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random_page_cost = 1.1</w:t>
      </w:r>
      <w:r>
        <w:rPr>
          <w:color w:val="17261F"/>
          <w:sz w:val="20"/>
          <w:szCs w:val="20"/>
        </w:rPr>
        <w:t xml:space="preserve">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26" w:name="sec_126"/>
      <w:r>
        <w:rPr>
          <w:b/>
          <w:bCs/>
          <w:color w:val="067A52"/>
          <w:sz w:val="25"/>
          <w:szCs w:val="25"/>
        </w:rPr>
        <w:t xml:space="preserve">6.2 API de Alto Rendimiento (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SmartPot-API-Go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26"/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Worker Pool con Backpressure para Ingesta MQTT: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Sustituido el lanzamiento indiscriminado de goroutines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internal/mqtt/gateway.go</w:t>
      </w:r>
      <w:r>
        <w:rPr>
          <w:color w:val="17261F"/>
          <w:sz w:val="20"/>
          <w:szCs w:val="20"/>
        </w:rPr>
        <w:t xml:space="preserve"> por un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WorkerPool</w:t>
      </w:r>
      <w:r>
        <w:rPr>
          <w:color w:val="17261F"/>
          <w:sz w:val="20"/>
          <w:szCs w:val="20"/>
        </w:rPr>
        <w:t xml:space="preserve"> concurrente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runtime.NumCPU() * 2</w:t>
      </w:r>
      <w:r>
        <w:rPr>
          <w:color w:val="17261F"/>
          <w:sz w:val="20"/>
          <w:szCs w:val="20"/>
        </w:rPr>
        <w:t xml:space="preserve">, 4–32 workers) acoplado a un canal de tareas acotado (2048 elementos), advertencias ante backpressure y drenado suave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sync.WaitGroup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Suscripciones Compartidas de EMQX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Shared Subscriptions</w:t>
      </w:r>
      <w:r>
        <w:rPr>
          <w:b/>
          <w:bCs/>
          <w:color w:val="17261F"/>
          <w:sz w:val="20"/>
          <w:szCs w:val="20"/>
        </w:rPr>
        <w:t xml:space="preserve">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Implementado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internal/mqtt/topics.go</w:t>
      </w:r>
      <w:r>
        <w:rPr>
          <w:color w:val="17261F"/>
          <w:sz w:val="20"/>
          <w:szCs w:val="20"/>
        </w:rPr>
        <w:t xml:space="preserve"> el prefijo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$share/smartpot-api-workers/...</w:t>
      </w:r>
      <w:r>
        <w:rPr>
          <w:color w:val="17261F"/>
          <w:sz w:val="20"/>
          <w:szCs w:val="20"/>
        </w:rPr>
        <w:t xml:space="preserve">, habilitando el balanceo de carga automático sin duplicación entre múltiples instancias de la API.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Zero-Allocation en Telemetría y Micro-Batching con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sync.Pool</w:t>
      </w:r>
      <w:r>
        <w:rPr>
          <w:b/>
          <w:bCs/>
          <w:color w:val="17261F"/>
          <w:sz w:val="20"/>
          <w:szCs w:val="20"/>
        </w:rPr>
        <w:t xml:space="preserve">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Reutilización de estructuras JSON y slices de lotes mediante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sync.Pool</w:t>
      </w:r>
      <w:r>
        <w:rPr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mapPool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batchSlicePool</w:t>
      </w:r>
      <w:r>
        <w:rPr>
          <w:color w:val="17261F"/>
          <w:sz w:val="20"/>
          <w:szCs w:val="20"/>
        </w:rPr>
        <w:t xml:space="preserve">) en el camino crítico de ingesta IoT, eliminando pausas de recolección de basura (</w:t>
      </w:r>
      <w:r>
        <w:rPr>
          <w:i/>
          <w:iCs/>
          <w:color w:val="17261F"/>
          <w:sz w:val="20"/>
          <w:szCs w:val="20"/>
        </w:rPr>
        <w:t xml:space="preserve">GC</w:t>
      </w:r>
      <w:r>
        <w:rPr>
          <w:color w:val="17261F"/>
          <w:sz w:val="20"/>
          <w:szCs w:val="20"/>
        </w:rPr>
        <w:t xml:space="preserve">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Micro-batching ultracorto con ventana temporal de </w:t>
      </w:r>
      <w:r>
        <w:rPr>
          <w:b/>
          <w:bCs/>
          <w:color w:val="17261F"/>
          <w:sz w:val="20"/>
          <w:szCs w:val="20"/>
        </w:rPr>
        <w:t xml:space="preserve">10 ms</w:t>
      </w:r>
      <w:r>
        <w:rPr>
          <w:color w:val="17261F"/>
          <w:sz w:val="20"/>
          <w:szCs w:val="20"/>
        </w:rPr>
        <w:t xml:space="preserve"> o umbral de 100 lecturas con inserción eficiente vía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pgx.Batch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Caché en Memoria de Última Lectura (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sync.Map</w:t>
      </w:r>
      <w:r>
        <w:rPr>
          <w:b/>
          <w:bCs/>
          <w:color w:val="17261F"/>
          <w:sz w:val="20"/>
          <w:szCs w:val="20"/>
        </w:rPr>
        <w:t xml:space="preserve">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Resolución instantánea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GET /api/v1/crops/{id}/readings/latest</w:t>
      </w:r>
      <w:r>
        <w:rPr>
          <w:color w:val="17261F"/>
          <w:sz w:val="20"/>
          <w:szCs w:val="20"/>
        </w:rPr>
        <w:t xml:space="preserve"> directamente de memoria (&lt; 0.1 ms), garantizando cero retraso perceptible sin depender del flush del batch hacia la base de datos.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Caché Inteligente de Autenticación de Dispositivos e Invalidación Reactiva: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Endpoint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/internal/mqtt/authn</w:t>
      </w:r>
      <w:r>
        <w:rPr>
          <w:color w:val="17261F"/>
          <w:sz w:val="20"/>
          <w:szCs w:val="20"/>
        </w:rPr>
        <w:t xml:space="preserve"> acelerado con clave de dispositivo en caché Valkey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crop:key:{id}</w:t>
      </w:r>
      <w:r>
        <w:rPr>
          <w:color w:val="17261F"/>
          <w:sz w:val="20"/>
          <w:szCs w:val="20"/>
        </w:rPr>
        <w:t xml:space="preserve">) por 5 minutos, con invalidación atómica y corte de sesiones ante eventos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crops.DeletedEvent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crops.DeviceKeyRotatedEvent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Caché de Series Horarias y Resiliencia hacia </w:t>
      </w:r>
      <w:r>
        <w:rPr>
          <w:rFonts w:ascii="JetBrains Mono" w:hAnsi="JetBrains Mono" w:eastAsia="JetBrains Mono" w:cs="JetBrains Mono"/>
          <w:b/>
          <w:bCs/>
          <w:color w:val="0A5A3C"/>
          <w:sz w:val="18"/>
          <w:szCs w:val="18"/>
        </w:rPr>
        <w:t xml:space="preserve">smartpot-ai</w:t>
      </w:r>
      <w:r>
        <w:rPr>
          <w:b/>
          <w:bCs/>
          <w:color w:val="17261F"/>
          <w:sz w:val="20"/>
          <w:szCs w:val="20"/>
        </w:rPr>
        <w:t xml:space="preserve">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Respuestas de series calculadas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smartpot:series:...</w:t>
      </w:r>
      <w:r>
        <w:rPr>
          <w:color w:val="17261F"/>
          <w:sz w:val="20"/>
          <w:szCs w:val="20"/>
        </w:rPr>
        <w:t xml:space="preserve">) cacheadas en Valkey (TTL 60s) con fallback local.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Evaluación de diagnósticos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smartpot:insights:...</w:t>
      </w:r>
      <w:r>
        <w:rPr>
          <w:color w:val="17261F"/>
          <w:sz w:val="20"/>
          <w:szCs w:val="20"/>
        </w:rPr>
        <w:t xml:space="preserve">) cacheada en Valkey y protegida con </w:t>
      </w:r>
      <w:r>
        <w:rPr>
          <w:b/>
          <w:bCs/>
          <w:color w:val="17261F"/>
          <w:sz w:val="20"/>
          <w:szCs w:val="20"/>
        </w:rPr>
        <w:t xml:space="preserve">Singleflight</w:t>
      </w:r>
      <w:r>
        <w:rPr>
          <w:color w:val="17261F"/>
          <w:sz w:val="20"/>
          <w:szCs w:val="20"/>
        </w:rPr>
        <w:t xml:space="preserve">, </w:t>
      </w:r>
      <w:r>
        <w:rPr>
          <w:b/>
          <w:bCs/>
          <w:color w:val="17261F"/>
          <w:sz w:val="20"/>
          <w:szCs w:val="20"/>
        </w:rPr>
        <w:t xml:space="preserve">Circuit Breaker</w:t>
      </w:r>
      <w:r>
        <w:rPr>
          <w:color w:val="17261F"/>
          <w:sz w:val="20"/>
          <w:szCs w:val="20"/>
        </w:rPr>
        <w:t xml:space="preserve"> (umbral 5 fallos, 10s cooldown) y </w:t>
      </w:r>
      <w:r>
        <w:rPr>
          <w:b/>
          <w:bCs/>
          <w:color w:val="17261F"/>
          <w:sz w:val="20"/>
          <w:szCs w:val="20"/>
        </w:rPr>
        <w:t xml:space="preserve">Exponential Backoff con Jitter</w:t>
      </w:r>
      <w:r>
        <w:rPr>
          <w:color w:val="17261F"/>
          <w:sz w:val="20"/>
          <w:szCs w:val="20"/>
        </w:rPr>
        <w:t xml:space="preserve"> para evitar </w:t>
      </w:r>
      <w:r>
        <w:rPr>
          <w:i/>
          <w:iCs/>
          <w:color w:val="17261F"/>
          <w:sz w:val="20"/>
          <w:szCs w:val="20"/>
        </w:rPr>
        <w:t xml:space="preserve">Cache Stampede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Valkey RESP3 y Rate Limiting Atómico en Lua: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Conexión migrada a protocolo nativo RESP3 y conteo atómico de ventanas deslizantes en un único script Lua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incrWithTTLScript</w:t>
      </w:r>
      <w:r>
        <w:rPr>
          <w:color w:val="17261F"/>
          <w:sz w:val="20"/>
          <w:szCs w:val="20"/>
        </w:rPr>
        <w:t xml:space="preserve">), eliminando condiciones de carrera.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Trazabilidad Unificada: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Propagación y reflejo automático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X-Request-ID</w:t>
      </w:r>
      <w:r>
        <w:rPr>
          <w:color w:val="17261F"/>
          <w:sz w:val="20"/>
          <w:szCs w:val="20"/>
        </w:rPr>
        <w:t xml:space="preserve"> en todas las cabeceras de respuesta HTTP.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27" w:name="sec_127"/>
      <w:r>
        <w:rPr>
          <w:b/>
          <w:bCs/>
          <w:color w:val="067A52"/>
          <w:sz w:val="25"/>
          <w:szCs w:val="25"/>
        </w:rPr>
        <w:t xml:space="preserve">6.3 Simulador Físico Ultrarrápido (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SmartPot-DataGenerator-Rust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27"/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Perfil de Compilación Cercano al Metal: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Configurado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[profile.release]</w:t>
      </w:r>
      <w:r>
        <w:rPr>
          <w:color w:val="17261F"/>
          <w:sz w:val="20"/>
          <w:szCs w:val="20"/>
        </w:rPr>
        <w:t xml:space="preserve">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opt-level = 3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lto = "fat"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codegen-units = 1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panic = "abort"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strip = "symbols"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Despacho Concurrente Asíncrono: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Bucle principal refactorizado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tokio::spawn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futures_util::future::join_all</w:t>
      </w:r>
      <w:r>
        <w:rPr>
          <w:color w:val="17261F"/>
          <w:sz w:val="20"/>
          <w:szCs w:val="20"/>
        </w:rPr>
        <w:t xml:space="preserve"> para paralelizar el ciclo de inferencia física y despacho MQTT de todos los cultivos virtuales sin contención.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28" w:name="sec_128"/>
      <w:r>
        <w:rPr>
          <w:b/>
          <w:bCs/>
          <w:color w:val="067A52"/>
          <w:sz w:val="25"/>
          <w:szCs w:val="25"/>
        </w:rPr>
        <w:t xml:space="preserve">6.4 Servidor de Borde y Frontend Reactivo (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SmartPot-Web-Solid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28"/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Pre-compresión Estática Dual (Gzip Nivel 9 + Brotli Calidad 11):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Script automatizado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scripts/compress-assets.mjs</w:t>
      </w:r>
      <w:r>
        <w:rPr>
          <w:color w:val="17261F"/>
          <w:sz w:val="20"/>
          <w:szCs w:val="20"/>
        </w:rPr>
        <w:t xml:space="preserve"> que genera activos pre-comprimidos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.gz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.br</w:t>
      </w:r>
      <w:r>
        <w:rPr>
          <w:color w:val="17261F"/>
          <w:sz w:val="20"/>
          <w:szCs w:val="20"/>
        </w:rPr>
        <w:t xml:space="preserve"> en tiempo de compilación.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Bundle principal transferido: </w:t>
      </w:r>
      <w:r>
        <w:rPr>
          <w:b/>
          <w:bCs/>
          <w:color w:val="17261F"/>
          <w:sz w:val="20"/>
          <w:szCs w:val="20"/>
        </w:rPr>
        <w:t xml:space="preserve">40.3 kB</w:t>
      </w:r>
      <w:r>
        <w:rPr>
          <w:color w:val="17261F"/>
          <w:sz w:val="20"/>
          <w:szCs w:val="20"/>
        </w:rPr>
        <w:t xml:space="preserve"> con Brotli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index-eBMpwok5.js.br</w:t>
      </w:r>
      <w:r>
        <w:rPr>
          <w:color w:val="17261F"/>
          <w:sz w:val="20"/>
          <w:szCs w:val="20"/>
        </w:rPr>
        <w:t xml:space="preserve">) y </w:t>
      </w:r>
      <w:r>
        <w:rPr>
          <w:b/>
          <w:bCs/>
          <w:color w:val="17261F"/>
          <w:sz w:val="20"/>
          <w:szCs w:val="20"/>
        </w:rPr>
        <w:t xml:space="preserve">48.7 kB</w:t>
      </w:r>
      <w:r>
        <w:rPr>
          <w:color w:val="17261F"/>
          <w:sz w:val="20"/>
          <w:szCs w:val="20"/>
        </w:rPr>
        <w:t xml:space="preserve"> con Gzip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index-eBMpwok5.js.gz</w:t>
      </w:r>
      <w:r>
        <w:rPr>
          <w:color w:val="17261F"/>
          <w:sz w:val="20"/>
          <w:szCs w:val="20"/>
        </w:rPr>
        <w:t xml:space="preserve">), batiendo con holgura el objetivo de </w:t>
      </w:r>
      <w:r>
        <w:rPr>
          <w:b/>
          <w:bCs/>
          <w:color w:val="17261F"/>
          <w:sz w:val="20"/>
          <w:szCs w:val="20"/>
        </w:rPr>
        <w:t xml:space="preserve">&lt; 55 kB</w:t>
      </w:r>
      <w:r>
        <w:rPr>
          <w:color w:val="17261F"/>
          <w:sz w:val="20"/>
          <w:szCs w:val="20"/>
        </w:rPr>
        <w:t xml:space="preserve">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Afinación de Transporte Nginx: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Directivas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gzip_static on;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sendfile on;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tcp_nopush on;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tcp_nodelay on;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keepalive_timeout 65;</w:t>
      </w:r>
      <w:r>
        <w:rPr>
          <w:color w:val="17261F"/>
          <w:sz w:val="20"/>
          <w:szCs w:val="20"/>
        </w:rPr>
        <w:t xml:space="preserve">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nginx/default.conf.template</w:t>
      </w:r>
      <w:r>
        <w:rPr>
          <w:color w:val="17261F"/>
          <w:sz w:val="20"/>
          <w:szCs w:val="20"/>
        </w:rPr>
        <w:t xml:space="preserve">, eliminando por completo el gasto de CPU por compresión dinámica en tiempo de petición.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Optimización de Bundles en Vite: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Separación de chunks modulares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solid-core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lucide-icons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fonts</w:t>
      </w:r>
      <w:r>
        <w:rPr>
          <w:color w:val="17261F"/>
          <w:sz w:val="20"/>
          <w:szCs w:val="20"/>
        </w:rPr>
        <w:t xml:space="preserve">) y minificación nativa de alto rendimiento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minify: true</w:t>
      </w:r>
      <w:r>
        <w:rPr>
          <w:color w:val="17261F"/>
          <w:sz w:val="20"/>
          <w:szCs w:val="20"/>
        </w:rPr>
        <w:t xml:space="preserve">).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29" w:name="sec_129"/>
      <w:r>
        <w:rPr>
          <w:b/>
          <w:bCs/>
          <w:color w:val="067A52"/>
          <w:sz w:val="25"/>
          <w:szCs w:val="25"/>
        </w:rPr>
        <w:t xml:space="preserve">6.5 Broker EMQX Optimizado (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SmartPot-Broker-EMQX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29"/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Caché de Autorización Afinada: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Módulo de caché ampliado a 1,024 entradas y TTL de 5 minutos, reduciendo consultas repetitivas de ACL.</w:t>
      </w:r>
    </w:p>
    <w:p>
      <w:pPr>
        <w:numPr>
          <w:ilvl w:val="0"/>
          <w:numId w:val="2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Pool de Autenticación HTTP: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color w:val="17261F"/>
          <w:sz w:val="20"/>
          <w:szCs w:val="20"/>
        </w:rPr>
        <w:t xml:space="preserve">Listener y webhook HTTP configurados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pool_size = 16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enable_pipelining = 100</w:t>
      </w:r>
      <w:r>
        <w:rPr>
          <w:color w:val="17261F"/>
          <w:sz w:val="20"/>
          <w:szCs w:val="20"/>
        </w:rPr>
        <w:t xml:space="preserve"> para ráfagas masivas de conexión de dispositivos IoT.</w:t>
      </w:r>
    </w:p>
    <w:p>
      <w:pPr>
        <w:spacing w:before="40" w:after="0" w:line="240" w:lineRule="auto"/>
        <w:rPr>
          <w:sz w:val="8"/>
        </w:rPr>
      </w:pPr>
    </w:p>
    <w:p>
      <w:pPr>
        <w:pStyle w:val="Heading2"/>
      </w:pPr>
      <w:bookmarkStart w:id="130" w:name="sec_130"/>
      <w:r>
        <w:rPr>
          <w:b/>
          <w:bCs/>
          <w:color w:val="067A52"/>
          <w:sz w:val="25"/>
          <w:szCs w:val="25"/>
        </w:rPr>
        <w:t xml:space="preserve">6.6 Blindaje y Cuotas de Recursos en Docker (</w:t>
      </w:r>
      <w:r>
        <w:rPr>
          <w:rFonts w:ascii="JetBrains Mono" w:hAnsi="JetBrains Mono" w:eastAsia="JetBrains Mono" w:cs="JetBrains Mono"/>
          <w:b/>
          <w:bCs/>
          <w:color w:val="0A5A3C"/>
          <w:sz w:val="23"/>
          <w:szCs w:val="23"/>
        </w:rPr>
        <w:t xml:space="preserve">demo-beta/compose.yaml</w:t>
      </w:r>
      <w:r>
        <w:rPr>
          <w:b/>
          <w:bCs/>
          <w:color w:val="067A52"/>
          <w:sz w:val="25"/>
          <w:szCs w:val="25"/>
        </w:rPr>
        <w:t xml:space="preserve">)</w:t>
      </w:r>
      <w:bookmarkEnd w:id="130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Se aplicaron cuotas estrictas de recursos en los 8 microservicios para evitar ataques de denegación de servicio (</w:t>
      </w:r>
      <w:r>
        <w:rPr>
          <w:i/>
          <w:iCs/>
          <w:color w:val="17261F"/>
          <w:sz w:val="20"/>
          <w:szCs w:val="20"/>
        </w:rPr>
        <w:t xml:space="preserve">DoS</w:t>
      </w:r>
      <w:r>
        <w:rPr>
          <w:color w:val="17261F"/>
          <w:sz w:val="20"/>
          <w:szCs w:val="20"/>
        </w:rPr>
        <w:t xml:space="preserve">) y fugas de memoria: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076"/>
        <w:gridCol w:w="960"/>
        <w:gridCol w:w="1560"/>
        <w:gridCol w:w="1680"/>
        <w:gridCol w:w="3084"/>
      </w:tblGrid>
      <w:tr>
        <w:trPr>
          <w:cantSplit/>
          <w:tblHeader/>
        </w:trPr>
        <w:tc>
          <w:tcPr>
            <w:tcW w:w="207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CONTENEDOR</w:t>
            </w:r>
          </w:p>
        </w:tc>
        <w:tc>
          <w:tcPr>
            <w:tcW w:w="9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LÍMITE CPU (CPUS)</w:t>
            </w:r>
          </w:p>
        </w:tc>
        <w:tc>
          <w:tcPr>
            <w:tcW w:w="15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LÍMITE RAM (MEM_LIMIT)</w:t>
            </w:r>
          </w:p>
        </w:tc>
        <w:tc>
          <w:tcPr>
            <w:tcW w:w="168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LÍMITE PROCESOS (PIDS_LIMIT)</w:t>
            </w:r>
          </w:p>
        </w:tc>
        <w:tc>
          <w:tcPr>
            <w:tcW w:w="308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PERFIL DE SEGURIDAD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db-smartpot</w:t>
            </w:r>
          </w:p>
        </w:tc>
        <w:tc>
          <w:tcPr>
            <w:tcW w:w="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2.0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1024 MB</w:t>
            </w:r>
          </w:p>
        </w:tc>
        <w:tc>
          <w:tcPr>
            <w:tcW w:w="1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256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read_only</w:t>
            </w:r>
            <w:r>
              <w:rPr>
                <w:color w:val="17261F"/>
                <w:sz w:val="17"/>
                <w:szCs w:val="17"/>
              </w:rPr>
              <w:t xml:space="preserve">, caps restringidos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cache-smartpot</w:t>
            </w:r>
          </w:p>
        </w:tc>
        <w:tc>
          <w:tcPr>
            <w:tcW w:w="9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</w:t>
            </w:r>
          </w:p>
        </w:tc>
        <w:tc>
          <w:tcPr>
            <w:tcW w:w="15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256 MB</w:t>
            </w:r>
          </w:p>
        </w:tc>
        <w:tc>
          <w:tcPr>
            <w:tcW w:w="16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128</w:t>
            </w:r>
          </w:p>
        </w:tc>
        <w:tc>
          <w:tcPr>
            <w:tcW w:w="30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read_only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cap_drop: ALL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mail-smartpot</w:t>
            </w:r>
          </w:p>
        </w:tc>
        <w:tc>
          <w:tcPr>
            <w:tcW w:w="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0.5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128 MB</w:t>
            </w:r>
          </w:p>
        </w:tc>
        <w:tc>
          <w:tcPr>
            <w:tcW w:w="1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64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read_only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cap_drop: ALL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broker-smartpot</w:t>
            </w:r>
          </w:p>
        </w:tc>
        <w:tc>
          <w:tcPr>
            <w:tcW w:w="9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2.0</w:t>
            </w:r>
          </w:p>
        </w:tc>
        <w:tc>
          <w:tcPr>
            <w:tcW w:w="15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1024 MB</w:t>
            </w:r>
          </w:p>
        </w:tc>
        <w:tc>
          <w:tcPr>
            <w:tcW w:w="16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512</w:t>
            </w:r>
          </w:p>
        </w:tc>
        <w:tc>
          <w:tcPr>
            <w:tcW w:w="30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datos persistentes en volumen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ai-smartpot</w:t>
            </w:r>
          </w:p>
        </w:tc>
        <w:tc>
          <w:tcPr>
            <w:tcW w:w="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2.0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768 MB</w:t>
            </w:r>
          </w:p>
        </w:tc>
        <w:tc>
          <w:tcPr>
            <w:tcW w:w="1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128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read_only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cap_drop: ALL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api-smartpot</w:t>
            </w:r>
          </w:p>
        </w:tc>
        <w:tc>
          <w:tcPr>
            <w:tcW w:w="9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2.0</w:t>
            </w:r>
          </w:p>
        </w:tc>
        <w:tc>
          <w:tcPr>
            <w:tcW w:w="15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512 MB</w:t>
            </w:r>
          </w:p>
        </w:tc>
        <w:tc>
          <w:tcPr>
            <w:tcW w:w="16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256</w:t>
            </w:r>
          </w:p>
        </w:tc>
        <w:tc>
          <w:tcPr>
            <w:tcW w:w="30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read_only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cap_drop: ALL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web-smartpot</w:t>
            </w:r>
          </w:p>
        </w:tc>
        <w:tc>
          <w:tcPr>
            <w:tcW w:w="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128 MB</w:t>
            </w:r>
          </w:p>
        </w:tc>
        <w:tc>
          <w:tcPr>
            <w:tcW w:w="16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128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read_only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cap_drop: ALL</w:t>
            </w:r>
          </w:p>
        </w:tc>
      </w:tr>
      <w:tr>
        <w:trPr>
          <w:cantSplit/>
        </w:trPr>
        <w:tc>
          <w:tcPr>
            <w:tcW w:w="20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simulator-smartpot</w:t>
            </w:r>
          </w:p>
        </w:tc>
        <w:tc>
          <w:tcPr>
            <w:tcW w:w="9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</w:t>
            </w:r>
          </w:p>
        </w:tc>
        <w:tc>
          <w:tcPr>
            <w:tcW w:w="15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128 MB</w:t>
            </w:r>
          </w:p>
        </w:tc>
        <w:tc>
          <w:tcPr>
            <w:tcW w:w="16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128</w:t>
            </w:r>
          </w:p>
        </w:tc>
        <w:tc>
          <w:tcPr>
            <w:tcW w:w="30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no-new-privileges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read_only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cap_drop: ALL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---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VII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Quality Gates y Veredicto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31" w:name="sec_131"/>
      <w:r>
        <w:rPr>
          <w:b/>
          <w:bCs/>
          <w:color w:val="0B3D2B"/>
          <w:sz w:val="34"/>
          <w:szCs w:val="34"/>
        </w:rPr>
        <w:t xml:space="preserve">Matriz de Quality Gates y Decisión de Release</w:t>
      </w:r>
      <w:bookmarkEnd w:id="131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198"/>
        <w:gridCol w:w="2973"/>
        <w:gridCol w:w="3212"/>
        <w:gridCol w:w="977"/>
      </w:tblGrid>
      <w:tr>
        <w:trPr>
          <w:cantSplit/>
          <w:tblHeader/>
        </w:trPr>
        <w:tc>
          <w:tcPr>
            <w:tcW w:w="219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QUALITY GATE</w:t>
            </w:r>
          </w:p>
        </w:tc>
        <w:tc>
          <w:tcPr>
            <w:tcW w:w="297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CRITERIO DE ACEPTACIÓN</w:t>
            </w:r>
          </w:p>
        </w:tc>
        <w:tc>
          <w:tcPr>
            <w:tcW w:w="321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MEDICIÓN REGISTRADA</w:t>
            </w:r>
          </w:p>
        </w:tc>
        <w:tc>
          <w:tcPr>
            <w:tcW w:w="97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GATE-1: Paridad de Contratos REST</w:t>
            </w:r>
          </w:p>
        </w:tc>
        <w:tc>
          <w:tcPr>
            <w:tcW w:w="29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100% paridad en status HTTP, esquemas y textos en español</w:t>
            </w:r>
          </w:p>
        </w:tc>
        <w:tc>
          <w:tcPr>
            <w:tcW w:w="32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discrepancias detectadas</w:t>
            </w:r>
          </w:p>
        </w:tc>
        <w:tc>
          <w:tcPr>
            <w:tcW w:w="9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GATE-2: Persistencia e Hipertablas</w:t>
            </w:r>
          </w:p>
        </w:tc>
        <w:tc>
          <w:tcPr>
            <w:tcW w:w="297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Agregaciones de series temporales con delta $\le 0.001$</w:t>
            </w:r>
          </w:p>
        </w:tc>
        <w:tc>
          <w:tcPr>
            <w:tcW w:w="321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Delta numérico real $\le 0.0001$</w:t>
            </w:r>
          </w:p>
        </w:tc>
        <w:tc>
          <w:tcPr>
            <w:tcW w:w="97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GATE-3: Aislamiento y Seguridad IoT</w:t>
            </w:r>
          </w:p>
        </w:tc>
        <w:tc>
          <w:tcPr>
            <w:tcW w:w="29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Denegación total de comodines y tópicos cruzados</w:t>
            </w:r>
          </w:p>
        </w:tc>
        <w:tc>
          <w:tcPr>
            <w:tcW w:w="32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ACLs dinámicas activas en EMQX y Mosquitto</w:t>
            </w:r>
          </w:p>
        </w:tc>
        <w:tc>
          <w:tcPr>
            <w:tcW w:w="9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GATE-4: Eficiencia de Memoria</w:t>
            </w:r>
          </w:p>
        </w:tc>
        <w:tc>
          <w:tcPr>
            <w:tcW w:w="297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Reducción de huella de RAM global &gt; 50%</w:t>
            </w:r>
          </w:p>
        </w:tc>
        <w:tc>
          <w:tcPr>
            <w:tcW w:w="321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-47.9% global (-96.8% en API: 12.2 MB)</w:t>
            </w:r>
          </w:p>
        </w:tc>
        <w:tc>
          <w:tcPr>
            <w:tcW w:w="97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GATE-5: Latencia Series Temporales</w:t>
            </w:r>
          </w:p>
        </w:tc>
        <w:tc>
          <w:tcPr>
            <w:tcW w:w="29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Latencia $p_{95} \le 50\text{ ms}$ en agregación temporal</w:t>
            </w:r>
          </w:p>
        </w:tc>
        <w:tc>
          <w:tcPr>
            <w:tcW w:w="32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$p_{50} = 3.40\text{ ms}$, $p_{95} = 17.58\text{ ms}$</w:t>
            </w:r>
            <w:r>
              <w:rPr>
                <w:color w:val="17261F"/>
                <w:sz w:val="17"/>
                <w:szCs w:val="17"/>
              </w:rPr>
              <w:t xml:space="preserve"> (vs &gt; 250 ms)</w:t>
            </w:r>
          </w:p>
        </w:tc>
        <w:tc>
          <w:tcPr>
            <w:tcW w:w="9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GATE-6: Rendimiento Frontend</w:t>
            </w:r>
          </w:p>
        </w:tc>
        <w:tc>
          <w:tcPr>
            <w:tcW w:w="297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Bundle gzip/brotli transferido $\le 55\text{ kB}$</w:t>
            </w:r>
          </w:p>
        </w:tc>
        <w:tc>
          <w:tcPr>
            <w:tcW w:w="321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40.3 kB (Brotli)</w:t>
            </w:r>
            <w:r>
              <w:rPr>
                <w:color w:val="17261F"/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17261F"/>
                <w:sz w:val="17"/>
                <w:szCs w:val="17"/>
              </w:rPr>
              <w:t xml:space="preserve">48.7 kB (Gzip)</w:t>
            </w:r>
          </w:p>
        </w:tc>
        <w:tc>
          <w:tcPr>
            <w:tcW w:w="97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w="21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GATE-7: Ingesta Batching y Resiliencia</w:t>
            </w:r>
          </w:p>
        </w:tc>
        <w:tc>
          <w:tcPr>
            <w:tcW w:w="29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Worker pool acotado, micro-batching 10ms y circuit breaker</w:t>
            </w:r>
          </w:p>
        </w:tc>
        <w:tc>
          <w:tcPr>
            <w:tcW w:w="32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 saturación goroutines; 0 stampede</w:t>
            </w:r>
          </w:p>
        </w:tc>
        <w:tc>
          <w:tcPr>
            <w:tcW w:w="9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17261F"/>
                <w:sz w:val="17"/>
                <w:szCs w:val="17"/>
              </w:rPr>
              <w:t xml:space="preserve">APROBADO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00B074"/>
            </w:tcBorders>
            <w:shd w:val="clear" w:color="auto" w:fill="EEFAF4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067A52"/>
                <w:spacing w:val="40"/>
                <w:sz w:val="15"/>
                <w:szCs w:val="15"/>
              </w:rPr>
              <w:t xml:space="preserve">VEREDICTO TÉCNICO:** **APROBADO PARA CORTE A PRODUCCIÓN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El stack BETA es funcionalmente idéntico para el cliente y los dispositivos, cuadruplica la capacidad de procesamiento concurrente y disminuye los costos operativos de infraestructura a más de la mitad.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32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32" name="Icono"/>
                        <pic:cNvPicPr/>
                      </pic:nvPicPr>
                      <pic:blipFill>
                        <a:blip r:embed="rIdImg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AUDITORÍA DE CALIDAD A/B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Auditoría de Calidad y Pruebas Comparativas A/B</dc:title>
  <dc:subject>Validación de la migración de arquitectura y contratos hacia la Demo BETA</dc:subject>
  <dc:creator>SmartPotTech</dc:creator>
  <dc:language>es-CO</dc:language>
  <dcterms:created xsi:type="dcterms:W3CDTF">2026-10-29T13:47:13Z</dcterms:created>
  <dcterms:modified xsi:type="dcterms:W3CDTF">2026-10-29T13:47:13Z</dcterms:modified>
</cp:coreProperties>
</file>