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AI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El asistente inteligente de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Sistema experto, lógica difusa, modelos de aprendizaje automático, agente reactivo, pronóstico, análisis de flota y aprendizaje continuo con las lecturas de los cultivos reales.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SmartPot-AI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1.2 · octubre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74"/>
        <w:gridCol w:w="6886"/>
      </w:tblGrid>
      <w:tr>
        <w:trPr>
          <w:cantSplit/>
          <w:tblHeader/>
        </w:trPr>
        <w:tc>
          <w:tcPr>
            <w:tcW w:w="24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8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SmartPot-AI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1.2 · octubre 2026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Cómo razona el asistente, aprendizaje continuo, análisis de flota, contrato, configuración, pruebas y operación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ciclo de vida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Propósito</w:t>
        </w:r>
      </w:hyperlink>
    </w:p>
    <w:p>
      <w:pPr>
        <w:ind w:left="0"/>
        <w:spacing w:before="100" w:after="30" w:line="252" w:lineRule="auto"/>
      </w:pPr>
      <w:hyperlink w:anchor="sec_106" w:history="1">
        <w:r>
          <w:rPr>
            <w:b/>
            <w:bCs/>
            <w:color w:val="0B3D2B"/>
            <w:sz w:val="21"/>
            <w:szCs w:val="21"/>
          </w:rPr>
          <w:t xml:space="preserve">2. Arquitectura del componente</w:t>
        </w:r>
      </w:hyperlink>
    </w:p>
    <w:p>
      <w:pPr>
        <w:ind w:left="0"/>
        <w:spacing w:before="100" w:after="30" w:line="252" w:lineRule="auto"/>
      </w:pPr>
      <w:hyperlink w:anchor="sec_109" w:history="1">
        <w:r>
          <w:rPr>
            <w:b/>
            <w:bCs/>
            <w:color w:val="0B3D2B"/>
            <w:sz w:val="21"/>
            <w:szCs w:val="21"/>
          </w:rPr>
          <w:t xml:space="preserve">3. Cómo razona una evaluación</w:t>
        </w:r>
      </w:hyperlink>
    </w:p>
    <w:p>
      <w:pPr>
        <w:ind w:left="0"/>
        <w:spacing w:before="100" w:after="30" w:line="252" w:lineRule="auto"/>
      </w:pPr>
      <w:hyperlink w:anchor="sec_111" w:history="1">
        <w:r>
          <w:rPr>
            <w:b/>
            <w:bCs/>
            <w:color w:val="0B3D2B"/>
            <w:sz w:val="21"/>
            <w:szCs w:val="21"/>
          </w:rPr>
          <w:t xml:space="preserve">4. Aprendizaje continuo</w:t>
        </w:r>
      </w:hyperlink>
    </w:p>
    <w:p>
      <w:pPr>
        <w:ind w:left="0"/>
        <w:spacing w:before="100" w:after="30" w:line="252" w:lineRule="auto"/>
      </w:pPr>
      <w:hyperlink w:anchor="sec_113" w:history="1">
        <w:r>
          <w:rPr>
            <w:b/>
            <w:bCs/>
            <w:color w:val="0B3D2B"/>
            <w:sz w:val="21"/>
            <w:szCs w:val="21"/>
          </w:rPr>
          <w:t xml:space="preserve">5. Análisis de flota</w:t>
        </w:r>
      </w:hyperlink>
    </w:p>
    <w:p>
      <w:pPr>
        <w:ind w:left="0"/>
        <w:spacing w:before="100" w:after="30" w:line="252" w:lineRule="auto"/>
      </w:pPr>
      <w:hyperlink w:anchor="sec_115" w:history="1">
        <w:r>
          <w:rPr>
            <w:b/>
            <w:bCs/>
            <w:color w:val="0B3D2B"/>
            <w:sz w:val="21"/>
            <w:szCs w:val="21"/>
          </w:rPr>
          <w:t xml:space="preserve">6. Contrato</w:t>
        </w:r>
      </w:hyperlink>
    </w:p>
    <w:p>
      <w:pPr>
        <w:ind w:left="0"/>
        <w:spacing w:before="100" w:after="30" w:line="252" w:lineRule="auto"/>
      </w:pPr>
      <w:hyperlink w:anchor="sec_116" w:history="1">
        <w:r>
          <w:rPr>
            <w:b/>
            <w:bCs/>
            <w:color w:val="0B3D2B"/>
            <w:sz w:val="21"/>
            <w:szCs w:val="21"/>
          </w:rPr>
          <w:t xml:space="preserve">7. Configuración</w:t>
        </w:r>
      </w:hyperlink>
    </w:p>
    <w:p>
      <w:pPr>
        <w:ind w:left="0"/>
        <w:spacing w:before="100" w:after="30" w:line="252" w:lineRule="auto"/>
      </w:pPr>
      <w:hyperlink w:anchor="sec_117" w:history="1">
        <w:r>
          <w:rPr>
            <w:b/>
            <w:bCs/>
            <w:color w:val="0B3D2B"/>
            <w:sz w:val="21"/>
            <w:szCs w:val="21"/>
          </w:rPr>
          <w:t xml:space="preserve">8. Pruebas</w:t>
        </w:r>
      </w:hyperlink>
    </w:p>
    <w:p>
      <w:pPr>
        <w:ind w:left="0"/>
        <w:spacing w:before="100" w:after="30" w:line="252" w:lineRule="auto"/>
      </w:pPr>
      <w:hyperlink w:anchor="sec_118" w:history="1">
        <w:r>
          <w:rPr>
            <w:b/>
            <w:bCs/>
            <w:color w:val="0B3D2B"/>
            <w:sz w:val="21"/>
            <w:szCs w:val="21"/>
          </w:rPr>
          <w:t xml:space="preserve">9. Operación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El componente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SmartPot-AI es el agrónomo de la plataforma. La API le manda la última lectura de un cultivo, su historial, sus actuadores, dónde está y el clima de afuera; el asistente responde cómo está (un índice de salud de 0 a 100), por qué, qué va a pasar en las próximas horas y qué conviene hacer. Además aprende sin parar de las lecturas de los cultivos reales de cada especie, sin saber de qué cuenta viene cada una. Es un servicio interno: solo la API lo consulta, con un token.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004"/>
        <w:gridCol w:w="7356"/>
      </w:tblGrid>
      <w:tr>
        <w:trPr>
          <w:cantSplit/>
          <w:tblHeader/>
        </w:trPr>
        <w:tc>
          <w:tcPr>
            <w:tcW w:w="200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TÉCNICA</w:t>
            </w:r>
          </w:p>
        </w:tc>
        <w:tc>
          <w:tcPr>
            <w:tcW w:w="735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RESUELVE</w:t>
            </w:r>
          </w:p>
        </w:tc>
      </w:tr>
      <w:tr>
        <w:trPr>
          <w:cantSplit/>
        </w:trPr>
        <w:tc>
          <w:tcPr>
            <w:tcW w:w="20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Sistema experto</w:t>
            </w:r>
          </w:p>
        </w:tc>
        <w:tc>
          <w:tcPr>
            <w:tcW w:w="73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Diagnóstico por variable y conclusiones encadenadas con su explicación</w:t>
            </w:r>
          </w:p>
        </w:tc>
      </w:tr>
      <w:tr>
        <w:trPr>
          <w:cantSplit/>
        </w:trPr>
        <w:tc>
          <w:tcPr>
            <w:tcW w:w="20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Lógica difusa</w:t>
            </w:r>
          </w:p>
        </w:tc>
        <w:tc>
          <w:tcPr>
            <w:tcW w:w="735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Índice de salud que tolera la incertidumbre de los sensores</w:t>
            </w:r>
          </w:p>
        </w:tc>
      </w:tr>
      <w:tr>
        <w:trPr>
          <w:cantSplit/>
        </w:trPr>
        <w:tc>
          <w:tcPr>
            <w:tcW w:w="20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Aprendizaje automático</w:t>
            </w:r>
          </w:p>
        </w:tc>
        <w:tc>
          <w:tcPr>
            <w:tcW w:w="73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Ventilación, corrección de pH y lecturas atípicas</w:t>
            </w:r>
          </w:p>
        </w:tc>
      </w:tr>
      <w:tr>
        <w:trPr>
          <w:cantSplit/>
        </w:trPr>
        <w:tc>
          <w:tcPr>
            <w:tcW w:w="20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Pronóstico</w:t>
            </w:r>
          </w:p>
        </w:tc>
        <w:tc>
          <w:tcPr>
            <w:tcW w:w="735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Tendencia de cada variable y horas hasta salir del rango</w:t>
            </w:r>
          </w:p>
        </w:tc>
      </w:tr>
      <w:tr>
        <w:trPr>
          <w:cantSplit/>
        </w:trPr>
        <w:tc>
          <w:tcPr>
            <w:tcW w:w="20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Agente reactivo</w:t>
            </w:r>
          </w:p>
        </w:tc>
        <w:tc>
          <w:tcPr>
            <w:tcW w:w="73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Acciones sobre los actuadores que el cultivo sí tiene</w:t>
            </w:r>
          </w:p>
        </w:tc>
      </w:tr>
      <w:tr>
        <w:trPr>
          <w:cantSplit/>
        </w:trPr>
        <w:tc>
          <w:tcPr>
            <w:tcW w:w="20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Análisis de flota</w:t>
            </w:r>
          </w:p>
        </w:tc>
        <w:tc>
          <w:tcPr>
            <w:tcW w:w="735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Ranking, problemas del entorno, grupos y acciones en bloque</w:t>
            </w:r>
          </w:p>
        </w:tc>
      </w:tr>
      <w:tr>
        <w:trPr>
          <w:cantSplit/>
        </w:trPr>
        <w:tc>
          <w:tcPr>
            <w:tcW w:w="20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Consejo de lugar</w:t>
            </w:r>
          </w:p>
        </w:tc>
        <w:tc>
          <w:tcPr>
            <w:tcW w:w="73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 el lugar le sirve a la especie y cuándo conviene moverla</w:t>
            </w:r>
          </w:p>
        </w:tc>
      </w:tr>
      <w:tr>
        <w:trPr>
          <w:cantSplit/>
        </w:trPr>
        <w:tc>
          <w:tcPr>
            <w:tcW w:w="20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Aprendizaje continuo</w:t>
            </w:r>
          </w:p>
        </w:tc>
        <w:tc>
          <w:tcPr>
            <w:tcW w:w="735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Modelos que mejoran con las lecturas reales y solo reemplazan al vigente si lo superan</w:t>
            </w:r>
          </w:p>
        </w:tc>
      </w:tr>
      <w:tr>
        <w:trPr>
          <w:cantSplit/>
        </w:trPr>
        <w:tc>
          <w:tcPr>
            <w:tcW w:w="20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Aceleración C++ nativa</w:t>
            </w:r>
          </w:p>
        </w:tc>
        <w:tc>
          <w:tcPr>
            <w:tcW w:w="73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Cómputo numérico directo en C++20 (Theil-Sen $O(M)$ lineal, Sugeno SIMD, calidad IQR y normalización) con C ABI y fallback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6" w:name="sec_106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6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229600" cy="1275256"/>
            <wp:docPr id="107" name="SmartPot_AI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SmartPot_AI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27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SmartPot-AI por dentro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pStyle w:val="Heading2"/>
      </w:pPr>
      <w:bookmarkStart w:id="108" w:name="sec_108"/>
      <w:r>
        <w:rPr>
          <w:b/>
          <w:bCs/>
          <w:color w:val="067A52"/>
          <w:sz w:val="25"/>
          <w:szCs w:val="25"/>
        </w:rPr>
        <w:t xml:space="preserve">Motor Nativo C++20 de Aceleración Numérica</w:t>
      </w:r>
      <w:bookmarkEnd w:id="108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Para optimizar de forma extrema la latencia, el uso de memoria RAM y la escalabilidad concurrente bajo ráfagas intensivas de peticiones, los algoritmos numéricos de cálculo pesado han sido reescritos directamente en </w:t>
      </w:r>
      <w:r>
        <w:rPr>
          <w:b/>
          <w:bCs/>
          <w:color w:val="17261F"/>
          <w:sz w:val="20"/>
          <w:szCs w:val="20"/>
        </w:rPr>
        <w:t xml:space="preserve">C++20</w:t>
      </w:r>
      <w:r>
        <w:rPr>
          <w:color w:val="17261F"/>
          <w:sz w:val="20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src/native/</w:t>
      </w:r>
      <w:r>
        <w:rPr>
          <w:color w:val="17261F"/>
          <w:sz w:val="20"/>
          <w:szCs w:val="20"/>
        </w:rPr>
        <w:t xml:space="preserve">):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Estimador Theil-Sen $O(M)$ Lineal</w:t>
      </w:r>
      <w:r>
        <w:rPr>
          <w:color w:val="17261F"/>
          <w:sz w:val="20"/>
          <w:szCs w:val="20"/>
        </w:rPr>
        <w:t xml:space="preserve">: El cálculo tradicional de Theil-Sen requiere comparar todos los pares de lecturas temporales ($M = N(N-1)/2$). En Python/NumPy esto creaba matrices temporales masivas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np.triu_indices</w:t>
      </w:r>
      <w:r>
        <w:rPr>
          <w:color w:val="17261F"/>
          <w:sz w:val="20"/>
          <w:szCs w:val="20"/>
        </w:rPr>
        <w:t xml:space="preserve">) y ordenaciones $O(M \log M)$. En C++20, se utiliza selección lineal en tiempo $O(M)$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std::nth_element</w:t>
      </w:r>
      <w:r>
        <w:rPr>
          <w:color w:val="17261F"/>
          <w:sz w:val="20"/>
          <w:szCs w:val="20"/>
        </w:rPr>
        <w:t xml:space="preserve">, logrando entre </w:t>
      </w:r>
      <w:r>
        <w:rPr>
          <w:b/>
          <w:bCs/>
          <w:color w:val="17261F"/>
          <w:sz w:val="20"/>
          <w:szCs w:val="20"/>
        </w:rPr>
        <w:t xml:space="preserve">3.6x y 50x de aceleración</w:t>
      </w:r>
      <w:r>
        <w:rPr>
          <w:color w:val="17261F"/>
          <w:sz w:val="20"/>
          <w:szCs w:val="20"/>
        </w:rPr>
        <w:t xml:space="preserve"> con huella de memoria nula y cero fragmentación del heap.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Inferencia Difusa Sugeno Vectorizada</w:t>
      </w:r>
      <w:r>
        <w:rPr>
          <w:color w:val="17261F"/>
          <w:sz w:val="20"/>
          <w:szCs w:val="20"/>
        </w:rPr>
        <w:t xml:space="preserve">: Funciones de pertenencia trapezoidal branchless (sin saltos condicionales) y ponderación de reglas mediante constantes en tiempo de compilación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constexpr</w:t>
      </w:r>
      <w:r>
        <w:rPr>
          <w:color w:val="17261F"/>
          <w:sz w:val="20"/>
          <w:szCs w:val="20"/>
        </w:rPr>
        <w:t xml:space="preserve">), con cálculo en tiempo sub-milisegundo.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Control de Calidad de Datos (IQR)</w:t>
      </w:r>
      <w:r>
        <w:rPr>
          <w:color w:val="17261F"/>
          <w:sz w:val="20"/>
          <w:szCs w:val="20"/>
        </w:rPr>
        <w:t xml:space="preserve">: Evaluación de completitud, validación física contra límites de sensores y detección de espigas anómalas en lotes de hasta 20 000 lecturas mediante percentiles en tiempo lineal.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Transformación de Características y Codificación Circular</w:t>
      </w:r>
      <w:r>
        <w:rPr>
          <w:color w:val="17261F"/>
          <w:sz w:val="20"/>
          <w:szCs w:val="20"/>
        </w:rPr>
        <w:t xml:space="preserve">: Normalización de tolerancia relativa y codificación trigonométrica continua de hora solar ($\sin$, $\cos$).</w:t>
      </w:r>
    </w:p>
    <w:p>
      <w:pPr>
        <w:numPr>
          <w:ilvl w:val="0"/>
          <w:numId w:val="1"/>
        </w:numPr>
        <w:ind w:left="360" w:hanging="260"/>
        <w:spacing w:before="0" w:after="60" w:line="276" w:lineRule="auto"/>
      </w:pPr>
      <w:r>
        <w:rPr>
          <w:b/>
          <w:bCs/>
          <w:color w:val="17261F"/>
          <w:sz w:val="20"/>
          <w:szCs w:val="20"/>
        </w:rPr>
        <w:t xml:space="preserve">C ABI y Fallback Transparente</w:t>
      </w:r>
      <w:r>
        <w:rPr>
          <w:color w:val="17261F"/>
          <w:sz w:val="20"/>
          <w:szCs w:val="20"/>
        </w:rPr>
        <w:t xml:space="preserve">: Enlazado mediante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ctypes</w:t>
      </w:r>
      <w:r>
        <w:rPr>
          <w:color w:val="17261F"/>
          <w:sz w:val="20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app/engine/native_bridge.py</w:t>
      </w:r>
      <w:r>
        <w:rPr>
          <w:color w:val="17261F"/>
          <w:sz w:val="20"/>
          <w:szCs w:val="20"/>
        </w:rPr>
        <w:t xml:space="preserve">) con estructuras de memoria empaquetadas a 8 bytes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#pragma pack(push, 8)</w:t>
      </w:r>
      <w:r>
        <w:rPr>
          <w:color w:val="17261F"/>
          <w:sz w:val="20"/>
          <w:szCs w:val="20"/>
        </w:rPr>
        <w:t xml:space="preserve">). Si la biblioteca no está compilada en el entorno, el sistema degrada de manera transparente a las rutinas estándar de Python garantizando 100% de disponibilidad.</w:t>
      </w:r>
    </w:p>
    <w:p>
      <w:pPr>
        <w:spacing w:before="4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Razonamiento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9" w:name="sec_109"/>
      <w:r>
        <w:rPr>
          <w:b/>
          <w:bCs/>
          <w:color w:val="0B3D2B"/>
          <w:sz w:val="34"/>
          <w:szCs w:val="34"/>
        </w:rPr>
        <w:t xml:space="preserve">Cómo razona una evaluación</w:t>
      </w:r>
      <w:bookmarkEnd w:id="109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1279603" cy="7112000"/>
            <wp:docPr id="110" name="SmartPot_AI_01_Insight_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SmartPot_AI_01_Insight_Pipeline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279603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De la lectura a la respuesta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895"/>
        <w:gridCol w:w="7465"/>
      </w:tblGrid>
      <w:tr>
        <w:trPr>
          <w:cantSplit/>
          <w:tblHeader/>
        </w:trPr>
        <w:tc>
          <w:tcPr>
            <w:tcW w:w="189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PASO</w:t>
            </w:r>
          </w:p>
        </w:tc>
        <w:tc>
          <w:tcPr>
            <w:tcW w:w="746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w="189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Base de conocimiento</w:t>
            </w:r>
          </w:p>
        </w:tc>
        <w:tc>
          <w:tcPr>
            <w:tcW w:w="74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Rangos ideales de lechuga, tomate, fresa, albahaca, espinaca y pimentón en la escala de los sensores; una variable fuera de rango se mide en tolerancias y desde una completa es crítica</w:t>
            </w:r>
          </w:p>
        </w:tc>
      </w:tr>
      <w:tr>
        <w:trPr>
          <w:cantSplit/>
        </w:trPr>
        <w:tc>
          <w:tcPr>
            <w:tcW w:w="189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Noche</w:t>
            </w:r>
          </w:p>
        </w:tc>
        <w:tc>
          <w:tcPr>
            <w:tcW w:w="746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Entre las 22:00 y las 6:00 la luz baja es descanso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REST</w:t>
            </w:r>
            <w:r>
              <w:rPr>
                <w:color w:val="17261F"/>
                <w:sz w:val="17"/>
                <w:szCs w:val="17"/>
              </w:rPr>
              <w:t xml:space="preserve">) y no resta salud</w:t>
            </w:r>
          </w:p>
        </w:tc>
      </w:tr>
      <w:tr>
        <w:trPr>
          <w:cantSplit/>
        </w:trPr>
        <w:tc>
          <w:tcPr>
            <w:tcW w:w="189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Modelos base</w:t>
            </w:r>
          </w:p>
        </w:tc>
        <w:tc>
          <w:tcPr>
            <w:tcW w:w="74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entrenan al arrancar con 4000 muestras sintéticas y semilla fija;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GET /v1/models</w:t>
            </w:r>
            <w:r>
              <w:rPr>
                <w:color w:val="17261F"/>
                <w:sz w:val="17"/>
                <w:szCs w:val="17"/>
              </w:rPr>
              <w:t xml:space="preserve"> informa su exactitud</w:t>
            </w:r>
          </w:p>
        </w:tc>
      </w:tr>
      <w:tr>
        <w:trPr>
          <w:cantSplit/>
        </w:trPr>
        <w:tc>
          <w:tcPr>
            <w:tcW w:w="189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Reglas</w:t>
            </w:r>
          </w:p>
        </w:tc>
        <w:tc>
          <w:tcPr>
            <w:tcW w:w="746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Encadenamiento hacia adelante con prioridades;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sensor_fault</w:t>
            </w:r>
            <w:r>
              <w:rPr>
                <w:color w:val="17261F"/>
                <w:sz w:val="17"/>
                <w:szCs w:val="17"/>
              </w:rPr>
              <w:t xml:space="preserve"> bloquea las acciones si la lectura es imposible</w:t>
            </w:r>
          </w:p>
        </w:tc>
      </w:tr>
      <w:tr>
        <w:trPr>
          <w:cantSplit/>
        </w:trPr>
        <w:tc>
          <w:tcPr>
            <w:tcW w:w="189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Agente</w:t>
            </w:r>
          </w:p>
        </w:tc>
        <w:tc>
          <w:tcPr>
            <w:tcW w:w="74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Riego (no con lluvia sobre un cultivo al aire libre), luz ultravioleta de día (y apagarla de noche), ventilación, humidificador y dosificadores, solo si el cultivo tiene el actuador; la API aplica el enfriamiento y el modo automático</w:t>
            </w:r>
          </w:p>
        </w:tc>
      </w:tr>
      <w:tr>
        <w:trPr>
          <w:cantSplit/>
        </w:trPr>
        <w:tc>
          <w:tcPr>
            <w:tcW w:w="189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Lugar y clima</w:t>
            </w:r>
          </w:p>
        </w:tc>
        <w:tc>
          <w:tcPr>
            <w:tcW w:w="746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placement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weather</w:t>
            </w:r>
            <w:r>
              <w:rPr>
                <w:color w:val="17261F"/>
                <w:sz w:val="17"/>
                <w:szCs w:val="17"/>
              </w:rPr>
              <w:t xml:space="preserve">: consejo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OK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UNKNOWN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TIP</w:t>
            </w:r>
            <w:r>
              <w:rPr>
                <w:color w:val="17261F"/>
                <w:sz w:val="17"/>
                <w:szCs w:val="17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MOVE</w:t>
            </w:r>
            <w:r>
              <w:rPr>
                <w:color w:val="17261F"/>
                <w:sz w:val="17"/>
                <w:szCs w:val="17"/>
              </w:rPr>
              <w:t xml:space="preserve"> según la luz que pide la especie; reglas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rain_outside</w:t>
            </w:r>
            <w:r>
              <w:rPr>
                <w:color w:val="17261F"/>
                <w:sz w:val="17"/>
                <w:szCs w:val="17"/>
              </w:rPr>
              <w:t xml:space="preserve"> (0,5 mm o más)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sensor_vs_outside</w:t>
            </w:r>
            <w:r>
              <w:rPr>
                <w:color w:val="17261F"/>
                <w:sz w:val="17"/>
                <w:szCs w:val="17"/>
              </w:rPr>
              <w:t xml:space="preserve"> (8 °C o más de diferencia con el clima)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1" w:name="sec_111"/>
      <w:r>
        <w:rPr>
          <w:b/>
          <w:bCs/>
          <w:color w:val="0B3D2B"/>
          <w:sz w:val="34"/>
          <w:szCs w:val="34"/>
        </w:rPr>
        <w:t xml:space="preserve">Aprendizaje continuo</w:t>
      </w:r>
      <w:bookmarkEnd w:id="111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229600" cy="1067126"/>
            <wp:docPr id="112" name="SmartPot_AI_02_Learning_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SmartPot_AI_02_Learning_Cycle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06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Ciclo del aprendizaje continuo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Solo aprende de cultivos </w:t>
      </w:r>
      <w:r>
        <w:rPr>
          <w:b/>
          <w:bCs/>
          <w:color w:val="17261F"/>
          <w:sz w:val="20"/>
          <w:szCs w:val="20"/>
        </w:rPr>
        <w:t xml:space="preserve">reales</w:t>
      </w:r>
      <w:r>
        <w:rPr>
          <w:color w:val="17261F"/>
          <w:sz w:val="20"/>
          <w:szCs w:val="20"/>
        </w:rPr>
        <w:t xml:space="preserve">: la API no envía las lecturas de los cultivos virtuales, que son sintéticas. Cada especie entrena por separado y en un proceso aparte para no frenar las evaluaciones; una tarea queda pendiente, con su razón, mientras falten datos o casos. Borrar un cultivo borra sus lecturas.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3" w:name="sec_113"/>
      <w:r>
        <w:rPr>
          <w:b/>
          <w:bCs/>
          <w:color w:val="0B3D2B"/>
          <w:sz w:val="34"/>
          <w:szCs w:val="34"/>
        </w:rPr>
        <w:t xml:space="preserve">Análisis de flota</w:t>
      </w:r>
      <w:bookmarkEnd w:id="113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3052419"/>
            <wp:docPr id="114" name="SmartPot_AI_03_Fleet_Analys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SmartPot_AI_03_Fleet_Analysis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4</w:t>
      </w:r>
      <w:r>
        <w:rPr>
          <w:i/>
          <w:iCs/>
          <w:color w:val="5B6B63"/>
          <w:sz w:val="16"/>
          <w:szCs w:val="16"/>
        </w:rPr>
        <w:t xml:space="preserve">  ·  Análisis de todos los cultivos de una cuenta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Operación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15" w:name="sec_115"/>
      <w:r>
        <w:rPr>
          <w:b/>
          <w:bCs/>
          <w:color w:val="0B3D2B"/>
          <w:sz w:val="34"/>
          <w:szCs w:val="34"/>
        </w:rPr>
        <w:t xml:space="preserve">Contrato</w:t>
      </w:r>
      <w:bookmarkEnd w:id="11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Todas las rutas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/v1</w:t>
      </w:r>
      <w:r>
        <w:rPr>
          <w:color w:val="17261F"/>
          <w:sz w:val="20"/>
          <w:szCs w:val="20"/>
        </w:rPr>
        <w:t xml:space="preserve"> exigen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Authorization: Bearer &lt;SMARTPOT_AI_TOKEN&gt;</w:t>
      </w:r>
      <w:r>
        <w:rPr>
          <w:color w:val="17261F"/>
          <w:sz w:val="20"/>
          <w:szCs w:val="20"/>
        </w:rPr>
        <w:t xml:space="preserve">; el </w:t>
      </w:r>
      <w:r>
        <w:rPr>
          <w:color w:val="1F6FA0"/>
          <w:sz w:val="20"/>
          <w:szCs w:val="20"/>
        </w:rPr>
        <w:t xml:space="preserve">README</w:t>
      </w:r>
      <w:r>
        <w:rPr>
          <w:color w:val="17261F"/>
          <w:sz w:val="20"/>
          <w:szCs w:val="20"/>
        </w:rPr>
        <w:t xml:space="preserve"> trae ejemplos de petición y respuesta.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183"/>
        <w:gridCol w:w="3906"/>
        <w:gridCol w:w="4271"/>
      </w:tblGrid>
      <w:tr>
        <w:trPr>
          <w:cantSplit/>
          <w:tblHeader/>
        </w:trPr>
        <w:tc>
          <w:tcPr>
            <w:tcW w:w="118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MÉTODO</w:t>
            </w:r>
          </w:p>
        </w:tc>
        <w:tc>
          <w:tcPr>
            <w:tcW w:w="390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RUTA</w:t>
            </w:r>
          </w:p>
        </w:tc>
        <w:tc>
          <w:tcPr>
            <w:tcW w:w="427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GET</w:t>
            </w:r>
          </w:p>
        </w:tc>
        <w:tc>
          <w:tcPr>
            <w:tcW w:w="39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/health</w:t>
            </w:r>
          </w:p>
        </w:tc>
        <w:tc>
          <w:tcPr>
            <w:tcW w:w="42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Estado de los modelos y del almacén de aprendizaje</w:t>
            </w:r>
          </w:p>
        </w:tc>
      </w:tr>
      <w:tr>
        <w:trPr>
          <w:cantSplit/>
        </w:trPr>
        <w:tc>
          <w:tcPr>
            <w:tcW w:w="11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POST</w:t>
            </w:r>
          </w:p>
        </w:tc>
        <w:tc>
          <w:tcPr>
            <w:tcW w:w="39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/v1/insights</w:t>
            </w:r>
          </w:p>
        </w:tc>
        <w:tc>
          <w:tcPr>
            <w:tcW w:w="427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Evalúa una lectura</w:t>
            </w:r>
          </w:p>
        </w:tc>
      </w:tr>
      <w:tr>
        <w:trPr>
          <w:cantSplit/>
        </w:trPr>
        <w:tc>
          <w:tcPr>
            <w:tcW w:w="11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POST</w:t>
            </w:r>
          </w:p>
        </w:tc>
        <w:tc>
          <w:tcPr>
            <w:tcW w:w="39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/v1/fleet</w:t>
            </w:r>
          </w:p>
        </w:tc>
        <w:tc>
          <w:tcPr>
            <w:tcW w:w="42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Analiza todos los cultivos de una cuenta</w:t>
            </w:r>
          </w:p>
        </w:tc>
      </w:tr>
      <w:tr>
        <w:trPr>
          <w:cantSplit/>
        </w:trPr>
        <w:tc>
          <w:tcPr>
            <w:tcW w:w="11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GET</w:t>
            </w:r>
          </w:p>
        </w:tc>
        <w:tc>
          <w:tcPr>
            <w:tcW w:w="39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/v1/crop-profiles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/v1/models</w:t>
            </w:r>
          </w:p>
        </w:tc>
        <w:tc>
          <w:tcPr>
            <w:tcW w:w="427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Base de conocimiento y exactitud de los modelos base</w:t>
            </w:r>
          </w:p>
        </w:tc>
      </w:tr>
      <w:tr>
        <w:trPr>
          <w:cantSplit/>
        </w:trPr>
        <w:tc>
          <w:tcPr>
            <w:tcW w:w="11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GET</w:t>
            </w:r>
          </w:p>
        </w:tc>
        <w:tc>
          <w:tcPr>
            <w:tcW w:w="39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/v1/engine</w:t>
            </w:r>
          </w:p>
        </w:tc>
        <w:tc>
          <w:tcPr>
            <w:tcW w:w="42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Telemetría, versión y compilación del motor C++20</w:t>
            </w:r>
          </w:p>
        </w:tc>
      </w:tr>
      <w:tr>
        <w:trPr>
          <w:cantSplit/>
        </w:trPr>
        <w:tc>
          <w:tcPr>
            <w:tcW w:w="11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POST, GET</w:t>
            </w:r>
          </w:p>
        </w:tc>
        <w:tc>
          <w:tcPr>
            <w:tcW w:w="39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/v1/learning/readings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/v1/learning/status</w:t>
            </w:r>
          </w:p>
        </w:tc>
        <w:tc>
          <w:tcPr>
            <w:tcW w:w="427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Recibe lecturas reales por lote; informa lo aprendido por especie</w:t>
            </w:r>
          </w:p>
        </w:tc>
      </w:tr>
      <w:tr>
        <w:trPr>
          <w:cantSplit/>
        </w:trPr>
        <w:tc>
          <w:tcPr>
            <w:tcW w:w="11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POST, DELETE</w:t>
            </w:r>
          </w:p>
        </w:tc>
        <w:tc>
          <w:tcPr>
            <w:tcW w:w="39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/v1/learning/train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/v1/learning/crops/{cropId}</w:t>
            </w:r>
          </w:p>
        </w:tc>
        <w:tc>
          <w:tcPr>
            <w:tcW w:w="42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Entrena ya; olvida un cultivo borrado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16" w:name="sec_116"/>
      <w:r>
        <w:rPr>
          <w:b/>
          <w:bCs/>
          <w:color w:val="0B3D2B"/>
          <w:sz w:val="34"/>
          <w:szCs w:val="34"/>
        </w:rPr>
        <w:t xml:space="preserve">Configuración</w:t>
      </w:r>
      <w:bookmarkEnd w:id="116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534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40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SMARTPOT_AI_TOKEN</w:t>
            </w:r>
          </w:p>
        </w:tc>
        <w:tc>
          <w:tcPr>
            <w:tcW w:w="5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Token de servicio, al menos 24 caracteres</w:t>
            </w:r>
          </w:p>
        </w:tc>
      </w:tr>
      <w:tr>
        <w:trPr>
          <w:cantSplit/>
        </w:trPr>
        <w:tc>
          <w:tcPr>
            <w:tcW w:w="401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DOCS_ENABLED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LOG_LEVEL</w:t>
            </w:r>
          </w:p>
        </w:tc>
        <w:tc>
          <w:tcPr>
            <w:tcW w:w="534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Documentación interactiva y nivel de registro</w:t>
            </w:r>
          </w:p>
        </w:tc>
      </w:tr>
      <w:tr>
        <w:trPr>
          <w:cantSplit/>
        </w:trPr>
        <w:tc>
          <w:tcPr>
            <w:tcW w:w="40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MODEL_SEED</w:t>
            </w:r>
          </w:p>
        </w:tc>
        <w:tc>
          <w:tcPr>
            <w:tcW w:w="5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Semilla de los modelos base</w:t>
            </w:r>
          </w:p>
        </w:tc>
      </w:tr>
      <w:tr>
        <w:trPr>
          <w:cantSplit/>
        </w:trPr>
        <w:tc>
          <w:tcPr>
            <w:tcW w:w="401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DATA_DIR</w:t>
            </w:r>
          </w:p>
        </w:tc>
        <w:tc>
          <w:tcPr>
            <w:tcW w:w="534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Carpeta de SQLite y modelos (volumen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/data</w:t>
            </w:r>
            <w:r>
              <w:rPr>
                <w:color w:val="17261F"/>
                <w:sz w:val="17"/>
                <w:szCs w:val="17"/>
              </w:rPr>
              <w:t xml:space="preserve"> en la imagen)</w:t>
            </w:r>
          </w:p>
        </w:tc>
      </w:tr>
      <w:tr>
        <w:trPr>
          <w:cantSplit/>
        </w:trPr>
        <w:tc>
          <w:tcPr>
            <w:tcW w:w="40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LEARNING_MIN_SAMPLES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LEARNING_RETRAIN_EVERY</w:t>
            </w:r>
          </w:p>
        </w:tc>
        <w:tc>
          <w:tcPr>
            <w:tcW w:w="5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Lecturas para el primer entrenamiento y cada cuántas nuevas se reentrena</w:t>
            </w:r>
          </w:p>
        </w:tc>
      </w:tr>
      <w:tr>
        <w:trPr>
          <w:cantSplit/>
        </w:trPr>
        <w:tc>
          <w:tcPr>
            <w:tcW w:w="401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LEARNING_CHECK_SECONDS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LEARNING_RETENTION_DAYS</w:t>
            </w:r>
          </w:p>
        </w:tc>
        <w:tc>
          <w:tcPr>
            <w:tcW w:w="534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cuánto revisa si toca entrenar y cuántos días guarda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08</w:t>
      </w:r>
    </w:p>
    <w:p>
      <w:pPr>
        <w:pStyle w:val="Heading1"/>
      </w:pPr>
      <w:bookmarkStart w:id="117" w:name="sec_117"/>
      <w:r>
        <w:rPr>
          <w:b/>
          <w:bCs/>
          <w:color w:val="0B3D2B"/>
          <w:sz w:val="34"/>
          <w:szCs w:val="34"/>
        </w:rPr>
        <w:t xml:space="preserve">Pruebas</w:t>
      </w:r>
      <w:bookmarkEnd w:id="117"/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uv run ruff check .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uv run pytest</w:t>
      </w:r>
      <w:r>
        <w:rPr>
          <w:color w:val="17261F"/>
          <w:sz w:val="20"/>
          <w:szCs w:val="20"/>
        </w:rPr>
        <w:t xml:space="preserve">: 92 pruebas sobre la base de conocimiento, paridad matemática y numérica exacta entre Python y C++ (&lt; 10⁻⁶), encadenamiento de reglas, la monotonía del índice difuso, la exactitud mínima de los modelos, el pronóstico, el agente, la lluvia y el sensor frente al clima, el consejo de lugar, la flota, el contrato HTTP, telemetría del motor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/v1/engine</w:t>
      </w:r>
      <w:r>
        <w:rPr>
          <w:color w:val="17261F"/>
          <w:sz w:val="20"/>
          <w:szCs w:val="20"/>
        </w:rPr>
        <w:t xml:space="preserve">) y el aprendizaje continuo (seudonimización, poda, calidad, etiquetas, modelos que superan a la línea base, campeón y retador, persistencia).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09</w:t>
      </w:r>
    </w:p>
    <w:p>
      <w:pPr>
        <w:pStyle w:val="Heading1"/>
      </w:pPr>
      <w:bookmarkStart w:id="118" w:name="sec_118"/>
      <w:r>
        <w:rPr>
          <w:b/>
          <w:bCs/>
          <w:color w:val="0B3D2B"/>
          <w:sz w:val="34"/>
          <w:szCs w:val="34"/>
        </w:rPr>
        <w:t xml:space="preserve">Operación</w:t>
      </w:r>
      <w:bookmarkEnd w:id="118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528"/>
        <w:gridCol w:w="7832"/>
      </w:tblGrid>
      <w:tr>
        <w:trPr>
          <w:cantSplit/>
          <w:tblHeader/>
        </w:trPr>
        <w:tc>
          <w:tcPr>
            <w:tcW w:w="152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TAREA</w:t>
            </w:r>
          </w:p>
        </w:tc>
        <w:tc>
          <w:tcPr>
            <w:tcW w:w="783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</w:t>
            </w:r>
          </w:p>
        </w:tc>
      </w:tr>
      <w:tr>
        <w:trPr>
          <w:cantSplit/>
        </w:trPr>
        <w:tc>
          <w:tcPr>
            <w:tcW w:w="15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Imagen</w:t>
            </w:r>
          </w:p>
        </w:tc>
        <w:tc>
          <w:tcPr>
            <w:tcW w:w="78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ghcr.io/smartpottech/smartpot-ai</w:t>
            </w:r>
            <w:r>
              <w:rPr>
                <w:color w:val="17261F"/>
                <w:sz w:val="17"/>
                <w:szCs w:val="17"/>
              </w:rPr>
              <w:t xml:space="preserve">: dependencias con uv, usuario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1000</w:t>
            </w:r>
            <w:r>
              <w:rPr>
                <w:color w:val="17261F"/>
                <w:sz w:val="17"/>
                <w:szCs w:val="17"/>
              </w:rPr>
              <w:t xml:space="preserve">, solo lectura;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/data</w:t>
            </w:r>
            <w:r>
              <w:rPr>
                <w:color w:val="17261F"/>
                <w:sz w:val="17"/>
                <w:szCs w:val="17"/>
              </w:rPr>
              <w:t xml:space="preserve"> en un volumen para conservar lo aprendido</w:t>
            </w:r>
          </w:p>
        </w:tc>
      </w:tr>
      <w:tr>
        <w:trPr>
          <w:cantSplit/>
        </w:trPr>
        <w:tc>
          <w:tcPr>
            <w:tcW w:w="15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Red</w:t>
            </w:r>
          </w:p>
        </w:tc>
        <w:tc>
          <w:tcPr>
            <w:tcW w:w="78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Solo en la red interna, sin salida a internet ni puertos publicados</w:t>
            </w:r>
          </w:p>
        </w:tc>
      </w:tr>
      <w:tr>
        <w:trPr>
          <w:cantSplit/>
        </w:trPr>
        <w:tc>
          <w:tcPr>
            <w:tcW w:w="15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Entrenamientos</w:t>
            </w:r>
          </w:p>
        </w:tc>
        <w:tc>
          <w:tcPr>
            <w:tcW w:w="78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docker logs smartpot-ai</w:t>
            </w:r>
            <w:r>
              <w:rPr>
                <w:color w:val="17261F"/>
                <w:sz w:val="17"/>
                <w:szCs w:val="17"/>
              </w:rPr>
              <w:t xml:space="preserve"> muestra cada uno; la PWA los resume en Aprendizaje</w:t>
            </w:r>
          </w:p>
        </w:tc>
      </w:tr>
      <w:tr>
        <w:trPr>
          <w:cantSplit/>
        </w:trPr>
        <w:tc>
          <w:tcPr>
            <w:tcW w:w="15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Despliegue</w:t>
            </w:r>
          </w:p>
        </w:tc>
        <w:tc>
          <w:tcPr>
            <w:tcW w:w="78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cambio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main</w:t>
            </w:r>
            <w:r>
              <w:rPr>
                <w:color w:val="17261F"/>
                <w:sz w:val="17"/>
                <w:szCs w:val="17"/>
              </w:rPr>
              <w:t xml:space="preserve"> pasa por el CI, publica la imagen y pide el despliegue central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9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9" name="Icono"/>
                        <pic:cNvPicPr/>
                      </pic:nvPicPr>
                      <pic:blipFill>
                        <a:blip r:embed="rIdImg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SMARTPOT-AI · V1.2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AI" TargetMode="External"/><Relationship Id="rIdLink5" Type="http://schemas.openxmlformats.org/officeDocument/2006/relationships/hyperlink" Target="https://github.com/SmartPotTech/.github/blob/main/docs/SmartPot_Technical_Documentation.md" TargetMode="External"/><Relationship Id="rIdLink6" Type="http://schemas.openxmlformats.org/officeDocument/2006/relationships/hyperlink" Target="https://github.com/SmartPotTech/.github/blob/main/docs/SmartPot_Project_Journey.md" TargetMode="External"/><Relationship Id="rIdLink7" Type="http://schemas.openxmlformats.org/officeDocument/2006/relationships/hyperlink" Target="https://github.com/SmartPotTech/.github/blob/main/docs/SmartPot_Software_Lifecycle.md" TargetMode="External"/><Relationship Id="rIdLink8" Type="http://schemas.openxmlformats.org/officeDocument/2006/relationships/hyperlink" Target="https://github.com/SmartPotTech/.github/blob/main/docs/README.md#diagramas-generales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SmartPot-AI</dc:title>
  <dc:subject>El asistente inteligente de SmartPot</dc:subject>
  <dc:creator>SmartPotTech</dc:creator>
  <dc:language>es-CO</dc:language>
  <dcterms:created xsi:type="dcterms:W3CDTF">2026-10-31T04:10:02Z</dcterms:created>
  <dcterms:modified xsi:type="dcterms:W3CDTF">2026-10-31T04:10:02Z</dcterms:modified>
</cp:coreProperties>
</file>