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13300" w:hRule="exact"/>
        </w:trPr>
        <w:tc>
          <w:tcPr>
            <w:tcW w:w="12240" w:type="dxa"/>
            <w:shd w:val="clear" w:color="auto" w:fill="0B3D2B"/>
            <w:tcMar>
              <w:top w:w="1500" w:type="dxa"/>
              <w:left w:w="1180" w:type="dxa"/>
              <w:bottom w:w="0" w:type="dxa"/>
              <w:right w:w="1180" w:type="dxa"/>
            </w:tcMar>
            <w:vAlign w:val="top"/>
          </w:tcPr>
          <w:p>
            <w:pPr>
              <w:spacing w:before="0" w:after="2600" w:line="288" w:lineRule="auto"/>
            </w:pPr>
            <w:r>
              <w:drawing>
                <wp:inline distT="0" distB="0" distL="0" distR="0">
                  <wp:extent cx="3000000" cy="628820"/>
                  <wp:docPr id="101" name="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" name="Log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0000" cy="628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anchor distT="0" distB="0" distL="0" distR="0" simplePos="0" relativeHeight="1" behindDoc="0" locked="0" layoutInCell="0" allowOverlap="1">
                  <wp:simplePos x="0" y="0"/>
                  <wp:positionH relativeFrom="page">
                    <wp:posOffset>4050000</wp:posOffset>
                  </wp:positionH>
                  <wp:positionV relativeFrom="page">
                    <wp:posOffset>2350000</wp:posOffset>
                  </wp:positionV>
                  <wp:extent cx="4300000" cy="5495937"/>
                  <wp:effectExtent l="0" t="0" r="0" b="0"/>
                  <wp:wrapNone/>
                  <wp:docPr id="102" name="Marca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Marca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0000" cy="5495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160" w:line="288" w:lineRule="auto"/>
            </w:pPr>
            <w:r>
              <w:rPr>
                <w:b/>
                <w:bCs/>
                <w:caps/>
                <w:color w:val="F2B632"/>
                <w:spacing w:val="50"/>
                <w:sz w:val="17"/>
                <w:szCs w:val="17"/>
              </w:rPr>
              <w:t xml:space="preserve">Documentación del componente</w:t>
            </w:r>
          </w:p>
          <w:p>
            <w:pPr>
              <w:spacing w:before="0" w:after="12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68"/>
                <w:szCs w:val="68"/>
              </w:rPr>
              <w:t xml:space="preserve">SmartPot-</w:t>
            </w:r>
            <w:r>
              <w:rPr>
                <w:rFonts w:ascii="Century Gothic" w:hAnsi="Century Gothic" w:eastAsia="Century Gothic" w:cs="Century Gothic"/>
                <w:b/>
                <w:bCs/>
                <w:color w:val="00B074"/>
                <w:sz w:val="68"/>
                <w:szCs w:val="68"/>
              </w:rPr>
              <w:t xml:space="preserve">AI</w:t>
            </w:r>
          </w:p>
          <w:p>
            <w:pPr>
              <w:spacing w:before="0" w:after="360" w:line="264" w:lineRule="auto"/>
            </w:pPr>
            <w:r>
              <w:rPr>
                <w:rFonts w:ascii="Century Gothic" w:hAnsi="Century Gothic" w:eastAsia="Century Gothic" w:cs="Century Gothic"/>
                <w:i/>
                <w:iCs/>
                <w:color w:val="DDF5EA"/>
                <w:sz w:val="32"/>
                <w:szCs w:val="32"/>
              </w:rPr>
              <w:t xml:space="preserve">El asistente inteligente de SmartPot</w:t>
            </w:r>
          </w:p>
          <w:p>
            <w:pPr>
              <w:ind w:right="3900"/>
              <w:spacing w:before="0" w:after="0" w:line="300" w:lineRule="auto"/>
            </w:pPr>
            <w:r>
              <w:rPr>
                <w:color w:val="7FDBB0"/>
                <w:sz w:val="21"/>
                <w:szCs w:val="21"/>
              </w:rPr>
              <w:t xml:space="preserve">Sistema experto, lógica difusa, modelos de aprendizaje automático, agente reactivo, pronóstico, análisis de flota y aprendizaje continuo con las lecturas de los cultivos reales.</w:t>
            </w:r>
          </w:p>
        </w:tc>
      </w:tr>
    </w:tbl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2540" w:hRule="exact"/>
        </w:trPr>
        <w:tc>
          <w:tcPr>
            <w:tcW w:w="12240" w:type="dxa"/>
            <w:tcBorders>
              <w:top w:val="single" w:sz="18" w:space="0" w:color="00B074"/>
            </w:tcBorders>
            <w:shd w:val="clear" w:color="auto" w:fill="06281C"/>
            <w:tcMar>
              <w:top w:w="0" w:type="dxa"/>
              <w:left w:w="1180" w:type="dxa"/>
              <w:bottom w:w="0" w:type="dxa"/>
              <w:right w:w="1180" w:type="dxa"/>
            </w:tcMar>
            <w:vAlign w:val="center"/>
          </w:tcPr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60" w:line="240" w:lineRule="auto"/>
            </w:pP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DOCUMENTO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VERSIÓN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EQUIPO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PROYECTO</w:t>
            </w:r>
          </w:p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0" w:line="24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SmartPot-AI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1.0 · septiembre 2026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SmartPotTech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smartpot.app</w:t>
            </w:r>
          </w:p>
        </w:tc>
      </w:tr>
    </w:tbl>
    <w:p>
      <w:pPr>
        <w:spacing w:after="0" w:line="240" w:lineRule="auto"/>
        <w:rPr>
          <w:sz w:val="2"/>
        </w:rPr>
        <w:sectPr>
          <w:pgSz w:w="12240" w:h="15840"/>
          <w:pgMar w:top="0" w:right="0" w:bottom="0" w:left="0" w:header="0" w:footer="0" w:gutter="0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DOCUMENTO</w:t>
      </w:r>
    </w:p>
    <w:p>
      <w:pPr>
        <w:pStyle w:val="Heading1"/>
      </w:pPr>
      <w:bookmarkStart w:id="103" w:name="sec_103"/>
      <w:r>
        <w:rPr>
          <w:b/>
          <w:bCs/>
          <w:color w:val="0B3D2B"/>
          <w:sz w:val="34"/>
          <w:szCs w:val="34"/>
        </w:rPr>
        <w:t xml:space="preserve">Ficha del documento</w:t>
      </w:r>
      <w:bookmarkEnd w:id="103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474"/>
        <w:gridCol w:w="6886"/>
      </w:tblGrid>
      <w:tr>
        <w:trPr>
          <w:cantSplit/>
          <w:tblHeader/>
        </w:trPr>
        <w:tc>
          <w:tcPr>
            <w:tcW w:w="247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CAMPO</w:t>
            </w:r>
          </w:p>
        </w:tc>
        <w:tc>
          <w:tcPr>
            <w:tcW w:w="688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24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Proyecto</w:t>
            </w:r>
          </w:p>
        </w:tc>
        <w:tc>
          <w:tcPr>
            <w:tcW w:w="6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 · </w:t>
            </w:r>
            <w:hyperlink r:id="rIdLink3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smartpot.app</w:t>
              </w:r>
            </w:hyperlink>
          </w:p>
        </w:tc>
      </w:tr>
      <w:tr>
        <w:trPr>
          <w:cantSplit/>
        </w:trPr>
        <w:tc>
          <w:tcPr>
            <w:tcW w:w="24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Componente</w:t>
            </w:r>
          </w:p>
        </w:tc>
        <w:tc>
          <w:tcPr>
            <w:tcW w:w="6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hyperlink r:id="rIdLink4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SmartPot-AI</w:t>
              </w:r>
            </w:hyperlink>
          </w:p>
        </w:tc>
      </w:tr>
      <w:tr>
        <w:trPr>
          <w:cantSplit/>
        </w:trPr>
        <w:tc>
          <w:tcPr>
            <w:tcW w:w="24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Versión</w:t>
            </w:r>
          </w:p>
        </w:tc>
        <w:tc>
          <w:tcPr>
            <w:tcW w:w="6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1.0 · septiembre 2026</w:t>
            </w:r>
          </w:p>
        </w:tc>
      </w:tr>
      <w:tr>
        <w:trPr>
          <w:cantSplit/>
        </w:trPr>
        <w:tc>
          <w:tcPr>
            <w:tcW w:w="24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Alcance</w:t>
            </w:r>
          </w:p>
        </w:tc>
        <w:tc>
          <w:tcPr>
            <w:tcW w:w="6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Cómo razona el asistente, aprendizaje continuo, análisis de flota, contrato, configuración, pruebas y operación</w:t>
            </w:r>
          </w:p>
        </w:tc>
      </w:tr>
      <w:tr>
        <w:trPr>
          <w:cantSplit/>
        </w:trPr>
        <w:tc>
          <w:tcPr>
            <w:tcW w:w="24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Documentación de la plataforma</w:t>
            </w:r>
          </w:p>
        </w:tc>
        <w:tc>
          <w:tcPr>
            <w:tcW w:w="6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hyperlink r:id="rIdLink5">
              <w:r>
                <w:rPr>
                  <w:color w:val="1F6FA0"/>
                  <w:sz w:val="17"/>
                  <w:szCs w:val="17"/>
                  <w:u w:val="single"/>
                </w:rPr>
                <w:t xml:space="preserve">Documentación técnica</w:t>
              </w:r>
            </w:hyperlink>
            <w:r>
              <w:rPr>
                <w:color w:val="17261F"/>
                <w:sz w:val="17"/>
                <w:szCs w:val="17"/>
              </w:rPr>
              <w:t xml:space="preserve">, </w:t>
            </w:r>
            <w:hyperlink r:id="rIdLink6">
              <w:r>
                <w:rPr>
                  <w:color w:val="1F6FA0"/>
                  <w:sz w:val="17"/>
                  <w:szCs w:val="17"/>
                  <w:u w:val="single"/>
                </w:rPr>
                <w:t xml:space="preserve">recorrido del proyecto</w:t>
              </w:r>
            </w:hyperlink>
            <w:r>
              <w:rPr>
                <w:color w:val="17261F"/>
                <w:sz w:val="17"/>
                <w:szCs w:val="17"/>
              </w:rPr>
              <w:t xml:space="preserve">, </w:t>
            </w:r>
            <w:hyperlink r:id="rIdLink7">
              <w:r>
                <w:rPr>
                  <w:color w:val="1F6FA0"/>
                  <w:sz w:val="17"/>
                  <w:szCs w:val="17"/>
                  <w:u w:val="single"/>
                </w:rPr>
                <w:t xml:space="preserve">ciclo de vida</w:t>
              </w:r>
            </w:hyperlink>
            <w:r>
              <w:rPr>
                <w:color w:val="17261F"/>
                <w:sz w:val="17"/>
                <w:szCs w:val="17"/>
              </w:rPr>
              <w:t xml:space="preserve"> y </w:t>
            </w:r>
            <w:hyperlink r:id="rIdLink8">
              <w:r>
                <w:rPr>
                  <w:color w:val="1F6FA0"/>
                  <w:sz w:val="17"/>
                  <w:szCs w:val="17"/>
                  <w:u w:val="single"/>
                </w:rPr>
                <w:t xml:space="preserve">diagramas generales</w:t>
              </w:r>
            </w:hyperlink>
          </w:p>
        </w:tc>
      </w:tr>
      <w:tr>
        <w:trPr>
          <w:cantSplit/>
        </w:trPr>
        <w:tc>
          <w:tcPr>
            <w:tcW w:w="24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Mantenimiento</w:t>
            </w:r>
          </w:p>
        </w:tc>
        <w:tc>
          <w:tcPr>
            <w:tcW w:w="6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genera desde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docs/</w:t>
            </w:r>
            <w:r>
              <w:rPr>
                <w:color w:val="17261F"/>
                <w:sz w:val="17"/>
                <w:szCs w:val="17"/>
              </w:rPr>
              <w:t xml:space="preserve"> de este repositorio con las herramientas 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.github/docs/tools</w:t>
            </w:r>
            <w:r>
              <w:rPr>
                <w:color w:val="17261F"/>
                <w:sz w:val="17"/>
                <w:szCs w:val="17"/>
              </w:rPr>
              <w:t xml:space="preserve">; se actualiza con cada cambio del componente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CONTENIDO</w:t>
      </w:r>
    </w:p>
    <w:p>
      <w:pPr>
        <w:pStyle w:val="Heading1"/>
      </w:pPr>
      <w:r>
        <w:rPr>
          <w:b/>
          <w:bCs/>
          <w:color w:val="0B3D2B"/>
          <w:sz w:val="34"/>
          <w:szCs w:val="34"/>
        </w:rPr>
        <w:t xml:space="preserve">Contenido</w:t>
      </w:r>
    </w:p>
    <w:p>
      <w:pPr>
        <w:ind w:left="0"/>
        <w:spacing w:before="100" w:after="30" w:line="252" w:lineRule="auto"/>
      </w:pPr>
      <w:hyperlink w:anchor="sec_104" w:history="1">
        <w:r>
          <w:rPr>
            <w:b/>
            <w:bCs/>
            <w:color w:val="0B3D2B"/>
            <w:sz w:val="21"/>
            <w:szCs w:val="21"/>
          </w:rPr>
          <w:t xml:space="preserve">1. Propósito</w:t>
        </w:r>
      </w:hyperlink>
    </w:p>
    <w:p>
      <w:pPr>
        <w:ind w:left="0"/>
        <w:spacing w:before="100" w:after="30" w:line="252" w:lineRule="auto"/>
      </w:pPr>
      <w:hyperlink w:anchor="sec_106" w:history="1">
        <w:r>
          <w:rPr>
            <w:b/>
            <w:bCs/>
            <w:color w:val="0B3D2B"/>
            <w:sz w:val="21"/>
            <w:szCs w:val="21"/>
          </w:rPr>
          <w:t xml:space="preserve">2. Arquitectura del componente</w:t>
        </w:r>
      </w:hyperlink>
    </w:p>
    <w:p>
      <w:pPr>
        <w:ind w:left="0"/>
        <w:spacing w:before="100" w:after="30" w:line="252" w:lineRule="auto"/>
      </w:pPr>
      <w:hyperlink w:anchor="sec_108" w:history="1">
        <w:r>
          <w:rPr>
            <w:b/>
            <w:bCs/>
            <w:color w:val="0B3D2B"/>
            <w:sz w:val="21"/>
            <w:szCs w:val="21"/>
          </w:rPr>
          <w:t xml:space="preserve">3. Cómo razona una evaluación</w:t>
        </w:r>
      </w:hyperlink>
    </w:p>
    <w:p>
      <w:pPr>
        <w:ind w:left="0"/>
        <w:spacing w:before="100" w:after="30" w:line="252" w:lineRule="auto"/>
      </w:pPr>
      <w:hyperlink w:anchor="sec_110" w:history="1">
        <w:r>
          <w:rPr>
            <w:b/>
            <w:bCs/>
            <w:color w:val="0B3D2B"/>
            <w:sz w:val="21"/>
            <w:szCs w:val="21"/>
          </w:rPr>
          <w:t xml:space="preserve">4. Aprendizaje continuo</w:t>
        </w:r>
      </w:hyperlink>
    </w:p>
    <w:p>
      <w:pPr>
        <w:ind w:left="0"/>
        <w:spacing w:before="100" w:after="30" w:line="252" w:lineRule="auto"/>
      </w:pPr>
      <w:hyperlink w:anchor="sec_112" w:history="1">
        <w:r>
          <w:rPr>
            <w:b/>
            <w:bCs/>
            <w:color w:val="0B3D2B"/>
            <w:sz w:val="21"/>
            <w:szCs w:val="21"/>
          </w:rPr>
          <w:t xml:space="preserve">5. Análisis de flota</w:t>
        </w:r>
      </w:hyperlink>
    </w:p>
    <w:p>
      <w:pPr>
        <w:ind w:left="0"/>
        <w:spacing w:before="100" w:after="30" w:line="252" w:lineRule="auto"/>
      </w:pPr>
      <w:hyperlink w:anchor="sec_114" w:history="1">
        <w:r>
          <w:rPr>
            <w:b/>
            <w:bCs/>
            <w:color w:val="0B3D2B"/>
            <w:sz w:val="21"/>
            <w:szCs w:val="21"/>
          </w:rPr>
          <w:t xml:space="preserve">6. Contrato</w:t>
        </w:r>
      </w:hyperlink>
    </w:p>
    <w:p>
      <w:pPr>
        <w:ind w:left="0"/>
        <w:spacing w:before="100" w:after="30" w:line="252" w:lineRule="auto"/>
      </w:pPr>
      <w:hyperlink w:anchor="sec_115" w:history="1">
        <w:r>
          <w:rPr>
            <w:b/>
            <w:bCs/>
            <w:color w:val="0B3D2B"/>
            <w:sz w:val="21"/>
            <w:szCs w:val="21"/>
          </w:rPr>
          <w:t xml:space="preserve">7. Configuración</w:t>
        </w:r>
      </w:hyperlink>
    </w:p>
    <w:p>
      <w:pPr>
        <w:ind w:left="0"/>
        <w:spacing w:before="100" w:after="30" w:line="252" w:lineRule="auto"/>
      </w:pPr>
      <w:hyperlink w:anchor="sec_116" w:history="1">
        <w:r>
          <w:rPr>
            <w:b/>
            <w:bCs/>
            <w:color w:val="0B3D2B"/>
            <w:sz w:val="21"/>
            <w:szCs w:val="21"/>
          </w:rPr>
          <w:t xml:space="preserve">8. Pruebas</w:t>
        </w:r>
      </w:hyperlink>
    </w:p>
    <w:p>
      <w:pPr>
        <w:ind w:left="0"/>
        <w:spacing w:before="100" w:after="30" w:line="252" w:lineRule="auto"/>
      </w:pPr>
      <w:hyperlink w:anchor="sec_117" w:history="1">
        <w:r>
          <w:rPr>
            <w:b/>
            <w:bCs/>
            <w:color w:val="0B3D2B"/>
            <w:sz w:val="21"/>
            <w:szCs w:val="21"/>
          </w:rPr>
          <w:t xml:space="preserve">9. Operación</w:t>
        </w:r>
      </w:hyperlink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El componente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01</w:t>
      </w:r>
    </w:p>
    <w:p>
      <w:pPr>
        <w:pStyle w:val="Heading1"/>
      </w:pPr>
      <w:bookmarkStart w:id="104" w:name="sec_104"/>
      <w:r>
        <w:rPr>
          <w:b/>
          <w:bCs/>
          <w:color w:val="0B3D2B"/>
          <w:sz w:val="34"/>
          <w:szCs w:val="34"/>
        </w:rPr>
        <w:t xml:space="preserve">Propósito</w:t>
      </w:r>
      <w:bookmarkEnd w:id="104"/>
    </w:p>
    <w:p>
      <w:pPr>
        <w:pStyle w:val="Heading2"/>
      </w:pPr>
      <w:bookmarkStart w:id="105" w:name="sec_105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0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SmartPot-AI es el agrónomo de la plataforma. La API le manda la última lectura de un cultivo, su historial y sus actuadores; el asistente responde cómo está (un índice de salud de 0 a 100), por qué, qué va a pasar en las próximas horas y qué conviene hacer. Además aprende sin parar de las lecturas de los cultivos reales de cada especie, sin saber de qué cuenta viene cada una. Es un servicio interno: solo la API lo consulta, con un token.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125"/>
        <w:gridCol w:w="7235"/>
      </w:tblGrid>
      <w:tr>
        <w:trPr>
          <w:cantSplit/>
          <w:tblHeader/>
        </w:trPr>
        <w:tc>
          <w:tcPr>
            <w:tcW w:w="212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TÉCNICA</w:t>
            </w:r>
          </w:p>
        </w:tc>
        <w:tc>
          <w:tcPr>
            <w:tcW w:w="723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QUÉ RESUELVE</w:t>
            </w:r>
          </w:p>
        </w:tc>
      </w:tr>
      <w:tr>
        <w:trPr>
          <w:cantSplit/>
        </w:trPr>
        <w:tc>
          <w:tcPr>
            <w:tcW w:w="21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Sistema experto</w:t>
            </w:r>
          </w:p>
        </w:tc>
        <w:tc>
          <w:tcPr>
            <w:tcW w:w="72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Diagnóstico por variable y conclusiones encadenadas con su explicación</w:t>
            </w:r>
          </w:p>
        </w:tc>
      </w:tr>
      <w:tr>
        <w:trPr>
          <w:cantSplit/>
        </w:trPr>
        <w:tc>
          <w:tcPr>
            <w:tcW w:w="21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Lógica difusa</w:t>
            </w:r>
          </w:p>
        </w:tc>
        <w:tc>
          <w:tcPr>
            <w:tcW w:w="723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Índice de salud que tolera la incertidumbre de los sensores</w:t>
            </w:r>
          </w:p>
        </w:tc>
      </w:tr>
      <w:tr>
        <w:trPr>
          <w:cantSplit/>
        </w:trPr>
        <w:tc>
          <w:tcPr>
            <w:tcW w:w="21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Aprendizaje automático</w:t>
            </w:r>
          </w:p>
        </w:tc>
        <w:tc>
          <w:tcPr>
            <w:tcW w:w="72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Ventilación, corrección de pH y lecturas atípicas</w:t>
            </w:r>
          </w:p>
        </w:tc>
      </w:tr>
      <w:tr>
        <w:trPr>
          <w:cantSplit/>
        </w:trPr>
        <w:tc>
          <w:tcPr>
            <w:tcW w:w="21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Pronóstico</w:t>
            </w:r>
          </w:p>
        </w:tc>
        <w:tc>
          <w:tcPr>
            <w:tcW w:w="723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Tendencia de cada variable y horas hasta salir del rango</w:t>
            </w:r>
          </w:p>
        </w:tc>
      </w:tr>
      <w:tr>
        <w:trPr>
          <w:cantSplit/>
        </w:trPr>
        <w:tc>
          <w:tcPr>
            <w:tcW w:w="21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Agente reactivo</w:t>
            </w:r>
          </w:p>
        </w:tc>
        <w:tc>
          <w:tcPr>
            <w:tcW w:w="72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Acciones sobre los actuadores que el cultivo sí tiene</w:t>
            </w:r>
          </w:p>
        </w:tc>
      </w:tr>
      <w:tr>
        <w:trPr>
          <w:cantSplit/>
        </w:trPr>
        <w:tc>
          <w:tcPr>
            <w:tcW w:w="212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Análisis de flota</w:t>
            </w:r>
          </w:p>
        </w:tc>
        <w:tc>
          <w:tcPr>
            <w:tcW w:w="723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Ranking, problemas del entorno, grupos y acciones en bloque</w:t>
            </w:r>
          </w:p>
        </w:tc>
      </w:tr>
      <w:tr>
        <w:trPr>
          <w:cantSplit/>
        </w:trPr>
        <w:tc>
          <w:tcPr>
            <w:tcW w:w="212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Aprendizaje continuo</w:t>
            </w:r>
          </w:p>
        </w:tc>
        <w:tc>
          <w:tcPr>
            <w:tcW w:w="72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Modelos que mejoran con las lecturas reales y solo reemplazan al vigente si lo superan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2240" w:h="15840"/>
          <w:pgMar w:top="1700" w:right="1440" w:bottom="1440" w:left="1440" w:header="700" w:footer="620" w:gutter="0"/>
          <w:pgNumType w:start="2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02</w:t>
      </w:r>
    </w:p>
    <w:p>
      <w:pPr>
        <w:pStyle w:val="Heading1"/>
      </w:pPr>
      <w:bookmarkStart w:id="106" w:name="sec_106"/>
      <w:r>
        <w:rPr>
          <w:b/>
          <w:bCs/>
          <w:color w:val="0B3D2B"/>
          <w:sz w:val="34"/>
          <w:szCs w:val="34"/>
        </w:rPr>
        <w:t xml:space="preserve">Arquitectura del componente</w:t>
      </w:r>
      <w:bookmarkEnd w:id="106"/>
    </w:p>
    <w:p>
      <w:pPr>
        <w:keepNext/>
        <w:spacing w:before="0" w:after="60" w:line="288" w:lineRule="auto"/>
        <w:jc w:val="center"/>
      </w:pPr>
      <w:r>
        <w:drawing>
          <wp:inline distT="0" distB="0" distL="0" distR="0">
            <wp:extent cx="8229600" cy="1275256"/>
            <wp:docPr id="107" name="SmartPot_AI_Global_Compon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7" name="SmartPot_AI_Global_Component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275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1</w:t>
      </w:r>
      <w:r>
        <w:rPr>
          <w:i/>
          <w:iCs/>
          <w:color w:val="5B6B63"/>
          <w:sz w:val="16"/>
          <w:szCs w:val="16"/>
        </w:rPr>
        <w:t xml:space="preserve">  ·  SmartPot-AI por dentro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5840" w:h="12240" w:orient="landscape"/>
          <w:pgMar w:top="1700" w:right="1440" w:bottom="1440" w:left="1440" w:header="700" w:footer="620" w:gutter="0"/>
          <w:cols w:space="720"/>
        </w:sect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Razonamiento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03</w:t>
      </w:r>
    </w:p>
    <w:p>
      <w:pPr>
        <w:pStyle w:val="Heading1"/>
      </w:pPr>
      <w:bookmarkStart w:id="108" w:name="sec_108"/>
      <w:r>
        <w:rPr>
          <w:b/>
          <w:bCs/>
          <w:color w:val="0B3D2B"/>
          <w:sz w:val="34"/>
          <w:szCs w:val="34"/>
        </w:rPr>
        <w:t xml:space="preserve">Cómo razona una evaluación</w:t>
      </w:r>
      <w:bookmarkEnd w:id="108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1463767" cy="7112000"/>
            <wp:docPr id="109" name="SmartPot_AI_01_Insight_Pipel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9" name="SmartPot_AI_01_Insight_Pipeline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1463767" cy="7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2</w:t>
      </w:r>
      <w:r>
        <w:rPr>
          <w:i/>
          <w:iCs/>
          <w:color w:val="5B6B63"/>
          <w:sz w:val="16"/>
          <w:szCs w:val="16"/>
        </w:rPr>
        <w:t xml:space="preserve">  ·  De la lectura a la respuesta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901"/>
        <w:gridCol w:w="7459"/>
      </w:tblGrid>
      <w:tr>
        <w:trPr>
          <w:cantSplit/>
          <w:tblHeader/>
        </w:trPr>
        <w:tc>
          <w:tcPr>
            <w:tcW w:w="190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PASO</w:t>
            </w:r>
          </w:p>
        </w:tc>
        <w:tc>
          <w:tcPr>
            <w:tcW w:w="745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DETALLE</w:t>
            </w:r>
          </w:p>
        </w:tc>
      </w:tr>
      <w:tr>
        <w:trPr>
          <w:cantSplit/>
        </w:trPr>
        <w:tc>
          <w:tcPr>
            <w:tcW w:w="19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Base de conocimiento</w:t>
            </w:r>
          </w:p>
        </w:tc>
        <w:tc>
          <w:tcPr>
            <w:tcW w:w="745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Rangos ideales de lechuga, tomate, fresa, albahaca, espinaca y pimentón en la escala de los sensores; una variable fuera de rango se mide en tolerancias y desde una completa es crítica</w:t>
            </w:r>
          </w:p>
        </w:tc>
      </w:tr>
      <w:tr>
        <w:trPr>
          <w:cantSplit/>
        </w:trPr>
        <w:tc>
          <w:tcPr>
            <w:tcW w:w="190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Noche</w:t>
            </w:r>
          </w:p>
        </w:tc>
        <w:tc>
          <w:tcPr>
            <w:tcW w:w="745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Entre las 22:00 y las 6:00 la luz baja es descanso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REST</w:t>
            </w:r>
            <w:r>
              <w:rPr>
                <w:color w:val="17261F"/>
                <w:sz w:val="17"/>
                <w:szCs w:val="17"/>
              </w:rPr>
              <w:t xml:space="preserve">) y no resta salud</w:t>
            </w:r>
          </w:p>
        </w:tc>
      </w:tr>
      <w:tr>
        <w:trPr>
          <w:cantSplit/>
        </w:trPr>
        <w:tc>
          <w:tcPr>
            <w:tcW w:w="19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Modelos base</w:t>
            </w:r>
          </w:p>
        </w:tc>
        <w:tc>
          <w:tcPr>
            <w:tcW w:w="745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entrenan al arrancar con 4000 muestras sintéticas y semilla fija;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GET /v1/models</w:t>
            </w:r>
            <w:r>
              <w:rPr>
                <w:color w:val="17261F"/>
                <w:sz w:val="17"/>
                <w:szCs w:val="17"/>
              </w:rPr>
              <w:t xml:space="preserve"> informa su exactitud</w:t>
            </w:r>
          </w:p>
        </w:tc>
      </w:tr>
      <w:tr>
        <w:trPr>
          <w:cantSplit/>
        </w:trPr>
        <w:tc>
          <w:tcPr>
            <w:tcW w:w="190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Reglas</w:t>
            </w:r>
          </w:p>
        </w:tc>
        <w:tc>
          <w:tcPr>
            <w:tcW w:w="745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Encadenamiento hacia adelante con prioridades;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sensor_fault</w:t>
            </w:r>
            <w:r>
              <w:rPr>
                <w:color w:val="17261F"/>
                <w:sz w:val="17"/>
                <w:szCs w:val="17"/>
              </w:rPr>
              <w:t xml:space="preserve"> bloquea las acciones si la lectura es imposible</w:t>
            </w:r>
          </w:p>
        </w:tc>
      </w:tr>
      <w:tr>
        <w:trPr>
          <w:cantSplit/>
        </w:trPr>
        <w:tc>
          <w:tcPr>
            <w:tcW w:w="19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Agente</w:t>
            </w:r>
          </w:p>
        </w:tc>
        <w:tc>
          <w:tcPr>
            <w:tcW w:w="745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Riego, luz de día (y apagarla de noche), ventilación, humidificador y dosificadores, solo si el cultivo tiene el actuador; la API aplica el enfriamiento y el modo automático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2240" w:h="15840"/>
          <w:pgMar w:top="1700" w:right="1440" w:bottom="1440" w:left="1440" w:header="700" w:footer="620" w:gutter="0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04</w:t>
      </w:r>
    </w:p>
    <w:p>
      <w:pPr>
        <w:pStyle w:val="Heading1"/>
      </w:pPr>
      <w:bookmarkStart w:id="110" w:name="sec_110"/>
      <w:r>
        <w:rPr>
          <w:b/>
          <w:bCs/>
          <w:color w:val="0B3D2B"/>
          <w:sz w:val="34"/>
          <w:szCs w:val="34"/>
        </w:rPr>
        <w:t xml:space="preserve">Aprendizaje continuo</w:t>
      </w:r>
      <w:bookmarkEnd w:id="110"/>
    </w:p>
    <w:p>
      <w:pPr>
        <w:keepNext/>
        <w:spacing w:before="0" w:after="60" w:line="288" w:lineRule="auto"/>
        <w:jc w:val="center"/>
      </w:pPr>
      <w:r>
        <w:drawing>
          <wp:inline distT="0" distB="0" distL="0" distR="0">
            <wp:extent cx="8229600" cy="1067126"/>
            <wp:docPr id="111" name="SmartPot_AI_02_Learning_Cyc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1" name="SmartPot_AI_02_Learning_Cycle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06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3</w:t>
      </w:r>
      <w:r>
        <w:rPr>
          <w:i/>
          <w:iCs/>
          <w:color w:val="5B6B63"/>
          <w:sz w:val="16"/>
          <w:szCs w:val="16"/>
        </w:rPr>
        <w:t xml:space="preserve">  ·  Ciclo del aprendizaje continuo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5840" w:h="12240" w:orient="landscape"/>
          <w:pgMar w:top="1700" w:right="1440" w:bottom="1440" w:left="1440" w:header="700" w:footer="620" w:gutter="0"/>
          <w:cols w:space="720"/>
        </w:sect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Solo aprende de cultivos </w:t>
      </w:r>
      <w:r>
        <w:rPr>
          <w:b/>
          <w:bCs/>
          <w:color w:val="17261F"/>
          <w:sz w:val="20"/>
          <w:szCs w:val="20"/>
        </w:rPr>
        <w:t xml:space="preserve">reales</w:t>
      </w:r>
      <w:r>
        <w:rPr>
          <w:color w:val="17261F"/>
          <w:sz w:val="20"/>
          <w:szCs w:val="20"/>
        </w:rPr>
        <w:t xml:space="preserve">: la API no envía las lecturas de los cultivos virtuales, que son sintéticas. Cada especie entrena por separado y en un proceso aparte para no frenar las evaluaciones; una tarea queda pendiente, con su razón, mientras falten datos o casos. Borrar un cultivo borra sus lecturas.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05</w:t>
      </w:r>
    </w:p>
    <w:p>
      <w:pPr>
        <w:pStyle w:val="Heading1"/>
      </w:pPr>
      <w:bookmarkStart w:id="112" w:name="sec_112"/>
      <w:r>
        <w:rPr>
          <w:b/>
          <w:bCs/>
          <w:color w:val="0B3D2B"/>
          <w:sz w:val="34"/>
          <w:szCs w:val="34"/>
        </w:rPr>
        <w:t xml:space="preserve">Análisis de flota</w:t>
      </w:r>
      <w:bookmarkEnd w:id="112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3052419"/>
            <wp:docPr id="113" name="SmartPot_AI_03_Fleet_Analysi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3" name="SmartPot_AI_03_Fleet_Analysis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4</w:t>
      </w:r>
      <w:r>
        <w:rPr>
          <w:i/>
          <w:iCs/>
          <w:color w:val="5B6B63"/>
          <w:sz w:val="16"/>
          <w:szCs w:val="16"/>
        </w:rPr>
        <w:t xml:space="preserve">  ·  Análisis de todos los cultivos de una cuenta</w:t>
      </w: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Operación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06</w:t>
      </w:r>
    </w:p>
    <w:p>
      <w:pPr>
        <w:pStyle w:val="Heading1"/>
      </w:pPr>
      <w:bookmarkStart w:id="114" w:name="sec_114"/>
      <w:r>
        <w:rPr>
          <w:b/>
          <w:bCs/>
          <w:color w:val="0B3D2B"/>
          <w:sz w:val="34"/>
          <w:szCs w:val="34"/>
        </w:rPr>
        <w:t xml:space="preserve">Contrato</w:t>
      </w:r>
      <w:bookmarkEnd w:id="114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Todas las rutas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/v1</w:t>
      </w:r>
      <w:r>
        <w:rPr>
          <w:color w:val="17261F"/>
          <w:sz w:val="20"/>
          <w:szCs w:val="20"/>
        </w:rPr>
        <w:t xml:space="preserve"> exigen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Authorization: Bearer &lt;SMARTPOT_AI_TOKEN&gt;</w:t>
      </w:r>
      <w:r>
        <w:rPr>
          <w:color w:val="17261F"/>
          <w:sz w:val="20"/>
          <w:szCs w:val="20"/>
        </w:rPr>
        <w:t xml:space="preserve">; el </w:t>
      </w:r>
      <w:r>
        <w:rPr>
          <w:color w:val="1F6FA0"/>
          <w:sz w:val="20"/>
          <w:szCs w:val="20"/>
        </w:rPr>
        <w:t xml:space="preserve">README</w:t>
      </w:r>
      <w:r>
        <w:rPr>
          <w:color w:val="17261F"/>
          <w:sz w:val="20"/>
          <w:szCs w:val="20"/>
        </w:rPr>
        <w:t xml:space="preserve"> trae ejemplos de petición y respuesta.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183"/>
        <w:gridCol w:w="3906"/>
        <w:gridCol w:w="4271"/>
      </w:tblGrid>
      <w:tr>
        <w:trPr>
          <w:cantSplit/>
          <w:tblHeader/>
        </w:trPr>
        <w:tc>
          <w:tcPr>
            <w:tcW w:w="118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MÉTODO</w:t>
            </w:r>
          </w:p>
        </w:tc>
        <w:tc>
          <w:tcPr>
            <w:tcW w:w="390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RUTA</w:t>
            </w:r>
          </w:p>
        </w:tc>
        <w:tc>
          <w:tcPr>
            <w:tcW w:w="427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11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</w:t>
            </w:r>
          </w:p>
        </w:tc>
        <w:tc>
          <w:tcPr>
            <w:tcW w:w="39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/health</w:t>
            </w:r>
          </w:p>
        </w:tc>
        <w:tc>
          <w:tcPr>
            <w:tcW w:w="427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Estado de los modelos y del almacén de aprendizaje</w:t>
            </w:r>
          </w:p>
        </w:tc>
      </w:tr>
      <w:tr>
        <w:trPr>
          <w:cantSplit/>
        </w:trPr>
        <w:tc>
          <w:tcPr>
            <w:tcW w:w="11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POST</w:t>
            </w:r>
          </w:p>
        </w:tc>
        <w:tc>
          <w:tcPr>
            <w:tcW w:w="39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/v1/insights</w:t>
            </w:r>
          </w:p>
        </w:tc>
        <w:tc>
          <w:tcPr>
            <w:tcW w:w="427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Evalúa una lectura</w:t>
            </w:r>
          </w:p>
        </w:tc>
      </w:tr>
      <w:tr>
        <w:trPr>
          <w:cantSplit/>
        </w:trPr>
        <w:tc>
          <w:tcPr>
            <w:tcW w:w="11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POST</w:t>
            </w:r>
          </w:p>
        </w:tc>
        <w:tc>
          <w:tcPr>
            <w:tcW w:w="39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/v1/fleet</w:t>
            </w:r>
          </w:p>
        </w:tc>
        <w:tc>
          <w:tcPr>
            <w:tcW w:w="427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Analiza todos los cultivos de una cuenta</w:t>
            </w:r>
          </w:p>
        </w:tc>
      </w:tr>
      <w:tr>
        <w:trPr>
          <w:cantSplit/>
        </w:trPr>
        <w:tc>
          <w:tcPr>
            <w:tcW w:w="11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</w:t>
            </w:r>
          </w:p>
        </w:tc>
        <w:tc>
          <w:tcPr>
            <w:tcW w:w="39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/v1/crop-profiles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/v1/models</w:t>
            </w:r>
          </w:p>
        </w:tc>
        <w:tc>
          <w:tcPr>
            <w:tcW w:w="427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Base de conocimiento y exactitud de los modelos base</w:t>
            </w:r>
          </w:p>
        </w:tc>
      </w:tr>
      <w:tr>
        <w:trPr>
          <w:cantSplit/>
        </w:trPr>
        <w:tc>
          <w:tcPr>
            <w:tcW w:w="118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POST, GET</w:t>
            </w:r>
          </w:p>
        </w:tc>
        <w:tc>
          <w:tcPr>
            <w:tcW w:w="39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/v1/learning/readings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/v1/learning/status</w:t>
            </w:r>
          </w:p>
        </w:tc>
        <w:tc>
          <w:tcPr>
            <w:tcW w:w="427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Recibe lecturas reales por lote; informa lo aprendido por especie</w:t>
            </w:r>
          </w:p>
        </w:tc>
      </w:tr>
      <w:tr>
        <w:trPr>
          <w:cantSplit/>
        </w:trPr>
        <w:tc>
          <w:tcPr>
            <w:tcW w:w="118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POST, DELETE</w:t>
            </w:r>
          </w:p>
        </w:tc>
        <w:tc>
          <w:tcPr>
            <w:tcW w:w="39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/v1/learning/train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/v1/learning/crops/{cropId}</w:t>
            </w:r>
          </w:p>
        </w:tc>
        <w:tc>
          <w:tcPr>
            <w:tcW w:w="427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Entrena ya; olvida un cultivo borrado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07</w:t>
      </w:r>
    </w:p>
    <w:p>
      <w:pPr>
        <w:pStyle w:val="Heading1"/>
      </w:pPr>
      <w:bookmarkStart w:id="115" w:name="sec_115"/>
      <w:r>
        <w:rPr>
          <w:b/>
          <w:bCs/>
          <w:color w:val="0B3D2B"/>
          <w:sz w:val="34"/>
          <w:szCs w:val="34"/>
        </w:rPr>
        <w:t xml:space="preserve">Configuración</w:t>
      </w:r>
      <w:bookmarkEnd w:id="115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4011"/>
        <w:gridCol w:w="5349"/>
      </w:tblGrid>
      <w:tr>
        <w:trPr>
          <w:cantSplit/>
          <w:tblHeader/>
        </w:trPr>
        <w:tc>
          <w:tcPr>
            <w:tcW w:w="401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VARIABLE</w:t>
            </w:r>
          </w:p>
        </w:tc>
        <w:tc>
          <w:tcPr>
            <w:tcW w:w="534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USO</w:t>
            </w:r>
          </w:p>
        </w:tc>
      </w:tr>
      <w:tr>
        <w:trPr>
          <w:cantSplit/>
        </w:trPr>
        <w:tc>
          <w:tcPr>
            <w:tcW w:w="401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SMARTPOT_AI_TOKEN</w:t>
            </w:r>
          </w:p>
        </w:tc>
        <w:tc>
          <w:tcPr>
            <w:tcW w:w="534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Token de servicio, al menos 24 caracteres</w:t>
            </w:r>
          </w:p>
        </w:tc>
      </w:tr>
      <w:tr>
        <w:trPr>
          <w:cantSplit/>
        </w:trPr>
        <w:tc>
          <w:tcPr>
            <w:tcW w:w="401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DOCS_ENABLED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LOG_LEVEL</w:t>
            </w:r>
          </w:p>
        </w:tc>
        <w:tc>
          <w:tcPr>
            <w:tcW w:w="534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Documentación interactiva y nivel de registro</w:t>
            </w:r>
          </w:p>
        </w:tc>
      </w:tr>
      <w:tr>
        <w:trPr>
          <w:cantSplit/>
        </w:trPr>
        <w:tc>
          <w:tcPr>
            <w:tcW w:w="401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MODEL_SEED</w:t>
            </w:r>
          </w:p>
        </w:tc>
        <w:tc>
          <w:tcPr>
            <w:tcW w:w="534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Semilla de los modelos base</w:t>
            </w:r>
          </w:p>
        </w:tc>
      </w:tr>
      <w:tr>
        <w:trPr>
          <w:cantSplit/>
        </w:trPr>
        <w:tc>
          <w:tcPr>
            <w:tcW w:w="401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DATA_DIR</w:t>
            </w:r>
          </w:p>
        </w:tc>
        <w:tc>
          <w:tcPr>
            <w:tcW w:w="534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Carpeta de SQLite y modelos (volumen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/data</w:t>
            </w:r>
            <w:r>
              <w:rPr>
                <w:color w:val="17261F"/>
                <w:sz w:val="17"/>
                <w:szCs w:val="17"/>
              </w:rPr>
              <w:t xml:space="preserve"> en la imagen)</w:t>
            </w:r>
          </w:p>
        </w:tc>
      </w:tr>
      <w:tr>
        <w:trPr>
          <w:cantSplit/>
        </w:trPr>
        <w:tc>
          <w:tcPr>
            <w:tcW w:w="401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LEARNING_MIN_SAMPLES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LEARNING_RETRAIN_EVERY</w:t>
            </w:r>
          </w:p>
        </w:tc>
        <w:tc>
          <w:tcPr>
            <w:tcW w:w="534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Lecturas para el primer entrenamiento y cada cuántas nuevas se reentrena</w:t>
            </w:r>
          </w:p>
        </w:tc>
      </w:tr>
      <w:tr>
        <w:trPr>
          <w:cantSplit/>
        </w:trPr>
        <w:tc>
          <w:tcPr>
            <w:tcW w:w="401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LEARNING_CHECK_SECONDS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LEARNING_RETENTION_DAYS</w:t>
            </w:r>
          </w:p>
        </w:tc>
        <w:tc>
          <w:tcPr>
            <w:tcW w:w="534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cuánto revisa si toca entrenar y cuántos días guarda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08</w:t>
      </w:r>
    </w:p>
    <w:p>
      <w:pPr>
        <w:pStyle w:val="Heading1"/>
      </w:pPr>
      <w:bookmarkStart w:id="116" w:name="sec_116"/>
      <w:r>
        <w:rPr>
          <w:b/>
          <w:bCs/>
          <w:color w:val="0B3D2B"/>
          <w:sz w:val="34"/>
          <w:szCs w:val="34"/>
        </w:rPr>
        <w:t xml:space="preserve">Pruebas</w:t>
      </w:r>
      <w:bookmarkEnd w:id="116"/>
    </w:p>
    <w:p>
      <w:pPr>
        <w:spacing w:before="0" w:after="140" w:line="288" w:lineRule="auto"/>
      </w:pP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uv run ruff check .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uv run pytest</w:t>
      </w:r>
      <w:r>
        <w:rPr>
          <w:color w:val="17261F"/>
          <w:sz w:val="20"/>
          <w:szCs w:val="20"/>
        </w:rPr>
        <w:t xml:space="preserve">: 73 pruebas sobre la base de conocimiento, el encadenamiento de reglas, la monotonía del índice difuso, la exactitud mínima de los modelos, el pronóstico, el agente, la flota, el contrato HTTP y el aprendizaje continuo (seudonimización, poda, calidad, etiquetas, modelos que superan a la línea base, campeón y retador, persistencia).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09</w:t>
      </w:r>
    </w:p>
    <w:p>
      <w:pPr>
        <w:pStyle w:val="Heading1"/>
      </w:pPr>
      <w:bookmarkStart w:id="117" w:name="sec_117"/>
      <w:r>
        <w:rPr>
          <w:b/>
          <w:bCs/>
          <w:color w:val="0B3D2B"/>
          <w:sz w:val="34"/>
          <w:szCs w:val="34"/>
        </w:rPr>
        <w:t xml:space="preserve">Operación</w:t>
      </w:r>
      <w:bookmarkEnd w:id="117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528"/>
        <w:gridCol w:w="7832"/>
      </w:tblGrid>
      <w:tr>
        <w:trPr>
          <w:cantSplit/>
          <w:tblHeader/>
        </w:trPr>
        <w:tc>
          <w:tcPr>
            <w:tcW w:w="152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TAREA</w:t>
            </w:r>
          </w:p>
        </w:tc>
        <w:tc>
          <w:tcPr>
            <w:tcW w:w="783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CÓMO</w:t>
            </w:r>
          </w:p>
        </w:tc>
      </w:tr>
      <w:tr>
        <w:trPr>
          <w:cantSplit/>
        </w:trPr>
        <w:tc>
          <w:tcPr>
            <w:tcW w:w="15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Imagen</w:t>
            </w:r>
          </w:p>
        </w:tc>
        <w:tc>
          <w:tcPr>
            <w:tcW w:w="783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ghcr.io/smartpottech/smartpot-ai</w:t>
            </w:r>
            <w:r>
              <w:rPr>
                <w:color w:val="17261F"/>
                <w:sz w:val="17"/>
                <w:szCs w:val="17"/>
              </w:rPr>
              <w:t xml:space="preserve">: dependencias con uv, usuario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1000</w:t>
            </w:r>
            <w:r>
              <w:rPr>
                <w:color w:val="17261F"/>
                <w:sz w:val="17"/>
                <w:szCs w:val="17"/>
              </w:rPr>
              <w:t xml:space="preserve">, solo lectura;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/data</w:t>
            </w:r>
            <w:r>
              <w:rPr>
                <w:color w:val="17261F"/>
                <w:sz w:val="17"/>
                <w:szCs w:val="17"/>
              </w:rPr>
              <w:t xml:space="preserve"> en un volumen para conservar lo aprendido</w:t>
            </w:r>
          </w:p>
        </w:tc>
      </w:tr>
      <w:tr>
        <w:trPr>
          <w:cantSplit/>
        </w:trPr>
        <w:tc>
          <w:tcPr>
            <w:tcW w:w="15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Red</w:t>
            </w:r>
          </w:p>
        </w:tc>
        <w:tc>
          <w:tcPr>
            <w:tcW w:w="783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Solo en la red interna, sin salida a internet ni puertos publicados</w:t>
            </w:r>
          </w:p>
        </w:tc>
      </w:tr>
      <w:tr>
        <w:trPr>
          <w:cantSplit/>
        </w:trPr>
        <w:tc>
          <w:tcPr>
            <w:tcW w:w="15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Entrenamientos</w:t>
            </w:r>
          </w:p>
        </w:tc>
        <w:tc>
          <w:tcPr>
            <w:tcW w:w="783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docker logs smartpot-ai</w:t>
            </w:r>
            <w:r>
              <w:rPr>
                <w:color w:val="17261F"/>
                <w:sz w:val="17"/>
                <w:szCs w:val="17"/>
              </w:rPr>
              <w:t xml:space="preserve"> muestra cada uno; la PWA los resume en Aprendizaje</w:t>
            </w:r>
          </w:p>
        </w:tc>
      </w:tr>
      <w:tr>
        <w:trPr>
          <w:cantSplit/>
        </w:trPr>
        <w:tc>
          <w:tcPr>
            <w:tcW w:w="15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Despliegue</w:t>
            </w:r>
          </w:p>
        </w:tc>
        <w:tc>
          <w:tcPr>
            <w:tcW w:w="783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cambio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main</w:t>
            </w:r>
            <w:r>
              <w:rPr>
                <w:color w:val="17261F"/>
                <w:sz w:val="17"/>
                <w:szCs w:val="17"/>
              </w:rPr>
              <w:t xml:space="preserve"> pasa por el CI, publica la imagen y pide el despliegue central 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.github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sectPr>
      <w:headerReference w:type="default" r:id="rIdHeader"/>
      <w:footerReference w:type="default" r:id="rIdFooter"/>
      <w:pgSz w:w="12240" w:h="15840"/>
      <w:pgMar w:top="1700" w:right="1440" w:bottom="1440" w:left="1440" w:header="700" w:footer="620" w:gutter="0"/>
      <w:cols w:space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nt w:name="Century Gothic">
    <w:altName w:val="Arial"/>
    <w:charset w:val="00"/>
    <w:family w:val="swiss"/>
    <w:pitch w:val="variable"/>
  </w:font>
  <w:font w:name="Segoe UI">
    <w:altName w:val="Arial"/>
    <w:charset w:val="00"/>
    <w:family w:val="swiss"/>
    <w:pitch w:val="variable"/>
  </w:font>
  <w:font w:name="JetBrains Mono">
    <w:altName w:val="Consolas"/>
    <w:charset w:val="00"/>
    <w:family w:val="modern"/>
    <w:pitch w:val="fixed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D5E3DC"/>
      </w:pBdr>
      <w:tabs>
        <w:tab w:val="right" w:pos="9360"/>
      </w:tabs>
      <w:spacing w:before="0" w:after="0" w:line="240" w:lineRule="auto"/>
    </w:pPr>
    <w:r>
      <w:rPr>
        <w:color w:val="5B6B63"/>
        <w:sz w:val="15"/>
        <w:szCs w:val="15"/>
      </w:rPr>
      <w:t xml:space="preserve">SmartPotTech · smartpot.app</w:t>
    </w:r>
    <w:r>
      <w:rPr>
        <w:color w:val="5B6B63"/>
        <w:sz w:val="15"/>
        <w:szCs w:val="15"/>
      </w:rPr>
      <w:t xml:space="preserve">	Página </w:t>
    </w:r>
    <w:fldSimple w:instr=" PAGE ">
      <w:r>
        <w:rPr>
          <w:b/>
          <w:color w:val="067A52"/>
          <w:sz w:val="15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6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left w:w="0" w:type="dxa"/>
        <w:right w:w="0" w:type="dxa"/>
      </w:tblCellMar>
    </w:tblPr>
    <w:tblGrid>
      <w:gridCol w:w="4680"/>
      <w:gridCol w:w="4680"/>
    </w:tblGrid>
    <w:tr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left"/>
          </w:pPr>
          <w:r>
            <w:drawing>
              <wp:inline distT="0" distB="0" distL="0" distR="0">
                <wp:extent cx="180000" cy="180000"/>
                <wp:docPr id="118" name="Icon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18" name="Icono"/>
                        <pic:cNvPicPr/>
                      </pic:nvPicPr>
                      <pic:blipFill>
                        <a:blip r:embed="rIdImg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color w:val="0B3D2B"/>
              <w:spacing w:val="40"/>
              <w:sz w:val="15"/>
              <w:szCs w:val="15"/>
            </w:rPr>
            <w:t xml:space="preserve">  SMARTPOT</w:t>
          </w:r>
          <w:r>
            <w:rPr>
              <w:b/>
              <w:bCs/>
              <w:color w:val="009A64"/>
              <w:spacing w:val="40"/>
              <w:sz w:val="15"/>
              <w:szCs w:val="15"/>
            </w:rPr>
            <w:t xml:space="preserve">  ·  PLATAFORMA</w:t>
          </w:r>
        </w:p>
      </w:tc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right"/>
          </w:pPr>
          <w:r>
            <w:rPr>
              <w:b/>
              <w:bCs/>
              <w:color w:val="5B6B63"/>
              <w:spacing w:val="30"/>
              <w:sz w:val="14"/>
              <w:szCs w:val="14"/>
            </w:rPr>
            <w:t xml:space="preserve">SMARTPOT-AI · V1.0</w:t>
          </w:r>
        </w:p>
      </w:tc>
    </w:tr>
  </w:tbl>
  <w:p>
    <w:pPr>
      <w:spacing w:before="0" w:after="0" w:line="240" w:lineRule="auto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•"/>
      <w:lvlJc w:val="left"/>
      <w:pPr>
        <w:ind w:left="360" w:hanging="260"/>
      </w:pPr>
      <w:rPr>
        <w:color w:val="00B074"/>
        <w:b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360" w:hanging="260"/>
      </w:pPr>
      <w:rPr>
        <w:color w:val="00B074"/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Segoe UI" w:hAnsi="Segoe UI" w:eastAsia="Segoe UI" w:cs="Segoe UI"/>
        <w:color w:val="17261F"/>
        <w:sz w:val="20"/>
        <w:szCs w:val="20"/>
        <w:lang w:val="es-CO" w:eastAsia="es-CO" w:bidi="ar-SA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6" w:color="00B074"/>
      </w:pBdr>
      <w:spacing w:before="0" w:after="200" w:line="240" w:lineRule="auto"/>
      <w:outlineLvl w:val="0"/>
    </w:pPr>
    <w:rPr>
      <w:rFonts w:ascii="Century Gothic" w:hAnsi="Century Gothic" w:eastAsia="Century Gothic" w:cs="Century Gothic"/>
      <w:b/>
      <w:bCs/>
      <w:color w:val="0B3D2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00" w:line="240" w:lineRule="auto"/>
      <w:outlineLvl w:val="1"/>
    </w:pPr>
    <w:rPr>
      <w:rFonts w:ascii="Century Gothic" w:hAnsi="Century Gothic" w:eastAsia="Century Gothic" w:cs="Century Gothic"/>
      <w:b/>
      <w:bCs/>
      <w:color w:val="067A5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 w:line="240" w:lineRule="auto"/>
      <w:outlineLvl w:val="2"/>
    </w:pPr>
    <w:rPr>
      <w:rFonts w:ascii="Segoe UI" w:hAnsi="Segoe UI" w:eastAsia="Segoe UI" w:cs="Segoe UI"/>
      <w:b/>
      <w:bCs/>
      <w:color w:val="067A52"/>
      <w:sz w:val="21"/>
      <w:szCs w:val="21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rPr>
      <w:color w:val="1F6FA0"/>
      <w:u w:val="single"/>
    </w:rPr>
  </w:style>
</w:styles>
</file>

<file path=word/_rels/document.xml.rels><?xml version="1.0" encoding="UTF-8" standalone="yes"?><Relationships xmlns="http://schemas.openxmlformats.org/package/2006/relationships"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Link3" Type="http://schemas.openxmlformats.org/officeDocument/2006/relationships/hyperlink" Target="https://smartpot.app" TargetMode="External"/><Relationship Id="rIdLink4" Type="http://schemas.openxmlformats.org/officeDocument/2006/relationships/hyperlink" Target="https://github.com/SmartPotTech/SmartPot-AI" TargetMode="External"/><Relationship Id="rIdLink5" Type="http://schemas.openxmlformats.org/officeDocument/2006/relationships/hyperlink" Target="https://github.com/SmartPotTech/.github/blob/main/docs/SmartPot_Technical_Documentation.md" TargetMode="External"/><Relationship Id="rIdLink6" Type="http://schemas.openxmlformats.org/officeDocument/2006/relationships/hyperlink" Target="https://github.com/SmartPotTech/.github/blob/main/docs/SmartPot_Project_Journey.md" TargetMode="External"/><Relationship Id="rIdLink7" Type="http://schemas.openxmlformats.org/officeDocument/2006/relationships/hyperlink" Target="https://github.com/SmartPotTech/.github/blob/main/docs/SmartPot_Software_Lifecycle.md" TargetMode="External"/><Relationship Id="rIdLink8" Type="http://schemas.openxmlformats.org/officeDocument/2006/relationships/hyperlink" Target="https://github.com/SmartPotTech/.github/blob/main/docs/README.md#diagramas-generales" TargetMode="External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Relationship Id="rIdHeader" Type="http://schemas.openxmlformats.org/officeDocument/2006/relationships/header" Target="header1.xml"/><Relationship Id="rIdFooter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Img7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>
  <Application>SmartPot docs</Application>
  <Company>SmartPotTech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SmartPot-AI</dc:title>
  <dc:subject>El asistente inteligente de SmartPot</dc:subject>
  <dc:creator>SmartPotTech</dc:creator>
  <dc:language>es-CO</dc:language>
  <dcterms:created xsi:type="dcterms:W3CDTF">2026-09-28T00:09:51Z</dcterms:created>
  <dcterms:modified xsi:type="dcterms:W3CDTF">2026-09-28T00:09:51Z</dcterms:modified>
</cp:coreProperties>
</file>