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13300" w:hRule="exact"/>
        </w:trPr>
        <w:tc>
          <w:tcPr>
            <w:tcW w:w="12240" w:type="dxa"/>
            <w:shd w:val="clear" w:color="auto" w:fill="0B3D2B"/>
            <w:tcMar>
              <w:top w:w="1500" w:type="dxa"/>
              <w:left w:w="1180" w:type="dxa"/>
              <w:bottom w:w="0" w:type="dxa"/>
              <w:right w:w="1180" w:type="dxa"/>
            </w:tcMar>
            <w:vAlign w:val="top"/>
          </w:tcPr>
          <w:p>
            <w:pPr>
              <w:spacing w:before="0" w:after="2600" w:line="288" w:lineRule="auto"/>
            </w:pPr>
            <w:r>
              <w:drawing>
                <wp:inline distT="0" distB="0" distL="0" distR="0">
                  <wp:extent cx="3000000" cy="628820"/>
                  <wp:docPr id="101" name="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Logo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000" cy="62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anchor distT="0" distB="0" distL="0" distR="0" simplePos="0" relativeHeight="1" behindDoc="0" locked="0" layoutInCell="0" allowOverlap="1">
                  <wp:simplePos x="0" y="0"/>
                  <wp:positionH relativeFrom="page">
                    <wp:posOffset>4050000</wp:posOffset>
                  </wp:positionH>
                  <wp:positionV relativeFrom="page">
                    <wp:posOffset>2350000</wp:posOffset>
                  </wp:positionV>
                  <wp:extent cx="4300000" cy="5495937"/>
                  <wp:effectExtent l="0" t="0" r="0" b="0"/>
                  <wp:wrapNone/>
                  <wp:docPr id="102" name="Marc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Marca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00" cy="5495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160" w:line="288" w:lineRule="auto"/>
            </w:pPr>
            <w:r>
              <w:rPr>
                <w:b/>
                <w:bCs/>
                <w:caps/>
                <w:color w:val="F2B632"/>
                <w:spacing w:val="50"/>
                <w:sz w:val="17"/>
                <w:szCs w:val="17"/>
              </w:rPr>
              <w:t xml:space="preserve">Documentación del componente</w:t>
            </w:r>
          </w:p>
          <w:p>
            <w:pPr>
              <w:spacing w:before="0" w:after="12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68"/>
                <w:szCs w:val="68"/>
              </w:rPr>
              <w:t xml:space="preserve">SmartPot-</w:t>
            </w:r>
            <w:r>
              <w:rPr>
                <w:rFonts w:ascii="Century Gothic" w:hAnsi="Century Gothic" w:eastAsia="Century Gothic" w:cs="Century Gothic"/>
                <w:b/>
                <w:bCs/>
                <w:color w:val="00B074"/>
                <w:sz w:val="68"/>
                <w:szCs w:val="68"/>
              </w:rPr>
              <w:t xml:space="preserve">API</w:t>
            </w:r>
          </w:p>
          <w:p>
            <w:pPr>
              <w:spacing w:before="0" w:after="360" w:line="264" w:lineRule="auto"/>
            </w:pPr>
            <w:r>
              <w:rPr>
                <w:rFonts w:ascii="Century Gothic" w:hAnsi="Century Gothic" w:eastAsia="Century Gothic" w:cs="Century Gothic"/>
                <w:i/>
                <w:iCs/>
                <w:color w:val="DDF5EA"/>
                <w:sz w:val="32"/>
                <w:szCs w:val="32"/>
              </w:rPr>
              <w:t xml:space="preserve">El centro de la plataforma SmartPot</w:t>
            </w:r>
          </w:p>
          <w:p>
            <w:pPr>
              <w:ind w:right="3900"/>
              <w:spacing w:before="0" w:after="0" w:line="300" w:lineRule="auto"/>
            </w:pPr>
            <w:r>
              <w:rPr>
                <w:color w:val="7FDBB0"/>
                <w:sz w:val="21"/>
                <w:szCs w:val="21"/>
              </w:rPr>
              <w:t xml:space="preserve">REST con JWT, puente MQTT con el broker, cultivos reales y virtuales, agente de automatización con el asistente de IA, canales de notificación, seguridad, configuración y operación de la API.</w:t>
            </w:r>
          </w:p>
        </w:tc>
      </w:tr>
    </w:tbl>
    <w:tbl>
      <w:tblPr>
        <w:tblW w:w="122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12240"/>
      </w:tblGrid>
      <w:tr>
        <w:trPr>
          <w:cantSplit/>
          <w:trHeight w:val="2540" w:hRule="exact"/>
        </w:trPr>
        <w:tc>
          <w:tcPr>
            <w:tcW w:w="12240" w:type="dxa"/>
            <w:tcBorders>
              <w:top w:val="single" w:sz="18" w:space="0" w:color="00B074"/>
            </w:tcBorders>
            <w:shd w:val="clear" w:color="auto" w:fill="06281C"/>
            <w:tcMar>
              <w:top w:w="0" w:type="dxa"/>
              <w:left w:w="1180" w:type="dxa"/>
              <w:bottom w:w="0" w:type="dxa"/>
              <w:right w:w="1180" w:type="dxa"/>
            </w:tcMar>
            <w:vAlign w:val="center"/>
          </w:tcPr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60" w:line="240" w:lineRule="auto"/>
            </w:pP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DOCUMENTO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VERSIÓN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EQUIPO</w:t>
            </w:r>
            <w:r>
              <w:rPr>
                <w:color w:val="17261F"/>
                <w:sz w:val="15"/>
                <w:szCs w:val="15"/>
              </w:rPr>
              <w:t xml:space="preserve">	</w:t>
            </w:r>
            <w:r>
              <w:rPr>
                <w:b/>
                <w:bCs/>
                <w:color w:val="7FDBB0"/>
                <w:spacing w:val="30"/>
                <w:sz w:val="15"/>
                <w:szCs w:val="15"/>
              </w:rPr>
              <w:t xml:space="preserve">PROYECTO</w:t>
            </w:r>
          </w:p>
          <w:p>
            <w:pPr>
              <w:tabs>
                <w:tab w:val="left" w:pos="2700"/>
                <w:tab w:val="left" w:pos="5000"/>
                <w:tab w:val="left" w:pos="7300"/>
              </w:tabs>
              <w:spacing w:before="0" w:after="0" w:line="24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SmartPot-API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1.0 · septiembre 2026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SmartPotTech</w:t>
            </w:r>
            <w:r>
              <w:rPr>
                <w:color w:val="17261F"/>
                <w:sz w:val="19"/>
                <w:szCs w:val="19"/>
              </w:rPr>
              <w:t xml:space="preserve">	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smartpot.app</w:t>
            </w:r>
          </w:p>
        </w:tc>
      </w:tr>
    </w:tbl>
    <w:p>
      <w:pPr>
        <w:spacing w:after="0" w:line="240" w:lineRule="auto"/>
        <w:rPr>
          <w:sz w:val="2"/>
        </w:rPr>
        <w:sectPr>
          <w:pgSz w:w="12240" w:h="15840"/>
          <w:pgMar w:top="0" w:right="0" w:bottom="0" w:left="0" w:header="0" w:footer="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DOCUMENTO</w:t>
      </w:r>
    </w:p>
    <w:p>
      <w:pPr>
        <w:pStyle w:val="Heading1"/>
      </w:pPr>
      <w:bookmarkStart w:id="103" w:name="sec_103"/>
      <w:r>
        <w:rPr>
          <w:b/>
          <w:bCs/>
          <w:color w:val="0B3D2B"/>
          <w:sz w:val="34"/>
          <w:szCs w:val="34"/>
        </w:rPr>
        <w:t xml:space="preserve">Ficha del documento</w:t>
      </w:r>
      <w:bookmarkEnd w:id="103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74"/>
        <w:gridCol w:w="6886"/>
      </w:tblGrid>
      <w:tr>
        <w:trPr>
          <w:cantSplit/>
          <w:tblHeader/>
        </w:trPr>
        <w:tc>
          <w:tcPr>
            <w:tcW w:w="2474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CAMPO</w:t>
            </w:r>
          </w:p>
        </w:tc>
        <w:tc>
          <w:tcPr>
            <w:tcW w:w="688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Proyecto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 · </w:t>
            </w:r>
            <w:hyperlink r:id="rIdLink3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smartpot.app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Componente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4">
              <w:r>
                <w:rPr>
                  <w:color w:val="1F6FA0"/>
                  <w:sz w:val="17"/>
                  <w:szCs w:val="17"/>
                  <w:u w:val="single"/>
                </w:rPr>
                <w:t xml:space="preserve">SmartPot-API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Versión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1.0 · septiembre 2026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Alcance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Dominios de la API, cultivos reales y virtuales, flujo de lecturas y comandos, seguridad, configuración, pruebas y operación</w:t>
            </w:r>
          </w:p>
        </w:tc>
      </w:tr>
      <w:tr>
        <w:trPr>
          <w:cantSplit/>
        </w:trPr>
        <w:tc>
          <w:tcPr>
            <w:tcW w:w="247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Documentación de la plataforma</w:t>
            </w:r>
          </w:p>
        </w:tc>
        <w:tc>
          <w:tcPr>
            <w:tcW w:w="688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hyperlink r:id="rIdLink5">
              <w:r>
                <w:rPr>
                  <w:color w:val="1F6FA0"/>
                  <w:sz w:val="17"/>
                  <w:szCs w:val="17"/>
                  <w:u w:val="single"/>
                </w:rPr>
                <w:t xml:space="preserve">Documentación técnica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6">
              <w:r>
                <w:rPr>
                  <w:color w:val="1F6FA0"/>
                  <w:sz w:val="17"/>
                  <w:szCs w:val="17"/>
                  <w:u w:val="single"/>
                </w:rPr>
                <w:t xml:space="preserve">recorrido del proyecto</w:t>
              </w:r>
            </w:hyperlink>
            <w:r>
              <w:rPr>
                <w:color w:val="17261F"/>
                <w:sz w:val="17"/>
                <w:szCs w:val="17"/>
              </w:rPr>
              <w:t xml:space="preserve">, </w:t>
            </w:r>
            <w:hyperlink r:id="rIdLink7">
              <w:r>
                <w:rPr>
                  <w:color w:val="1F6FA0"/>
                  <w:sz w:val="17"/>
                  <w:szCs w:val="17"/>
                  <w:u w:val="single"/>
                </w:rPr>
                <w:t xml:space="preserve">ciclo de vida</w:t>
              </w:r>
            </w:hyperlink>
            <w:r>
              <w:rPr>
                <w:color w:val="17261F"/>
                <w:sz w:val="17"/>
                <w:szCs w:val="17"/>
              </w:rPr>
              <w:t xml:space="preserve"> y </w:t>
            </w:r>
            <w:hyperlink r:id="rIdLink8">
              <w:r>
                <w:rPr>
                  <w:color w:val="1F6FA0"/>
                  <w:sz w:val="17"/>
                  <w:szCs w:val="17"/>
                  <w:u w:val="single"/>
                </w:rPr>
                <w:t xml:space="preserve">diagramas generales</w:t>
              </w:r>
            </w:hyperlink>
          </w:p>
        </w:tc>
      </w:tr>
      <w:tr>
        <w:trPr>
          <w:cantSplit/>
        </w:trPr>
        <w:tc>
          <w:tcPr>
            <w:tcW w:w="2474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Mantenimiento</w:t>
            </w:r>
          </w:p>
        </w:tc>
        <w:tc>
          <w:tcPr>
            <w:tcW w:w="688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genera desde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docs/</w:t>
            </w:r>
            <w:r>
              <w:rPr>
                <w:color w:val="17261F"/>
                <w:sz w:val="17"/>
                <w:szCs w:val="17"/>
              </w:rPr>
              <w:t xml:space="preserve"> de este repositorio con las herramientas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.github/docs/tools</w:t>
            </w:r>
            <w:r>
              <w:rPr>
                <w:color w:val="17261F"/>
                <w:sz w:val="17"/>
                <w:szCs w:val="17"/>
              </w:rPr>
              <w:t xml:space="preserve">; se actualiza con cada cambio del componente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CONTENIDO</w:t>
      </w:r>
    </w:p>
    <w:p>
      <w:pPr>
        <w:pStyle w:val="Heading1"/>
      </w:pPr>
      <w:r>
        <w:rPr>
          <w:b/>
          <w:bCs/>
          <w:color w:val="0B3D2B"/>
          <w:sz w:val="34"/>
          <w:szCs w:val="34"/>
        </w:rPr>
        <w:t xml:space="preserve">Contenido</w:t>
      </w:r>
    </w:p>
    <w:p>
      <w:pPr>
        <w:ind w:left="0"/>
        <w:spacing w:before="100" w:after="30" w:line="252" w:lineRule="auto"/>
      </w:pPr>
      <w:hyperlink w:anchor="sec_104" w:history="1">
        <w:r>
          <w:rPr>
            <w:b/>
            <w:bCs/>
            <w:color w:val="0B3D2B"/>
            <w:sz w:val="21"/>
            <w:szCs w:val="21"/>
          </w:rPr>
          <w:t xml:space="preserve">1. Propósito</w:t>
        </w:r>
      </w:hyperlink>
    </w:p>
    <w:p>
      <w:pPr>
        <w:ind w:left="0"/>
        <w:spacing w:before="100" w:after="30" w:line="252" w:lineRule="auto"/>
      </w:pPr>
      <w:hyperlink w:anchor="sec_106" w:history="1">
        <w:r>
          <w:rPr>
            <w:b/>
            <w:bCs/>
            <w:color w:val="0B3D2B"/>
            <w:sz w:val="21"/>
            <w:szCs w:val="21"/>
          </w:rPr>
          <w:t xml:space="preserve">2. Arquitectura del componente</w:t>
        </w:r>
      </w:hyperlink>
    </w:p>
    <w:p>
      <w:pPr>
        <w:ind w:left="0"/>
        <w:spacing w:before="100" w:after="30" w:line="252" w:lineRule="auto"/>
      </w:pPr>
      <w:hyperlink w:anchor="sec_108" w:history="1">
        <w:r>
          <w:rPr>
            <w:b/>
            <w:bCs/>
            <w:color w:val="0B3D2B"/>
            <w:sz w:val="21"/>
            <w:szCs w:val="21"/>
          </w:rPr>
          <w:t xml:space="preserve">3. Cultivos reales y virtuales</w:t>
        </w:r>
      </w:hyperlink>
    </w:p>
    <w:p>
      <w:pPr>
        <w:ind w:left="0"/>
        <w:spacing w:before="100" w:after="30" w:line="252" w:lineRule="auto"/>
      </w:pPr>
      <w:hyperlink w:anchor="sec_110" w:history="1">
        <w:r>
          <w:rPr>
            <w:b/>
            <w:bCs/>
            <w:color w:val="0B3D2B"/>
            <w:sz w:val="21"/>
            <w:szCs w:val="21"/>
          </w:rPr>
          <w:t xml:space="preserve">4. De la lectura a la orden</w:t>
        </w:r>
      </w:hyperlink>
    </w:p>
    <w:p>
      <w:pPr>
        <w:ind w:left="0"/>
        <w:spacing w:before="100" w:after="30" w:line="252" w:lineRule="auto"/>
      </w:pPr>
      <w:hyperlink w:anchor="sec_112" w:history="1">
        <w:r>
          <w:rPr>
            <w:b/>
            <w:bCs/>
            <w:color w:val="0B3D2B"/>
            <w:sz w:val="21"/>
            <w:szCs w:val="21"/>
          </w:rPr>
          <w:t xml:space="preserve">5. Seguridad de cada petición</w:t>
        </w:r>
      </w:hyperlink>
    </w:p>
    <w:p>
      <w:pPr>
        <w:ind w:left="0"/>
        <w:spacing w:before="100" w:after="30" w:line="252" w:lineRule="auto"/>
      </w:pPr>
      <w:hyperlink w:anchor="sec_114" w:history="1">
        <w:r>
          <w:rPr>
            <w:b/>
            <w:bCs/>
            <w:color w:val="0B3D2B"/>
            <w:sz w:val="21"/>
            <w:szCs w:val="21"/>
          </w:rPr>
          <w:t xml:space="preserve">6. Contrato</w:t>
        </w:r>
      </w:hyperlink>
    </w:p>
    <w:p>
      <w:pPr>
        <w:ind w:left="0"/>
        <w:spacing w:before="100" w:after="30" w:line="252" w:lineRule="auto"/>
      </w:pPr>
      <w:hyperlink w:anchor="sec_115" w:history="1">
        <w:r>
          <w:rPr>
            <w:b/>
            <w:bCs/>
            <w:color w:val="0B3D2B"/>
            <w:sz w:val="21"/>
            <w:szCs w:val="21"/>
          </w:rPr>
          <w:t xml:space="preserve">7. Configuración</w:t>
        </w:r>
      </w:hyperlink>
    </w:p>
    <w:p>
      <w:pPr>
        <w:ind w:left="0"/>
        <w:spacing w:before="100" w:after="30" w:line="252" w:lineRule="auto"/>
      </w:pPr>
      <w:hyperlink w:anchor="sec_116" w:history="1">
        <w:r>
          <w:rPr>
            <w:b/>
            <w:bCs/>
            <w:color w:val="0B3D2B"/>
            <w:sz w:val="21"/>
            <w:szCs w:val="21"/>
          </w:rPr>
          <w:t xml:space="preserve">8. Pruebas</w:t>
        </w:r>
      </w:hyperlink>
    </w:p>
    <w:p>
      <w:pPr>
        <w:ind w:left="0"/>
        <w:spacing w:before="100" w:after="30" w:line="252" w:lineRule="auto"/>
      </w:pPr>
      <w:hyperlink w:anchor="sec_117" w:history="1">
        <w:r>
          <w:rPr>
            <w:b/>
            <w:bCs/>
            <w:color w:val="0B3D2B"/>
            <w:sz w:val="21"/>
            <w:szCs w:val="21"/>
          </w:rPr>
          <w:t xml:space="preserve">9. Operación</w:t>
        </w:r>
      </w:hyperlink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El componente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01</w:t>
      </w:r>
    </w:p>
    <w:p>
      <w:pPr>
        <w:pStyle w:val="Heading1"/>
      </w:pPr>
      <w:bookmarkStart w:id="104" w:name="sec_104"/>
      <w:r>
        <w:rPr>
          <w:b/>
          <w:bCs/>
          <w:color w:val="0B3D2B"/>
          <w:sz w:val="34"/>
          <w:szCs w:val="34"/>
        </w:rPr>
        <w:t xml:space="preserve">Propósito</w:t>
      </w:r>
      <w:bookmarkEnd w:id="104"/>
    </w:p>
    <w:p>
      <w:pPr>
        <w:pStyle w:val="Heading2"/>
      </w:pPr>
      <w:bookmarkStart w:id="105" w:name="sec_105"/>
      <w:r>
        <w:rPr>
          <w:b/>
          <w:bCs/>
          <w:color w:val="067A52"/>
          <w:sz w:val="25"/>
          <w:szCs w:val="25"/>
        </w:rPr>
        <w:t xml:space="preserve">En palabras simples</w:t>
      </w:r>
      <w:bookmarkEnd w:id="10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API es la única puerta de SmartPot. La PWA le habla por HTTPS; los dispositivos de los cultivos, por MQTT a través del broker. La API guarda las lecturas, le pregunta al asistente de IA cómo va cada cultivo, manda las órdenes a los actuadores, administra las cuentas MQTT de cada cultivo y avisa por la PWA y por Telegram. Todo lo que ve una persona pasa por aquí, siempre con su sesión y solo sobre sus propios cultivos.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040"/>
        <w:gridCol w:w="7320"/>
      </w:tblGrid>
      <w:tr>
        <w:trPr>
          <w:cantSplit/>
          <w:tblHeader/>
        </w:trPr>
        <w:tc>
          <w:tcPr>
            <w:tcW w:w="204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RESPONSABILIDAD</w:t>
            </w:r>
          </w:p>
        </w:tc>
        <w:tc>
          <w:tcPr>
            <w:tcW w:w="732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</w:t>
            </w:r>
          </w:p>
        </w:tc>
      </w:tr>
      <w:tr>
        <w:trPr>
          <w:cantSplit/>
        </w:trPr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Cuentas y sesión</w:t>
            </w:r>
          </w:p>
        </w:tc>
        <w:tc>
          <w:tcPr>
            <w:tcW w:w="7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Registro, ingreso con JWT, recuperación de contraseña por correo, perfil y borrado de la cuenta</w:t>
            </w:r>
          </w:p>
        </w:tc>
      </w:tr>
      <w:tr>
        <w:trPr>
          <w:cantSplit/>
        </w:trPr>
        <w:tc>
          <w:tcPr>
            <w:tcW w:w="20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Cultivos</w:t>
            </w:r>
          </w:p>
        </w:tc>
        <w:tc>
          <w:tcPr>
            <w:tcW w:w="73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Reales o virtuales (se elige al crear y no cambia), seis especies, cuatro formas y modo automático</w:t>
            </w:r>
          </w:p>
        </w:tc>
      </w:tr>
      <w:tr>
        <w:trPr>
          <w:cantSplit/>
        </w:trPr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Dispositivos</w:t>
            </w:r>
          </w:p>
        </w:tc>
        <w:tc>
          <w:tcPr>
            <w:tcW w:w="7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Cuenta MQTT por cultivo con clave de 192 bits cifrada con AES-256-GCM; aprovisionamiento en Mosquitto</w:t>
            </w:r>
          </w:p>
        </w:tc>
      </w:tr>
      <w:tr>
        <w:trPr>
          <w:cantSplit/>
        </w:trPr>
        <w:tc>
          <w:tcPr>
            <w:tcW w:w="20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Lecturas</w:t>
            </w:r>
          </w:p>
        </w:tc>
        <w:tc>
          <w:tcPr>
            <w:tcW w:w="73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Telemetría MQTT validada contra el rango físico de cada sensor, historial, resumen y CSV</w:t>
            </w:r>
          </w:p>
        </w:tc>
      </w:tr>
      <w:tr>
        <w:trPr>
          <w:cantSplit/>
        </w:trPr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Órdenes</w:t>
            </w:r>
          </w:p>
        </w:tc>
        <w:tc>
          <w:tcPr>
            <w:tcW w:w="7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Comandos con QoS 1, confirmación del dispositivo, vencimiento y órdenes en bloque</w:t>
            </w:r>
          </w:p>
        </w:tc>
      </w:tr>
      <w:tr>
        <w:trPr>
          <w:cantSplit/>
        </w:trPr>
        <w:tc>
          <w:tcPr>
            <w:tcW w:w="20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Asistente</w:t>
            </w:r>
          </w:p>
        </w:tc>
        <w:tc>
          <w:tcPr>
            <w:tcW w:w="73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Evaluación con SmartPot-AI, agente de automatización y envío de lecturas reales para el aprendizaje</w:t>
            </w:r>
          </w:p>
        </w:tc>
      </w:tr>
      <w:tr>
        <w:trPr>
          <w:cantSplit/>
        </w:trPr>
        <w:tc>
          <w:tcPr>
            <w:tcW w:w="204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Simulación</w:t>
            </w:r>
          </w:p>
        </w:tc>
        <w:tc>
          <w:tcPr>
            <w:tcW w:w="732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Configuración de los cultivos virtuales y proxy al simulador interno</w:t>
            </w:r>
          </w:p>
        </w:tc>
      </w:tr>
      <w:tr>
        <w:trPr>
          <w:cantSplit/>
        </w:trPr>
        <w:tc>
          <w:tcPr>
            <w:tcW w:w="204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Avisos</w:t>
            </w:r>
          </w:p>
        </w:tc>
        <w:tc>
          <w:tcPr>
            <w:tcW w:w="732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Notificaciones en la PWA y en Telegram, con canales intercambiables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02</w:t>
      </w:r>
    </w:p>
    <w:p>
      <w:pPr>
        <w:pStyle w:val="Heading1"/>
      </w:pPr>
      <w:bookmarkStart w:id="106" w:name="sec_106"/>
      <w:r>
        <w:rPr>
          <w:b/>
          <w:bCs/>
          <w:color w:val="0B3D2B"/>
          <w:sz w:val="34"/>
          <w:szCs w:val="34"/>
        </w:rPr>
        <w:t xml:space="preserve">Arquitectura del componente</w:t>
      </w:r>
      <w:bookmarkEnd w:id="106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Cada dominio sigue las mismas capas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controller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service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repository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mapper</w:t>
      </w:r>
      <w:r>
        <w:rPr>
          <w:color w:val="17261F"/>
          <w:sz w:val="20"/>
          <w:szCs w:val="20"/>
        </w:rPr>
        <w:t xml:space="preserve"> y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model</w:t>
      </w:r>
      <w:r>
        <w:rPr>
          <w:color w:val="17261F"/>
          <w:sz w:val="20"/>
          <w:szCs w:val="20"/>
        </w:rPr>
        <w:t xml:space="preserve">). Los dominios se hablan con servicios y eventos de Spring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ReadingRecordedEvent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CropDeletedEvent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DeviceKeyRotatedEvent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NotificationCreatedEvent</w:t>
      </w:r>
      <w:r>
        <w:rPr>
          <w:color w:val="17261F"/>
          <w:sz w:val="20"/>
          <w:szCs w:val="20"/>
        </w:rPr>
        <w:t xml:space="preserve">), así un cambio en uno no arrastra a los demás.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pgNumType w:start="2"/>
          <w:cols w:space="720"/>
        </w:sectPr>
      </w:pPr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8229600" cy="3222410"/>
            <wp:docPr id="107" name="SmartPot_API_Global_Compon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7" name="SmartPot_API_Global_Component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2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1</w:t>
      </w:r>
      <w:r>
        <w:rPr>
          <w:i/>
          <w:iCs/>
          <w:color w:val="5B6B63"/>
          <w:sz w:val="16"/>
          <w:szCs w:val="16"/>
        </w:rPr>
        <w:t xml:space="preserve">  ·  SmartPot-API por dentro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475"/>
        <w:gridCol w:w="6885"/>
      </w:tblGrid>
      <w:tr>
        <w:trPr>
          <w:cantSplit/>
          <w:tblHeader/>
        </w:trPr>
        <w:tc>
          <w:tcPr>
            <w:tcW w:w="247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PAQUETE</w:t>
            </w:r>
          </w:p>
        </w:tc>
        <w:tc>
          <w:tcPr>
            <w:tcW w:w="688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w="24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security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users</w:t>
            </w:r>
          </w:p>
        </w:tc>
        <w:tc>
          <w:tcPr>
            <w:tcW w:w="68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Filtros, JWT, límite de peticiones, AES-GCM, autenticación y perfil</w:t>
            </w:r>
          </w:p>
        </w:tc>
      </w:tr>
      <w:tr>
        <w:trPr>
          <w:cantSplit/>
        </w:trPr>
        <w:tc>
          <w:tcPr>
            <w:tcW w:w="24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crops</w:t>
            </w:r>
          </w:p>
        </w:tc>
        <w:tc>
          <w:tcPr>
            <w:tcW w:w="688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Cultivos, tipo y forma, modo automático y credenciales del dispositivo</w:t>
            </w:r>
          </w:p>
        </w:tc>
      </w:tr>
      <w:tr>
        <w:trPr>
          <w:cantSplit/>
        </w:trPr>
        <w:tc>
          <w:tcPr>
            <w:tcW w:w="24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readings</w:t>
            </w:r>
          </w:p>
        </w:tc>
        <w:tc>
          <w:tcPr>
            <w:tcW w:w="68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Lecturas, rangos físicos, resumen y exportación</w:t>
            </w:r>
          </w:p>
        </w:tc>
      </w:tr>
      <w:tr>
        <w:trPr>
          <w:cantSplit/>
        </w:trPr>
        <w:tc>
          <w:tcPr>
            <w:tcW w:w="24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actuators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commands</w:t>
            </w:r>
          </w:p>
        </w:tc>
        <w:tc>
          <w:tcPr>
            <w:tcW w:w="688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Actuadores de cada cultivo y ciclo de vida de las órdenes</w:t>
            </w:r>
          </w:p>
        </w:tc>
      </w:tr>
      <w:tr>
        <w:trPr>
          <w:cantSplit/>
        </w:trPr>
        <w:tc>
          <w:tcPr>
            <w:tcW w:w="24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mqtt</w:t>
            </w:r>
          </w:p>
        </w:tc>
        <w:tc>
          <w:tcPr>
            <w:tcW w:w="68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Cliente Paho, tópicos v1, parser de telemetría y aprovisionamiento en el broker</w:t>
            </w:r>
          </w:p>
        </w:tc>
      </w:tr>
      <w:tr>
        <w:trPr>
          <w:cantSplit/>
        </w:trPr>
        <w:tc>
          <w:tcPr>
            <w:tcW w:w="24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ai</w:t>
            </w:r>
          </w:p>
        </w:tc>
        <w:tc>
          <w:tcPr>
            <w:tcW w:w="688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Cliente de la IA, evaluación, agente de automatización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LearningFeed</w:t>
            </w:r>
          </w:p>
        </w:tc>
      </w:tr>
      <w:tr>
        <w:trPr>
          <w:cantSplit/>
        </w:trPr>
        <w:tc>
          <w:tcPr>
            <w:tcW w:w="24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overview</w:t>
            </w:r>
          </w:p>
        </w:tc>
        <w:tc>
          <w:tcPr>
            <w:tcW w:w="68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Panel general: totales, series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$dateTrunc</w:t>
            </w:r>
            <w:r>
              <w:rPr>
                <w:color w:val="17261F"/>
                <w:sz w:val="17"/>
                <w:szCs w:val="17"/>
              </w:rPr>
              <w:t xml:space="preserve"> y análisis de flota</w:t>
            </w:r>
          </w:p>
        </w:tc>
      </w:tr>
      <w:tr>
        <w:trPr>
          <w:cantSplit/>
        </w:trPr>
        <w:tc>
          <w:tcPr>
            <w:tcW w:w="24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notifications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channels</w:t>
            </w:r>
          </w:p>
        </w:tc>
        <w:tc>
          <w:tcPr>
            <w:tcW w:w="688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Alertas y canales externos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NotificationChannel</w:t>
            </w:r>
            <w:r>
              <w:rPr>
                <w:color w:val="17261F"/>
                <w:sz w:val="17"/>
                <w:szCs w:val="17"/>
              </w:rPr>
              <w:t xml:space="preserve">, hoy Telegram)</w:t>
            </w:r>
          </w:p>
        </w:tc>
      </w:tr>
      <w:tr>
        <w:trPr>
          <w:cantSplit/>
        </w:trPr>
        <w:tc>
          <w:tcPr>
            <w:tcW w:w="247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virtualdevices</w:t>
            </w:r>
          </w:p>
        </w:tc>
        <w:tc>
          <w:tcPr>
            <w:tcW w:w="688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Simulación de los cultivos virtuales, reconciliación y completado de cultivos anteriores</w:t>
            </w:r>
          </w:p>
        </w:tc>
      </w:tr>
      <w:tr>
        <w:trPr>
          <w:cantSplit/>
        </w:trPr>
        <w:tc>
          <w:tcPr>
            <w:tcW w:w="247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cache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mail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health</w:t>
            </w:r>
            <w:r>
              <w:rPr>
                <w:b/>
                <w:bCs/>
                <w:color w:val="0A5A3C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b/>
                <w:bCs/>
                <w:color w:val="0A5A3C"/>
                <w:sz w:val="15"/>
                <w:szCs w:val="15"/>
              </w:rPr>
              <w:t xml:space="preserve">config</w:t>
            </w:r>
          </w:p>
        </w:tc>
        <w:tc>
          <w:tcPr>
            <w:tcW w:w="688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Redis con respaldo en memoria, correo,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/health</w:t>
            </w:r>
            <w:r>
              <w:rPr>
                <w:color w:val="17261F"/>
                <w:sz w:val="17"/>
                <w:szCs w:val="17"/>
              </w:rPr>
              <w:t xml:space="preserve"> y configuración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03</w:t>
      </w:r>
    </w:p>
    <w:p>
      <w:pPr>
        <w:pStyle w:val="Heading1"/>
      </w:pPr>
      <w:bookmarkStart w:id="108" w:name="sec_108"/>
      <w:r>
        <w:rPr>
          <w:b/>
          <w:bCs/>
          <w:color w:val="0B3D2B"/>
          <w:sz w:val="34"/>
          <w:szCs w:val="34"/>
        </w:rPr>
        <w:t xml:space="preserve">Cultivos reales y virtuales</w:t>
      </w:r>
      <w:bookmarkEnd w:id="108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Al crear un cultivo se elige, una sola vez, de dónde vienen sus lecturas. Los dos tipos tienen cuenta en el broker; lo que cambia es quién la usa.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726"/>
        <w:gridCol w:w="3265"/>
        <w:gridCol w:w="4369"/>
      </w:tblGrid>
      <w:tr>
        <w:trPr>
          <w:cantSplit/>
          <w:tblHeader/>
        </w:trPr>
        <w:tc>
          <w:tcPr>
            <w:tcW w:w="1726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REGLA</w:t>
            </w:r>
          </w:p>
        </w:tc>
        <w:tc>
          <w:tcPr>
            <w:tcW w:w="3265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REAL</w:t>
            </w:r>
          </w:p>
        </w:tc>
        <w:tc>
          <w:tcPr>
            <w:tcW w:w="4369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VIRTUAL</w:t>
            </w:r>
          </w:p>
        </w:tc>
      </w:tr>
      <w:tr>
        <w:trPr>
          <w:cantSplit/>
        </w:trPr>
        <w:tc>
          <w:tcPr>
            <w:tcW w:w="1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Quién publica</w:t>
            </w:r>
          </w:p>
        </w:tc>
        <w:tc>
          <w:tcPr>
            <w:tcW w:w="326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Un ESP32 con el firmware, físico o simulado en Wokwi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SmartPot-DataGenerator</w:t>
            </w:r>
          </w:p>
        </w:tc>
      </w:tr>
      <w:tr>
        <w:trPr>
          <w:cantSplit/>
        </w:trPr>
        <w:tc>
          <w:tcPr>
            <w:tcW w:w="172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Credenciales</w:t>
            </w:r>
          </w:p>
        </w:tc>
        <w:tc>
          <w:tcPr>
            <w:tcW w:w="326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Se entregan una vez y se pueden rotar</w:t>
            </w:r>
          </w:p>
        </w:tc>
        <w:tc>
          <w:tcPr>
            <w:tcW w:w="436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No se entregan: la API se las pasa al simulador por la red interna</w:t>
            </w:r>
          </w:p>
        </w:tc>
      </w:tr>
      <w:tr>
        <w:trPr>
          <w:cantSplit/>
        </w:trPr>
        <w:tc>
          <w:tcPr>
            <w:tcW w:w="1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Actuadores al nacer</w:t>
            </w:r>
          </w:p>
        </w:tc>
        <w:tc>
          <w:tcPr>
            <w:tcW w:w="326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Bomba, luz de cultivo y ventilador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Los seis</w:t>
            </w:r>
          </w:p>
        </w:tc>
      </w:tr>
      <w:tr>
        <w:trPr>
          <w:cantSplit/>
        </w:trPr>
        <w:tc>
          <w:tcPr>
            <w:tcW w:w="172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Rutas propias</w:t>
            </w:r>
          </w:p>
        </w:tc>
        <w:tc>
          <w:tcPr>
            <w:tcW w:w="326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/device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/device/key</w:t>
            </w:r>
          </w:p>
        </w:tc>
        <w:tc>
          <w:tcPr>
            <w:tcW w:w="436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/virtual-device</w:t>
            </w:r>
            <w:r>
              <w:rPr>
                <w:color w:val="17261F"/>
                <w:sz w:val="17"/>
                <w:szCs w:val="17"/>
              </w:rPr>
              <w:t xml:space="preserve"> (PUT cambia o reanuda, DELETE pausa)</w:t>
            </w:r>
          </w:p>
        </w:tc>
      </w:tr>
      <w:tr>
        <w:trPr>
          <w:cantSplit/>
        </w:trPr>
        <w:tc>
          <w:tcPr>
            <w:tcW w:w="172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Aprendizaje continuo</w:t>
            </w:r>
          </w:p>
        </w:tc>
        <w:tc>
          <w:tcPr>
            <w:tcW w:w="326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Sus lecturas entrenan los modelos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Sus lecturas no se envían</w:t>
            </w:r>
          </w:p>
        </w:tc>
      </w:tr>
      <w:tr>
        <w:trPr>
          <w:cantSplit/>
        </w:trPr>
        <w:tc>
          <w:tcPr>
            <w:tcW w:w="1726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Límite</w:t>
            </w:r>
          </w:p>
        </w:tc>
        <w:tc>
          <w:tcPr>
            <w:tcW w:w="3265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20 cultivos por cuenta en total</w:t>
            </w:r>
          </w:p>
        </w:tc>
        <w:tc>
          <w:tcPr>
            <w:tcW w:w="4369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Hasta 5 por cuenta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5943600" cy="3667086"/>
            <wp:docPr id="109" name="SmartPot_API_01_Crop_Cre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9" name="SmartPot_API_01_Crop_Creation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2</w:t>
      </w:r>
      <w:r>
        <w:rPr>
          <w:i/>
          <w:iCs/>
          <w:color w:val="5B6B63"/>
          <w:sz w:val="16"/>
          <w:szCs w:val="16"/>
        </w:rPr>
        <w:t xml:space="preserve">  ·  Crear un cultivo real o virtual</w:t>
      </w:r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forma (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POT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NFT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TOWER</w:t>
      </w:r>
      <w:r>
        <w:rPr>
          <w:color w:val="17261F"/>
          <w:sz w:val="20"/>
          <w:szCs w:val="20"/>
        </w:rPr>
        <w:t xml:space="preserve">,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RAFT</w:t>
      </w:r>
      <w:r>
        <w:rPr>
          <w:color w:val="17261F"/>
          <w:sz w:val="20"/>
          <w:szCs w:val="20"/>
        </w:rPr>
        <w:t xml:space="preserve">) solo decide cómo lo dibuja la PWA y se puede editar. Los cultivos creados antes de existir el tipo se completan al arrancar con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CropKindBackfill</w:t>
      </w:r>
      <w:r>
        <w:rPr>
          <w:color w:val="17261F"/>
          <w:sz w:val="20"/>
          <w:szCs w:val="20"/>
        </w:rPr>
        <w:t xml:space="preserve">: los que tenían simulación pasan a virtuales, el resto a reales, y sin forma quedan como maceta.</w:t>
      </w: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Funcionamiento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2240" w:h="15840"/>
          <w:pgMar w:top="1700" w:right="1440" w:bottom="1440" w:left="1440" w:header="700" w:footer="620" w:gutter="0"/>
          <w:cols w:space="720"/>
        </w:sect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04</w:t>
      </w:r>
    </w:p>
    <w:p>
      <w:pPr>
        <w:pStyle w:val="Heading1"/>
      </w:pPr>
      <w:bookmarkStart w:id="110" w:name="sec_110"/>
      <w:r>
        <w:rPr>
          <w:b/>
          <w:bCs/>
          <w:color w:val="0B3D2B"/>
          <w:sz w:val="34"/>
          <w:szCs w:val="34"/>
        </w:rPr>
        <w:t xml:space="preserve">De la lectura a la orden</w:t>
      </w:r>
      <w:bookmarkEnd w:id="110"/>
    </w:p>
    <w:p>
      <w:pPr>
        <w:keepNext/>
        <w:spacing w:before="0" w:after="60" w:line="288" w:lineRule="auto"/>
        <w:jc w:val="center"/>
      </w:pPr>
      <w:r>
        <w:drawing>
          <wp:inline distT="0" distB="0" distL="0" distR="0">
            <wp:extent cx="8073117" cy="4318000"/>
            <wp:docPr id="111" name="SmartPot_API_02_Reading_To_Comma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SmartPot_API_02_Reading_To_Command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8073117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3</w:t>
      </w:r>
      <w:r>
        <w:rPr>
          <w:i/>
          <w:iCs/>
          <w:color w:val="5B6B63"/>
          <w:sz w:val="16"/>
          <w:szCs w:val="16"/>
        </w:rPr>
        <w:t xml:space="preserve">  ·  De la lectura a la orden automática</w:t>
      </w:r>
    </w:p>
    <w:p>
      <w:pPr>
        <w:spacing w:before="0" w:after="0" w:line="240" w:lineRule="auto"/>
        <w:rPr>
          <w:sz w:val="2"/>
        </w:rPr>
        <w:sectPr>
          <w:headerReference w:type="default" r:id="rIdHeader"/>
          <w:footerReference w:type="default" r:id="rIdFooter"/>
          <w:pgSz w:w="15840" w:h="12240" w:orient="landscape"/>
          <w:pgMar w:top="1700" w:right="1440" w:bottom="1440" w:left="1440" w:header="700" w:footer="620" w:gutter="0"/>
          <w:cols w:space="720"/>
        </w:sectPr>
      </w:pP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323"/>
        <w:gridCol w:w="7037"/>
      </w:tblGrid>
      <w:tr>
        <w:trPr>
          <w:cantSplit/>
          <w:tblHeader/>
        </w:trPr>
        <w:tc>
          <w:tcPr>
            <w:tcW w:w="232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REGLA</w:t>
            </w:r>
          </w:p>
        </w:tc>
        <w:tc>
          <w:tcPr>
            <w:tcW w:w="703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VALOR</w:t>
            </w:r>
          </w:p>
        </w:tc>
      </w:tr>
      <w:tr>
        <w:trPr>
          <w:cantSplit/>
        </w:trPr>
        <w:tc>
          <w:tcPr>
            <w:tcW w:w="232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Lecturas por cultivo</w:t>
            </w:r>
          </w:p>
        </w:tc>
        <w:tc>
          <w:tcPr>
            <w:tcW w:w="703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Máximo una cada 5 s; las demás se descartan</w:t>
            </w:r>
          </w:p>
        </w:tc>
      </w:tr>
      <w:tr>
        <w:trPr>
          <w:cantSplit/>
        </w:trPr>
        <w:tc>
          <w:tcPr>
            <w:tcW w:w="232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Validación</w:t>
            </w:r>
          </w:p>
        </w:tc>
        <w:tc>
          <w:tcPr>
            <w:tcW w:w="703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variable dentro del rango físico del sensor; si no, se descarta la lectura completa</w:t>
            </w:r>
          </w:p>
        </w:tc>
      </w:tr>
      <w:tr>
        <w:trPr>
          <w:cantSplit/>
        </w:trPr>
        <w:tc>
          <w:tcPr>
            <w:tcW w:w="232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Evaluación</w:t>
            </w:r>
          </w:p>
        </w:tc>
        <w:tc>
          <w:tcPr>
            <w:tcW w:w="703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Como máximo cada 30 s con modo automático y cada 5 min sin él</w:t>
            </w:r>
          </w:p>
        </w:tc>
      </w:tr>
      <w:tr>
        <w:trPr>
          <w:cantSplit/>
        </w:trPr>
        <w:tc>
          <w:tcPr>
            <w:tcW w:w="232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Enfriamiento del agente</w:t>
            </w:r>
          </w:p>
        </w:tc>
        <w:tc>
          <w:tcPr>
            <w:tcW w:w="703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10 minutos por actuador</w:t>
            </w:r>
          </w:p>
        </w:tc>
      </w:tr>
      <w:tr>
        <w:trPr>
          <w:cantSplit/>
        </w:trPr>
        <w:tc>
          <w:tcPr>
            <w:tcW w:w="232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Vencimiento de un comando</w:t>
            </w:r>
          </w:p>
        </w:tc>
        <w:tc>
          <w:tcPr>
            <w:tcW w:w="703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 minutos sin ACK →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EXPIRED</w:t>
            </w:r>
            <w:r>
              <w:rPr>
                <w:color w:val="17261F"/>
                <w:sz w:val="17"/>
                <w:szCs w:val="17"/>
              </w:rPr>
              <w:t xml:space="preserve"> y aviso</w:t>
            </w:r>
          </w:p>
        </w:tc>
      </w:tr>
      <w:tr>
        <w:trPr>
          <w:cantSplit/>
        </w:trPr>
        <w:tc>
          <w:tcPr>
            <w:tcW w:w="232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Lote de aprendizaje</w:t>
            </w:r>
          </w:p>
        </w:tc>
        <w:tc>
          <w:tcPr>
            <w:tcW w:w="703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minuto, hasta 1000 lecturas por envío; la cola guarda 20 000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05</w:t>
      </w:r>
    </w:p>
    <w:p>
      <w:pPr>
        <w:pStyle w:val="Heading1"/>
      </w:pPr>
      <w:bookmarkStart w:id="112" w:name="sec_112"/>
      <w:r>
        <w:rPr>
          <w:b/>
          <w:bCs/>
          <w:color w:val="0B3D2B"/>
          <w:sz w:val="34"/>
          <w:szCs w:val="34"/>
        </w:rPr>
        <w:t xml:space="preserve">Seguridad de cada petición</w:t>
      </w:r>
      <w:bookmarkEnd w:id="112"/>
    </w:p>
    <w:p>
      <w:pPr>
        <w:keepNext/>
        <w:spacing w:before="120" w:after="60" w:line="288" w:lineRule="auto"/>
        <w:jc w:val="center"/>
      </w:pPr>
      <w:r>
        <w:drawing>
          <wp:inline distT="0" distB="0" distL="0" distR="0">
            <wp:extent cx="2530368" cy="7112000"/>
            <wp:docPr id="113" name="SmartPot_API_03_Request_Secur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3" name="SmartPot_API_03_Request_Security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530368" cy="7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b/>
          <w:bCs/>
          <w:color w:val="067A52"/>
          <w:sz w:val="16"/>
          <w:szCs w:val="16"/>
        </w:rPr>
        <w:t xml:space="preserve">Figura 4</w:t>
      </w:r>
      <w:r>
        <w:rPr>
          <w:i/>
          <w:iCs/>
          <w:color w:val="5B6B63"/>
          <w:sz w:val="16"/>
          <w:szCs w:val="16"/>
        </w:rPr>
        <w:t xml:space="preserve">  ·  Qué revisa la API en cada petición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2370"/>
        <w:gridCol w:w="6990"/>
      </w:tblGrid>
      <w:tr>
        <w:trPr>
          <w:cantSplit/>
          <w:tblHeader/>
        </w:trPr>
        <w:tc>
          <w:tcPr>
            <w:tcW w:w="237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CONTROL</w:t>
            </w:r>
          </w:p>
        </w:tc>
        <w:tc>
          <w:tcPr>
            <w:tcW w:w="6990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DETALLE</w:t>
            </w:r>
          </w:p>
        </w:tc>
      </w:tr>
      <w:tr>
        <w:trPr>
          <w:cantSplit/>
        </w:trPr>
        <w:tc>
          <w:tcPr>
            <w:tcW w:w="23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Contraseñas</w:t>
            </w:r>
          </w:p>
        </w:tc>
        <w:tc>
          <w:tcPr>
            <w:tcW w:w="69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8 caracteres a 72 bytes con mayúscula, minúscula y número; BCrypt de costo 12</w:t>
            </w:r>
          </w:p>
        </w:tc>
      </w:tr>
      <w:tr>
        <w:trPr>
          <w:cantSplit/>
        </w:trPr>
        <w:tc>
          <w:tcPr>
            <w:tcW w:w="237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Recuperación</w:t>
            </w:r>
          </w:p>
        </w:tc>
        <w:tc>
          <w:tcPr>
            <w:tcW w:w="69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Responde 202 aunque el correo no exista; token de 30 minutos guardado como SHA-256</w:t>
            </w:r>
          </w:p>
        </w:tc>
      </w:tr>
      <w:tr>
        <w:trPr>
          <w:cantSplit/>
        </w:trPr>
        <w:tc>
          <w:tcPr>
            <w:tcW w:w="23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Claves de los dispositivos</w:t>
            </w:r>
          </w:p>
        </w:tc>
        <w:tc>
          <w:tcPr>
            <w:tcW w:w="69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24 bytes aleatorios, cifrados con AES-256-GCM; la llave es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SMARTPOT_AES_KEY</w:t>
            </w:r>
          </w:p>
        </w:tc>
      </w:tr>
      <w:tr>
        <w:trPr>
          <w:cantSplit/>
        </w:trPr>
        <w:tc>
          <w:tcPr>
            <w:tcW w:w="237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Servicios internos</w:t>
            </w:r>
          </w:p>
        </w:tc>
        <w:tc>
          <w:tcPr>
            <w:tcW w:w="6990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La IA y el simulador se llaman con token de servicio por la red interna</w:t>
            </w:r>
          </w:p>
        </w:tc>
      </w:tr>
      <w:tr>
        <w:trPr>
          <w:cantSplit/>
        </w:trPr>
        <w:tc>
          <w:tcPr>
            <w:tcW w:w="237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Telegram</w:t>
            </w:r>
          </w:p>
        </w:tc>
        <w:tc>
          <w:tcPr>
            <w:tcW w:w="699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Webhook con secreto comparado en tiempo constante; códigos de vinculación de un solo uso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06</w:t>
      </w:r>
    </w:p>
    <w:p>
      <w:pPr>
        <w:pStyle w:val="Heading1"/>
      </w:pPr>
      <w:bookmarkStart w:id="114" w:name="sec_114"/>
      <w:r>
        <w:rPr>
          <w:b/>
          <w:bCs/>
          <w:color w:val="0B3D2B"/>
          <w:sz w:val="34"/>
          <w:szCs w:val="34"/>
        </w:rPr>
        <w:t xml:space="preserve">Contrato</w:t>
      </w:r>
      <w:bookmarkEnd w:id="114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documentación interactiva vive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/docs</w:t>
      </w:r>
      <w:r>
        <w:rPr>
          <w:color w:val="17261F"/>
          <w:sz w:val="20"/>
          <w:szCs w:val="20"/>
        </w:rPr>
        <w:t xml:space="preserve"> y el esquema en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/v3/api-docs</w:t>
      </w:r>
      <w:r>
        <w:rPr>
          <w:color w:val="17261F"/>
          <w:sz w:val="20"/>
          <w:szCs w:val="20"/>
        </w:rPr>
        <w:t xml:space="preserve">; el </w:t>
      </w:r>
      <w:r>
        <w:rPr>
          <w:color w:val="1F6FA0"/>
          <w:sz w:val="20"/>
          <w:szCs w:val="20"/>
        </w:rPr>
        <w:t xml:space="preserve">README</w:t>
      </w:r>
      <w:r>
        <w:rPr>
          <w:color w:val="17261F"/>
          <w:sz w:val="20"/>
          <w:szCs w:val="20"/>
        </w:rPr>
        <w:t xml:space="preserve"> resume todas las rutas y la </w:t>
      </w:r>
      <w:hyperlink r:id="rIdLink13">
        <w:r>
          <w:rPr>
            <w:color w:val="1F6FA0"/>
            <w:sz w:val="20"/>
            <w:szCs w:val="20"/>
            <w:u w:val="single"/>
          </w:rPr>
          <w:t xml:space="preserve">documentación técnica</w:t>
        </w:r>
      </w:hyperlink>
      <w:r>
        <w:rPr>
          <w:color w:val="17261F"/>
          <w:sz w:val="20"/>
          <w:szCs w:val="20"/>
        </w:rPr>
        <w:t xml:space="preserve"> detalla el contrato MQTT v1.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813"/>
        <w:gridCol w:w="7547"/>
      </w:tblGrid>
      <w:tr>
        <w:trPr>
          <w:cantSplit/>
          <w:tblHeader/>
        </w:trPr>
        <w:tc>
          <w:tcPr>
            <w:tcW w:w="1813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GRUPO</w:t>
            </w:r>
          </w:p>
        </w:tc>
        <w:tc>
          <w:tcPr>
            <w:tcW w:w="7547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RUTAS</w:t>
            </w:r>
          </w:p>
        </w:tc>
      </w:tr>
      <w:tr>
        <w:trPr>
          <w:cantSplit/>
        </w:trPr>
        <w:tc>
          <w:tcPr>
            <w:tcW w:w="18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Público</w:t>
            </w:r>
          </w:p>
        </w:tc>
        <w:tc>
          <w:tcPr>
            <w:tcW w:w="75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/health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/api/v1/auth/*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/api/v1/crop-profiles</w:t>
            </w:r>
          </w:p>
        </w:tc>
      </w:tr>
      <w:tr>
        <w:trPr>
          <w:cantSplit/>
        </w:trPr>
        <w:tc>
          <w:tcPr>
            <w:tcW w:w="181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Cultivos</w:t>
            </w:r>
          </w:p>
        </w:tc>
        <w:tc>
          <w:tcPr>
            <w:tcW w:w="754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/api/v1/crops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/crops/{id}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/crops/automation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/crops/{id}/device</w:t>
            </w:r>
          </w:p>
        </w:tc>
      </w:tr>
      <w:tr>
        <w:trPr>
          <w:cantSplit/>
        </w:trPr>
        <w:tc>
          <w:tcPr>
            <w:tcW w:w="181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Datos del cultivo</w:t>
            </w:r>
          </w:p>
        </w:tc>
        <w:tc>
          <w:tcPr>
            <w:tcW w:w="754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/readings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/actuators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/commands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/insights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/virtual-device</w:t>
            </w:r>
          </w:p>
        </w:tc>
      </w:tr>
      <w:tr>
        <w:trPr>
          <w:cantSplit/>
        </w:trPr>
        <w:tc>
          <w:tcPr>
            <w:tcW w:w="1813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Cuenta</w:t>
            </w:r>
          </w:p>
        </w:tc>
        <w:tc>
          <w:tcPr>
            <w:tcW w:w="7547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/api/v1/users/me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/notifications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/channels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/overview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/commands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/ai/learning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pageBreakBefore/>
        <w:spacing w:before="0" w:after="0" w:line="20" w:lineRule="exact"/>
        <w:rPr>
          <w:sz w:val="2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shd w:val="clear" w:color="auto" w:fill="0B3D2B"/>
            <w:tcMar>
              <w:top w:w="420" w:type="dxa"/>
              <w:left w:w="480" w:type="dxa"/>
              <w:bottom w:w="420" w:type="dxa"/>
              <w:right w:w="480" w:type="dxa"/>
            </w:tcMar>
            <w:vAlign w:val="top"/>
          </w:tcPr>
          <w:p>
            <w:pPr>
              <w:spacing w:before="0" w:after="80" w:line="288" w:lineRule="auto"/>
            </w:pPr>
            <w:r>
              <w:rPr>
                <w:b/>
                <w:bCs/>
                <w:caps/>
                <w:color w:val="F2B632"/>
                <w:spacing w:val="60"/>
                <w:sz w:val="17"/>
                <w:szCs w:val="17"/>
              </w:rPr>
              <w:t xml:space="preserve">PARTE III</w:t>
            </w:r>
          </w:p>
          <w:p>
            <w:pPr>
              <w:spacing w:before="0" w:after="0" w:line="240" w:lineRule="auto"/>
            </w:pPr>
            <w:r>
              <w:rPr>
                <w:rFonts w:ascii="Century Gothic" w:hAnsi="Century Gothic" w:eastAsia="Century Gothic" w:cs="Century Gothic"/>
                <w:b/>
                <w:bCs/>
                <w:color w:val="FFFFFF"/>
                <w:sz w:val="44"/>
                <w:szCs w:val="44"/>
              </w:rPr>
              <w:t xml:space="preserve">Operación</w:t>
            </w:r>
          </w:p>
        </w:tc>
      </w:tr>
    </w:tbl>
    <w:p>
      <w:pPr>
        <w:spacing w:before="24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07</w:t>
      </w:r>
    </w:p>
    <w:p>
      <w:pPr>
        <w:pStyle w:val="Heading1"/>
      </w:pPr>
      <w:bookmarkStart w:id="115" w:name="sec_115"/>
      <w:r>
        <w:rPr>
          <w:b/>
          <w:bCs/>
          <w:color w:val="0B3D2B"/>
          <w:sz w:val="34"/>
          <w:szCs w:val="34"/>
        </w:rPr>
        <w:t xml:space="preserve">Configuración</w:t>
      </w:r>
      <w:bookmarkEnd w:id="115"/>
    </w:p>
    <w:p>
      <w:pPr>
        <w:spacing w:before="0" w:after="140" w:line="288" w:lineRule="auto"/>
      </w:pPr>
      <w:r>
        <w:rPr>
          <w:color w:val="17261F"/>
          <w:sz w:val="20"/>
          <w:szCs w:val="20"/>
        </w:rPr>
        <w:t xml:space="preserve">La API lee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.env</w:t>
      </w:r>
      <w:r>
        <w:rPr>
          <w:color w:val="17261F"/>
          <w:sz w:val="20"/>
          <w:szCs w:val="20"/>
        </w:rPr>
        <w:t xml:space="preserve"> desde la carpeta del proyecto;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.env.example</w:t>
      </w:r>
      <w:r>
        <w:rPr>
          <w:color w:val="17261F"/>
          <w:sz w:val="20"/>
          <w:szCs w:val="20"/>
        </w:rPr>
        <w:t xml:space="preserve"> lista todas las variables.</w:t>
      </w:r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068"/>
        <w:gridCol w:w="8292"/>
      </w:tblGrid>
      <w:tr>
        <w:trPr>
          <w:cantSplit/>
          <w:tblHeader/>
        </w:trPr>
        <w:tc>
          <w:tcPr>
            <w:tcW w:w="106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GRUPO</w:t>
            </w:r>
          </w:p>
        </w:tc>
        <w:tc>
          <w:tcPr>
            <w:tcW w:w="829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VARIABLES</w:t>
            </w:r>
          </w:p>
        </w:tc>
      </w:tr>
      <w:tr>
        <w:trPr>
          <w:cantSplit/>
        </w:trPr>
        <w:tc>
          <w:tcPr>
            <w:tcW w:w="10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Servidor</w:t>
            </w:r>
          </w:p>
        </w:tc>
        <w:tc>
          <w:tcPr>
            <w:tcW w:w="82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PORT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LOG_LEVEL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WEB_BASE_URL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PUBLIC_API_URL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CORS_ALLOWED_ORIGINS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API_DOCS_ENABLED</w:t>
            </w:r>
          </w:p>
        </w:tc>
      </w:tr>
      <w:tr>
        <w:trPr>
          <w:cantSplit/>
        </w:trPr>
        <w:tc>
          <w:tcPr>
            <w:tcW w:w="106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Secretos</w:t>
            </w:r>
          </w:p>
        </w:tc>
        <w:tc>
          <w:tcPr>
            <w:tcW w:w="829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SMARTPOT_JWT_SECRET</w:t>
            </w:r>
            <w:r>
              <w:rPr>
                <w:color w:val="17261F"/>
                <w:sz w:val="17"/>
                <w:szCs w:val="17"/>
              </w:rPr>
              <w:t xml:space="preserve"> (32 caracteres o más),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SMARTPOT_AES_KEY</w:t>
            </w:r>
            <w:r>
              <w:rPr>
                <w:color w:val="17261F"/>
                <w:sz w:val="17"/>
                <w:szCs w:val="17"/>
              </w:rPr>
              <w:t xml:space="preserve"> (AES-256 en Base64),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JWT_EXPIRATION</w:t>
            </w:r>
          </w:p>
        </w:tc>
      </w:tr>
      <w:tr>
        <w:trPr>
          <w:cantSplit/>
        </w:trPr>
        <w:tc>
          <w:tcPr>
            <w:tcW w:w="10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Datos</w:t>
            </w:r>
          </w:p>
        </w:tc>
        <w:tc>
          <w:tcPr>
            <w:tcW w:w="82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MONGODB_URI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REDIS_HOST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REDIS_PORT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REDIS_PASSWORD</w:t>
            </w:r>
          </w:p>
        </w:tc>
      </w:tr>
      <w:tr>
        <w:trPr>
          <w:cantSplit/>
        </w:trPr>
        <w:tc>
          <w:tcPr>
            <w:tcW w:w="106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Correo</w:t>
            </w:r>
          </w:p>
        </w:tc>
        <w:tc>
          <w:tcPr>
            <w:tcW w:w="829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MAIL_ENABLED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MAIL_HOST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MAIL_PORT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MAIL_USERNAME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MAIL_PASSWORD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MAIL_FROM</w:t>
            </w:r>
          </w:p>
        </w:tc>
      </w:tr>
      <w:tr>
        <w:trPr>
          <w:cantSplit/>
        </w:trPr>
        <w:tc>
          <w:tcPr>
            <w:tcW w:w="10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MQTT</w:t>
            </w:r>
          </w:p>
        </w:tc>
        <w:tc>
          <w:tcPr>
            <w:tcW w:w="82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MQTT_ENABLED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MQTT_BROKER_URI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MQTT_ADMIN_USERNAME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MQTT_ADMIN_PASSWORD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MQTT_PUBLIC_*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MQTT_WEBSOCKET_URL</w:t>
            </w:r>
          </w:p>
        </w:tc>
      </w:tr>
      <w:tr>
        <w:trPr>
          <w:cantSplit/>
        </w:trPr>
        <w:tc>
          <w:tcPr>
            <w:tcW w:w="106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IA</w:t>
            </w:r>
          </w:p>
        </w:tc>
        <w:tc>
          <w:tcPr>
            <w:tcW w:w="829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AI_ENABLED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AI_BASE_URL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SMARTPOT_AI_TOKEN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AI_EVALUATION_INTERVAL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AI_AUTOMATION_COOLDOWN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AI_LEARNING_*</w:t>
            </w:r>
          </w:p>
        </w:tc>
      </w:tr>
      <w:tr>
        <w:trPr>
          <w:cantSplit/>
        </w:trPr>
        <w:tc>
          <w:tcPr>
            <w:tcW w:w="106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Telegram</w:t>
            </w:r>
          </w:p>
        </w:tc>
        <w:tc>
          <w:tcPr>
            <w:tcW w:w="829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TELEGRAM_BOT_TOKEN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TELEGRAM_BOT_USERNAME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TELEGRAM_MODE</w:t>
            </w:r>
            <w:r>
              <w:rPr>
                <w:color w:val="17261F"/>
                <w:sz w:val="17"/>
                <w:szCs w:val="17"/>
              </w:rPr>
              <w:t xml:space="preserve"> (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polling</w:t>
            </w:r>
            <w:r>
              <w:rPr>
                <w:color w:val="17261F"/>
                <w:sz w:val="17"/>
                <w:szCs w:val="17"/>
              </w:rPr>
              <w:t xml:space="preserve"> 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webhook</w:t>
            </w:r>
            <w:r>
              <w:rPr>
                <w:color w:val="17261F"/>
                <w:sz w:val="17"/>
                <w:szCs w:val="17"/>
              </w:rPr>
              <w:t xml:space="preserve">),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TELEGRAM_WEBHOOK_SECRET</w:t>
            </w:r>
          </w:p>
        </w:tc>
      </w:tr>
      <w:tr>
        <w:trPr>
          <w:cantSplit/>
        </w:trPr>
        <w:tc>
          <w:tcPr>
            <w:tcW w:w="106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Simulador</w:t>
            </w:r>
          </w:p>
        </w:tc>
        <w:tc>
          <w:tcPr>
            <w:tcW w:w="829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SIMULATOR_ENABLED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SIMULATOR_BASE_URL</w:t>
            </w:r>
            <w:r>
              <w:rPr>
                <w:color w:val="17261F"/>
                <w:sz w:val="17"/>
                <w:szCs w:val="17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SIMULATOR_TOKEN</w:t>
            </w:r>
            <w:r>
              <w:rPr>
                <w:color w:val="17261F"/>
                <w:sz w:val="17"/>
                <w:szCs w:val="17"/>
              </w:rPr>
              <w:t xml:space="preserve"> (sin él no se crean cultivos virtuales)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spacing w:before="80" w:after="0" w:line="240" w:lineRule="auto"/>
        <w:rPr>
          <w:sz w:val="8"/>
        </w:rPr>
      </w:pPr>
    </w:p>
    <w:tbl>
      <w:tblPr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left w:val="single" w:sz="24" w:space="0" w:color="F2B632"/>
            </w:tcBorders>
            <w:shd w:val="clear" w:color="auto" w:fill="FDF4DD"/>
            <w:tcMar>
              <w:top w:w="140" w:type="dxa"/>
              <w:left w:w="220" w:type="dxa"/>
              <w:bottom w:w="140" w:type="dxa"/>
              <w:right w:w="220" w:type="dxa"/>
            </w:tcMar>
            <w:vAlign w:val="top"/>
          </w:tcPr>
          <w:p>
            <w:pPr>
              <w:spacing w:before="0" w:after="60" w:line="240" w:lineRule="auto"/>
            </w:pPr>
            <w:r>
              <w:rPr>
                <w:b/>
                <w:bCs/>
                <w:color w:val="B85A38"/>
                <w:spacing w:val="40"/>
                <w:sz w:val="15"/>
                <w:szCs w:val="15"/>
              </w:rPr>
              <w:t xml:space="preserve">LLAVE AES</w:t>
            </w:r>
          </w:p>
          <w:p>
            <w:pPr>
              <w:spacing w:before="0" w:after="0" w:line="276" w:lineRule="auto"/>
            </w:pPr>
            <w:r>
              <w:rPr>
                <w:color w:val="17261F"/>
                <w:sz w:val="18"/>
                <w:szCs w:val="18"/>
              </w:rPr>
              <w:t xml:space="preserve">Si </w:t>
            </w:r>
            <w:r>
              <w:rPr>
                <w:rFonts w:ascii="JetBrains Mono" w:hAnsi="JetBrains Mono" w:eastAsia="JetBrains Mono" w:cs="JetBrains Mono"/>
                <w:color w:val="0A5A3C"/>
                <w:sz w:val="16"/>
                <w:szCs w:val="16"/>
              </w:rPr>
              <w:t xml:space="preserve">SMARTPOT_AES_KEY</w:t>
            </w:r>
            <w:r>
              <w:rPr>
                <w:color w:val="17261F"/>
                <w:sz w:val="18"/>
                <w:szCs w:val="18"/>
              </w:rPr>
              <w:t xml:space="preserve"> se pierde o cambia, las cuentas MQTT no se pueden reconstruir: cada dueño debe rotar la clave de sus cultivos reales.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08</w:t>
      </w:r>
    </w:p>
    <w:p>
      <w:pPr>
        <w:pStyle w:val="Heading1"/>
      </w:pPr>
      <w:bookmarkStart w:id="116" w:name="sec_116"/>
      <w:r>
        <w:rPr>
          <w:b/>
          <w:bCs/>
          <w:color w:val="0B3D2B"/>
          <w:sz w:val="34"/>
          <w:szCs w:val="34"/>
        </w:rPr>
        <w:t xml:space="preserve">Pruebas</w:t>
      </w:r>
      <w:bookmarkEnd w:id="116"/>
    </w:p>
    <w:p>
      <w:pPr>
        <w:spacing w:before="0" w:after="140" w:line="288" w:lineRule="auto"/>
      </w:pP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./mvnw verify</w:t>
      </w:r>
      <w:r>
        <w:rPr>
          <w:color w:val="17261F"/>
          <w:sz w:val="20"/>
          <w:szCs w:val="20"/>
        </w:rPr>
        <w:t xml:space="preserve"> corre 118 pruebas con JUnit y Mockito: cifrado, JWT, contraseñas, tópicos y telemetría MQTT, aprovisionamiento, comandos, cultivos con su tipo fijo y su forma, el agente, el envío de lecturas para el aprendizaje (solo reales), canales y bot de Telegram, la simulación de los virtuales (dueño, clave, límites, pausa y reconciliación), el completado de cultivos anteriores, la caché con respaldo local y la cadena de seguridad de los controladores. El E2E central de </w:t>
      </w:r>
      <w:r>
        <w:rPr>
          <w:rFonts w:ascii="JetBrains Mono" w:hAnsi="JetBrains Mono" w:eastAsia="JetBrains Mono" w:cs="JetBrains Mono"/>
          <w:color w:val="0A5A3C"/>
          <w:sz w:val="18"/>
          <w:szCs w:val="18"/>
        </w:rPr>
        <w:t xml:space="preserve">.github</w:t>
      </w:r>
      <w:r>
        <w:rPr>
          <w:color w:val="17261F"/>
          <w:sz w:val="20"/>
          <w:szCs w:val="20"/>
        </w:rPr>
        <w:t xml:space="preserve"> recorre la API completa con 35 comprobaciones.</w:t>
      </w:r>
    </w:p>
    <w:p>
      <w:pPr>
        <w:keepNext/>
        <w:spacing w:before="360" w:after="40" w:line="288" w:lineRule="auto"/>
      </w:pPr>
      <w:r>
        <w:rPr>
          <w:b/>
          <w:bCs/>
          <w:color w:val="009A64"/>
          <w:spacing w:val="60"/>
          <w:sz w:val="16"/>
          <w:szCs w:val="16"/>
        </w:rPr>
        <w:t xml:space="preserve">SECCIÓN 09</w:t>
      </w:r>
    </w:p>
    <w:p>
      <w:pPr>
        <w:pStyle w:val="Heading1"/>
      </w:pPr>
      <w:bookmarkStart w:id="117" w:name="sec_117"/>
      <w:r>
        <w:rPr>
          <w:b/>
          <w:bCs/>
          <w:color w:val="0B3D2B"/>
          <w:sz w:val="34"/>
          <w:szCs w:val="34"/>
        </w:rPr>
        <w:t xml:space="preserve">Operación</w:t>
      </w:r>
      <w:bookmarkEnd w:id="117"/>
    </w:p>
    <w:p>
      <w:pPr>
        <w:keepNext/>
        <w:spacing w:before="60" w:after="0" w:line="240" w:lineRule="auto"/>
        <w:rPr>
          <w:sz w:val="8"/>
        </w:rPr>
      </w:pPr>
    </w:p>
    <w:tbl>
      <w:tblPr>
        <w:tblW w:w="9360" w:type="dxa"/>
        <w:tblBorders>
          <w:top w:val="single" w:sz="4" w:space="0" w:color="D5E3DC"/>
          <w:left w:val="single" w:sz="4" w:space="0" w:color="D5E3DC"/>
          <w:bottom w:val="single" w:sz="4" w:space="0" w:color="D5E3DC"/>
          <w:right w:val="single" w:sz="4" w:space="0" w:color="D5E3DC"/>
          <w:insideH w:val="single" w:sz="4" w:space="0" w:color="D5E3DC"/>
          <w:insideV w:val="single" w:sz="4" w:space="0" w:color="D5E3DC"/>
        </w:tblBorders>
        <w:tblLayout w:type="fixed"/>
        <w:tblCellMar>
          <w:left w:w="0" w:type="dxa"/>
          <w:right w:w="0" w:type="dxa"/>
        </w:tblCellMar>
        <w:tblLook w:val="04A0" w:firstRow="1" w:firstColumn="1" w:noVBand="1"/>
      </w:tblPr>
      <w:tblGrid>
        <w:gridCol w:w="1498"/>
        <w:gridCol w:w="7862"/>
      </w:tblGrid>
      <w:tr>
        <w:trPr>
          <w:cantSplit/>
          <w:tblHeader/>
        </w:trPr>
        <w:tc>
          <w:tcPr>
            <w:tcW w:w="1498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TAREA</w:t>
            </w:r>
          </w:p>
        </w:tc>
        <w:tc>
          <w:tcPr>
            <w:tcW w:w="7862" w:type="dxa"/>
            <w:shd w:val="clear" w:color="auto" w:fill="0B3D2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FFFFFF"/>
                <w:spacing w:val="10"/>
                <w:sz w:val="16"/>
                <w:szCs w:val="16"/>
              </w:rPr>
              <w:t xml:space="preserve">CÓMO</w:t>
            </w:r>
          </w:p>
        </w:tc>
      </w:tr>
      <w:tr>
        <w:trPr>
          <w:cantSplit/>
        </w:trPr>
        <w:tc>
          <w:tcPr>
            <w:tcW w:w="149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Estado</w:t>
            </w:r>
          </w:p>
        </w:tc>
        <w:tc>
          <w:tcPr>
            <w:tcW w:w="78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GET /health</w:t>
            </w:r>
            <w:r>
              <w:rPr>
                <w:color w:val="17261F"/>
                <w:sz w:val="17"/>
                <w:szCs w:val="17"/>
              </w:rPr>
              <w:t xml:space="preserve"> → base, broker, caché, IA y simulador (503 si la base cae)</w:t>
            </w:r>
          </w:p>
        </w:tc>
      </w:tr>
      <w:tr>
        <w:trPr>
          <w:cantSplit/>
        </w:trPr>
        <w:tc>
          <w:tcPr>
            <w:tcW w:w="149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Logs</w:t>
            </w:r>
          </w:p>
        </w:tc>
        <w:tc>
          <w:tcPr>
            <w:tcW w:w="786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docker logs -f smartpot-api</w:t>
            </w:r>
          </w:p>
        </w:tc>
      </w:tr>
      <w:tr>
        <w:trPr>
          <w:cantSplit/>
        </w:trPr>
        <w:tc>
          <w:tcPr>
            <w:tcW w:w="149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Imagen</w:t>
            </w:r>
          </w:p>
        </w:tc>
        <w:tc>
          <w:tcPr>
            <w:tcW w:w="78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ghcr.io/smartpottech/smartpot-api</w:t>
            </w:r>
            <w:r>
              <w:rPr>
                <w:color w:val="17261F"/>
                <w:sz w:val="17"/>
                <w:szCs w:val="17"/>
              </w:rPr>
              <w:t xml:space="preserve">: compila en una etapa aparte, usuario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1000</w:t>
            </w:r>
            <w:r>
              <w:rPr>
                <w:color w:val="17261F"/>
                <w:sz w:val="17"/>
                <w:szCs w:val="17"/>
              </w:rPr>
              <w:t xml:space="preserve">, solo lectura con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tmpfs</w:t>
            </w:r>
            <w:r>
              <w:rPr>
                <w:color w:val="17261F"/>
                <w:sz w:val="17"/>
                <w:szCs w:val="17"/>
              </w:rPr>
              <w:t xml:space="preserve">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/tmp</w:t>
            </w:r>
            <w:r>
              <w:rPr>
                <w:color w:val="17261F"/>
                <w:sz w:val="17"/>
                <w:szCs w:val="17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HEALTHCHECK</w:t>
            </w:r>
          </w:p>
        </w:tc>
      </w:tr>
      <w:tr>
        <w:trPr>
          <w:cantSplit/>
        </w:trPr>
        <w:tc>
          <w:tcPr>
            <w:tcW w:w="1498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Despliegue</w:t>
            </w:r>
          </w:p>
        </w:tc>
        <w:tc>
          <w:tcPr>
            <w:tcW w:w="7862" w:type="dxa"/>
            <w:shd w:val="clear" w:color="auto" w:fill="F2F7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Cada cambio en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main</w:t>
            </w:r>
            <w:r>
              <w:rPr>
                <w:color w:val="17261F"/>
                <w:sz w:val="17"/>
                <w:szCs w:val="17"/>
              </w:rPr>
              <w:t xml:space="preserve"> pasa por el CI, publica la imagen y pide el despliegue central de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.github</w:t>
            </w:r>
          </w:p>
        </w:tc>
      </w:tr>
      <w:tr>
        <w:trPr>
          <w:cantSplit/>
        </w:trPr>
        <w:tc>
          <w:tcPr>
            <w:tcW w:w="149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b/>
                <w:bCs/>
                <w:color w:val="0A5A3C"/>
                <w:sz w:val="17"/>
                <w:szCs w:val="17"/>
              </w:rPr>
              <w:t xml:space="preserve">Rotar una clave</w:t>
            </w:r>
          </w:p>
        </w:tc>
        <w:tc>
          <w:tcPr>
            <w:tcW w:w="786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color w:val="17261F"/>
                <w:sz w:val="17"/>
                <w:szCs w:val="17"/>
              </w:rPr>
              <w:t xml:space="preserve">Pestaña Dispositivo de la PWA o </w:t>
            </w:r>
            <w:r>
              <w:rPr>
                <w:rFonts w:ascii="JetBrains Mono" w:hAnsi="JetBrains Mono" w:eastAsia="JetBrains Mono" w:cs="JetBrains Mono"/>
                <w:color w:val="0A5A3C"/>
                <w:sz w:val="15"/>
                <w:szCs w:val="15"/>
              </w:rPr>
              <w:t xml:space="preserve">POST /api/v1/crops/{id}/device/key</w:t>
            </w:r>
            <w:r>
              <w:rPr>
                <w:color w:val="17261F"/>
                <w:sz w:val="17"/>
                <w:szCs w:val="17"/>
              </w:rPr>
              <w:t xml:space="preserve"> (solo reales)</w:t>
            </w:r>
          </w:p>
        </w:tc>
      </w:tr>
    </w:tbl>
    <w:p>
      <w:pPr>
        <w:spacing w:before="160" w:after="0" w:line="240" w:lineRule="auto"/>
        <w:rPr>
          <w:sz w:val="8"/>
        </w:rPr>
      </w:pPr>
    </w:p>
    <w:sectPr>
      <w:headerReference w:type="default" r:id="rIdHeader"/>
      <w:footerReference w:type="default" r:id="rIdFooter"/>
      <w:pgSz w:w="12240" w:h="15840"/>
      <w:pgMar w:top="1700" w:right="1440" w:bottom="1440" w:left="1440" w:header="700" w:footer="6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font w:name="Century Gothic">
    <w:altName w:val="Arial"/>
    <w:charset w:val="00"/>
    <w:family w:val="swiss"/>
    <w:pitch w:val="variable"/>
  </w:font>
  <w:font w:name="Segoe UI">
    <w:altName w:val="Arial"/>
    <w:charset w:val="00"/>
    <w:family w:val="swiss"/>
    <w:pitch w:val="variable"/>
  </w:font>
  <w:font w:name="JetBrains Mono">
    <w:altName w:val="Consolas"/>
    <w:charset w:val="00"/>
    <w:family w:val="modern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4" w:space="6" w:color="D5E3DC"/>
      </w:pBdr>
      <w:tabs>
        <w:tab w:val="right" w:pos="9360"/>
      </w:tabs>
      <w:spacing w:before="0" w:after="0" w:line="240" w:lineRule="auto"/>
    </w:pPr>
    <w:r>
      <w:rPr>
        <w:color w:val="5B6B63"/>
        <w:sz w:val="15"/>
        <w:szCs w:val="15"/>
      </w:rPr>
      <w:t xml:space="preserve">SmartPotTech · smartpot.app</w:t>
    </w:r>
    <w:r>
      <w:rPr>
        <w:color w:val="5B6B63"/>
        <w:sz w:val="15"/>
        <w:szCs w:val="15"/>
      </w:rPr>
      <w:t xml:space="preserve">	Página </w:t>
    </w:r>
    <w:fldSimple w:instr=" PAGE ">
      <w:r>
        <w:rPr>
          <w:b/>
          <w:color w:val="067A52"/>
          <w:sz w:val="15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4680"/>
      <w:gridCol w:w="4680"/>
    </w:tblGrid>
    <w:tr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180000" cy="180000"/>
                <wp:docPr id="118" name="Icon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118" name="Icono"/>
                        <pic:cNvPicPr/>
                      </pic:nvPicPr>
                      <pic:blipFill>
                        <a:blip r:embed="rIdImg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0" cy="1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color w:val="0B3D2B"/>
              <w:spacing w:val="40"/>
              <w:sz w:val="15"/>
              <w:szCs w:val="15"/>
            </w:rPr>
            <w:t xml:space="preserve">  SMARTPOT</w:t>
          </w:r>
          <w:r>
            <w:rPr>
              <w:b/>
              <w:bCs/>
              <w:color w:val="009A64"/>
              <w:spacing w:val="40"/>
              <w:sz w:val="15"/>
              <w:szCs w:val="15"/>
            </w:rPr>
            <w:t xml:space="preserve">  ·  PLATAFORMA</w:t>
          </w:r>
        </w:p>
      </w:tc>
      <w:tc>
        <w:tcPr>
          <w:tcW w:w="4680" w:type="dxa"/>
          <w:tcBorders>
            <w:bottom w:val="single" w:sz="4" w:space="0" w:color="D5E3DC"/>
          </w:tcBorders>
          <w:tcMar>
            <w:bottom w:w="80" w:type="dxa"/>
          </w:tcMar>
          <w:vAlign w:val="center"/>
        </w:tcPr>
        <w:p>
          <w:pPr>
            <w:spacing w:before="0" w:after="0" w:line="240" w:lineRule="auto"/>
            <w:jc w:val="right"/>
          </w:pPr>
          <w:r>
            <w:rPr>
              <w:b/>
              <w:bCs/>
              <w:color w:val="5B6B63"/>
              <w:spacing w:val="30"/>
              <w:sz w:val="14"/>
              <w:szCs w:val="14"/>
            </w:rPr>
            <w:t xml:space="preserve">SMARTPOT-API · V1.0</w:t>
          </w:r>
        </w:p>
      </w:tc>
    </w:tr>
  </w:tbl>
  <w:p>
    <w:pPr>
      <w:spacing w:before="0" w:after="0" w:line="240" w:lineRule="auto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bullet"/>
      <w:lvlText w:val="•"/>
      <w:lvlJc w:val="left"/>
      <w:pPr>
        <w:ind w:left="360" w:hanging="260"/>
      </w:pPr>
      <w:rPr>
        <w:color w:val="00B074"/>
        <w:b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ind w:left="360" w:hanging="260"/>
      </w:pPr>
      <w:rPr>
        <w:color w:val="00B074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Segoe UI" w:hAnsi="Segoe UI" w:eastAsia="Segoe UI" w:cs="Segoe UI"/>
        <w:color w:val="17261F"/>
        <w:sz w:val="20"/>
        <w:szCs w:val="20"/>
        <w:lang w:val="es-CO" w:eastAsia="es-CO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sz="12" w:space="6" w:color="00B074"/>
      </w:pBdr>
      <w:spacing w:before="0" w:after="200" w:line="240" w:lineRule="auto"/>
      <w:outlineLvl w:val="0"/>
    </w:pPr>
    <w:rPr>
      <w:rFonts w:ascii="Century Gothic" w:hAnsi="Century Gothic" w:eastAsia="Century Gothic" w:cs="Century Gothic"/>
      <w:b/>
      <w:bCs/>
      <w:color w:val="0B3D2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00" w:line="240" w:lineRule="auto"/>
      <w:outlineLvl w:val="1"/>
    </w:pPr>
    <w:rPr>
      <w:rFonts w:ascii="Century Gothic" w:hAnsi="Century Gothic" w:eastAsia="Century Gothic" w:cs="Century Gothic"/>
      <w:b/>
      <w:bCs/>
      <w:color w:val="067A5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 w:line="240" w:lineRule="auto"/>
      <w:outlineLvl w:val="2"/>
    </w:pPr>
    <w:rPr>
      <w:rFonts w:ascii="Segoe UI" w:hAnsi="Segoe UI" w:eastAsia="Segoe UI" w:cs="Segoe UI"/>
      <w:b/>
      <w:bCs/>
      <w:color w:val="067A52"/>
      <w:sz w:val="21"/>
      <w:szCs w:val="21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1F6FA0"/>
      <w:u w:val="single"/>
    </w:rPr>
  </w:style>
</w:styles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Link3" Type="http://schemas.openxmlformats.org/officeDocument/2006/relationships/hyperlink" Target="https://smartpot.app" TargetMode="External"/><Relationship Id="rIdLink4" Type="http://schemas.openxmlformats.org/officeDocument/2006/relationships/hyperlink" Target="https://github.com/SmartPotTech/SmartPot-API" TargetMode="External"/><Relationship Id="rIdLink5" Type="http://schemas.openxmlformats.org/officeDocument/2006/relationships/hyperlink" Target="https://github.com/SmartPotTech/.github/blob/main/docs/SmartPot_Technical_Documentation.md" TargetMode="External"/><Relationship Id="rIdLink6" Type="http://schemas.openxmlformats.org/officeDocument/2006/relationships/hyperlink" Target="https://github.com/SmartPotTech/.github/blob/main/docs/SmartPot_Project_Journey.md" TargetMode="External"/><Relationship Id="rIdLink7" Type="http://schemas.openxmlformats.org/officeDocument/2006/relationships/hyperlink" Target="https://github.com/SmartPotTech/.github/blob/main/docs/SmartPot_Software_Lifecycle.md" TargetMode="External"/><Relationship Id="rIdLink8" Type="http://schemas.openxmlformats.org/officeDocument/2006/relationships/hyperlink" Target="https://github.com/SmartPotTech/.github/blob/main/docs/README.md#diagramas-generales" TargetMode="External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Link13" Type="http://schemas.openxmlformats.org/officeDocument/2006/relationships/hyperlink" Target="https://github.com/SmartPotTech/.github/blob/main/docs/SmartPot_Technical_Documentation.md" TargetMode="External"/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>
  <Application>SmartPot docs</Application>
  <Company>SmartPotTech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SmartPot-API</dc:title>
  <dc:subject>El centro de la plataforma SmartPot</dc:subject>
  <dc:creator>SmartPotTech</dc:creator>
  <dc:language>es-CO</dc:language>
  <dcterms:created xsi:type="dcterms:W3CDTF">2026-09-28T00:03:00Z</dcterms:created>
  <dcterms:modified xsi:type="dcterms:W3CDTF">2026-09-28T00:03:00Z</dcterms:modified>
</cp:coreProperties>
</file>