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Web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La aplicación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PWA instalable: panel general, creación de cultivos reales o virtuales, ilustración de cada cultivo con su especie y sus actuadores, asistente de IA, control, aprendizaje, alertas y Telegram, con su seguridad, configuración y pruebas.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SmartPot-Web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SmartPot-Web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Pantallas, creación de cultivos, ilustración del cultivo, sesión, caché, identidad visual, seguridad web, configuración y pruebas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Crear un cultivo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Ilustración del cultivo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Sesión, caché y seguridad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6. Configuración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7. Pruebas</w:t>
        </w:r>
      </w:hyperlink>
    </w:p>
    <w:p>
      <w:pPr>
        <w:ind w:left="0"/>
        <w:spacing w:before="100" w:after="30" w:line="252" w:lineRule="auto"/>
      </w:pPr>
      <w:hyperlink w:anchor="sec_116" w:history="1">
        <w:r>
          <w:rPr>
            <w:b/>
            <w:bCs/>
            <w:color w:val="0B3D2B"/>
            <w:sz w:val="21"/>
            <w:szCs w:val="21"/>
          </w:rPr>
          <w:t xml:space="preserve">8.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SmartPot-Web es lo que ve la persona: una página pública que explica SmartPot y, tras ingresar, una aplicación que se instala en el teléfono o el computador. Muestra cada cultivo en vivo, lo compara con el rango ideal de su especie, deja crear cultivos reales o virtuales, dar órdenes a los actuadores y ver qué piensa y qué aprende el asistente. Todo lo que muestra viene de la API.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19"/>
        <w:gridCol w:w="6941"/>
      </w:tblGrid>
      <w:tr>
        <w:trPr>
          <w:cantSplit/>
          <w:tblHeader/>
        </w:trPr>
        <w:tc>
          <w:tcPr>
            <w:tcW w:w="241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PANTALLA</w:t>
            </w:r>
          </w:p>
        </w:tc>
        <w:tc>
          <w:tcPr>
            <w:tcW w:w="69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PERMITE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Inicio público</w:t>
            </w:r>
          </w:p>
        </w:tc>
        <w:tc>
          <w:tcPr>
            <w:tcW w:w="69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Presentación, funciones, especies y preguntas frecuentes; indexable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Panel general</w:t>
            </w:r>
          </w:p>
        </w:tc>
        <w:tc>
          <w:tcPr>
            <w:tcW w:w="69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Salud de cada cultivo, comparación de una variable, últimas lecturas y análisis de la IA de toda la cuenta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Mis cultivos</w:t>
            </w:r>
          </w:p>
        </w:tc>
        <w:tc>
          <w:tcPr>
            <w:tcW w:w="69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Tarjetas con tipo, especie, forma, estado y salud; asistente de creación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Detalle</w:t>
            </w:r>
          </w:p>
        </w:tc>
        <w:tc>
          <w:tcPr>
            <w:tcW w:w="69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ilustración del cultivo sobre todas las secciones: resumen, asistente IA, control, historial, dispositivo (reales) o simulación (virtuales) y ajustes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Control general y acciones</w:t>
            </w:r>
          </w:p>
        </w:tc>
        <w:tc>
          <w:tcPr>
            <w:tcW w:w="69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Modo automático y órdenes en bloque; sugerencias e historial de órdenes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Aprendizaje, alertas y perfil</w:t>
            </w:r>
          </w:p>
        </w:tc>
        <w:tc>
          <w:tcPr>
            <w:tcW w:w="69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 que aprende la IA, notificaciones, Telegram, datos y contraseña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3385657"/>
            <wp:docPr id="107" name="SmartPot_Web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Web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8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SmartPot-Web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Cada función vive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src/features/&lt;función&gt;</w:t>
      </w:r>
      <w:r>
        <w:rPr>
          <w:color w:val="17261F"/>
          <w:sz w:val="20"/>
          <w:szCs w:val="20"/>
        </w:rPr>
        <w:t xml:space="preserve"> con sus páginas, componentes y pruebas.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lib/api</w:t>
      </w:r>
      <w:r>
        <w:rPr>
          <w:color w:val="17261F"/>
          <w:sz w:val="20"/>
          <w:szCs w:val="20"/>
        </w:rPr>
        <w:t xml:space="preserve"> es el único lugar que habla con la API: arma las peticiones con el token, traduce los errores 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ApiError</w:t>
      </w:r>
      <w:r>
        <w:rPr>
          <w:color w:val="17261F"/>
          <w:sz w:val="20"/>
          <w:szCs w:val="20"/>
        </w:rPr>
        <w:t xml:space="preserve"> en español y declara los tipos de cada respuesta.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useResource</w:t>
      </w:r>
      <w:r>
        <w:rPr>
          <w:color w:val="17261F"/>
          <w:sz w:val="20"/>
          <w:szCs w:val="20"/>
        </w:rPr>
        <w:t xml:space="preserve"> carga y refresca los datos mientras la pestaña está visible.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Cultivos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Crear un cultivo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4146536" cy="7112000"/>
            <wp:docPr id="109" name="SmartPot_Web_01_Crop_Creation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Web_01_Crop_Creation_Flow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146536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Asistente para crear un cultivo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320"/>
        <w:gridCol w:w="8040"/>
      </w:tblGrid>
      <w:tr>
        <w:trPr>
          <w:cantSplit/>
          <w:tblHeader/>
        </w:trPr>
        <w:tc>
          <w:tcPr>
            <w:tcW w:w="132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DECISIÓN</w:t>
            </w:r>
          </w:p>
        </w:tc>
        <w:tc>
          <w:tcPr>
            <w:tcW w:w="80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Tipo</w:t>
            </w:r>
          </w:p>
        </w:tc>
        <w:tc>
          <w:tcPr>
            <w:tcW w:w="8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Real (un ESP32 con el firmware, físico o en Wokwi) o virtual (lo simula SmartPot). No cambia después; Ajustes lo muestra y explica cómo crear otro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Forma</w:t>
            </w:r>
          </w:p>
        </w:tc>
        <w:tc>
          <w:tcPr>
            <w:tcW w:w="8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Maceta, tubos NFT, torre vertical o balsa flotante; se puede cambiar en Ajustes y solo afecta la ilustración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Vista previa</w:t>
            </w:r>
          </w:p>
        </w:tc>
        <w:tc>
          <w:tcPr>
            <w:tcW w:w="8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escena del cultivo con la especie y la forma elegidas y los actuadores con los que nace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Real</w:t>
            </w:r>
          </w:p>
        </w:tc>
        <w:tc>
          <w:tcPr>
            <w:tcW w:w="8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Muestra la clave una sola vez y la guía: circuito y pines, firmware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config.py</w:t>
            </w:r>
            <w:r>
              <w:rPr>
                <w:color w:val="17261F"/>
                <w:sz w:val="17"/>
                <w:szCs w:val="17"/>
              </w:rPr>
              <w:t xml:space="preserve"> con la red WiFi, o el proyecto de Wokwi con la red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Wokwi-GUEST</w:t>
            </w:r>
          </w:p>
        </w:tc>
      </w:tr>
      <w:tr>
        <w:trPr>
          <w:cantSplit/>
        </w:trPr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Virtual</w:t>
            </w:r>
          </w:p>
        </w:tc>
        <w:tc>
          <w:tcPr>
            <w:tcW w:w="8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Día y noche, clima real (buscador de lugares o ubicación del dispositivo) o manual; abre el cultivo y su configuración queda en la pestaña Simulación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Ilustración del cultivo</w:t>
      </w:r>
      <w:bookmarkEnd w:id="110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4096301" cy="4318000"/>
            <wp:docPr id="111" name="SmartPot_Web_02_Live_Sce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Web_02_Live_Scene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096301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Cómo se dibuja la ilustración del cultivo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286"/>
        <w:gridCol w:w="7074"/>
      </w:tblGrid>
      <w:tr>
        <w:trPr>
          <w:cantSplit/>
          <w:tblHeader/>
        </w:trPr>
        <w:tc>
          <w:tcPr>
            <w:tcW w:w="22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PIEZA</w:t>
            </w:r>
          </w:p>
        </w:tc>
        <w:tc>
          <w:tcPr>
            <w:tcW w:w="70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DIBUJA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Maceta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Depósito con la bomba, tubo que gotea sobre el sustrato y dosificadores sobre la tapa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Tubos NFT</w:t>
            </w:r>
          </w:p>
        </w:tc>
        <w:tc>
          <w:tcPr>
            <w:tcW w:w="70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Tres tubos con cuatro plantas cada uno, colector de entrada y retorno al depósito; la película de solución corre si la bomba está encendida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Torre vertical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Columna con bolsillos escalonados; la bomba sube la solución y cae en gotas por dentro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Balsa flotante</w:t>
            </w:r>
          </w:p>
        </w:tc>
        <w:tc>
          <w:tcPr>
            <w:tcW w:w="70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Estanque con la balsa, raíces en la solución y burbujas desde la piedra difusora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Luz de cultivo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Barra con LED; encendida ilumina las plantas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Ventilador y humidificador</w:t>
            </w:r>
          </w:p>
        </w:tc>
        <w:tc>
          <w:tcPr>
            <w:tcW w:w="70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Aspas que giran con corriente de aire; bruma que sube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Plantas</w:t>
            </w:r>
          </w:p>
        </w:tc>
        <w:tc>
          <w:tcPr>
            <w:tcW w:w="70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especie tal como es: lechuga en roseta, espinaca de hoja ancha, albahaca de hojas pareadas, tomate con tutor, flores y frutos rojos, fresa con flor blanca y frutos, pimentón rojo y amarillo; las hojas con el color de su salud: verde sano, amarillento en riesgo, ocre crítico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escena usa la paleta de SmartPot, anuncia su contenido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aria-label</w:t>
      </w:r>
      <w:r>
        <w:rPr>
          <w:color w:val="17261F"/>
          <w:sz w:val="20"/>
          <w:szCs w:val="20"/>
        </w:rPr>
        <w:t xml:space="preserve"> (qué se ve y qué está encendido) y sus animaciones se detienen si la persona prefiere menos movimiento. Va encima de todas las secciones del detalle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CropHero</w:t>
      </w:r>
      <w:r>
        <w:rPr>
          <w:color w:val="17261F"/>
          <w:sz w:val="20"/>
          <w:szCs w:val="20"/>
        </w:rPr>
        <w:t xml:space="preserve">). Junto a ella, cada actuador aparece como una etiqueta con su estado; no hay botones: las órdenes se dan en Control. Si el cultivo no está conectado no se ilustra: se explica cómo conectarlo (reales) o se lleva a la pestaña Simulación para reanudarla (virtuales). La configuración de la simulación (modo, lugar, medidores, frecuencia y pausa) vive en esa pestaña, que solo aparece en los cultivos virtuales.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Sesión, caché y seguridad</w:t>
      </w:r>
      <w:bookmarkEnd w:id="112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4696463"/>
            <wp:docPr id="113" name="SmartPot_Web_03_Session_And_Cach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SmartPot_Web_03_Session_And_Cache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4</w:t>
      </w:r>
      <w:r>
        <w:rPr>
          <w:i/>
          <w:iCs/>
          <w:color w:val="5B6B63"/>
          <w:sz w:val="16"/>
          <w:szCs w:val="16"/>
        </w:rPr>
        <w:t xml:space="preserve">  ·  Sesión y caché de la PWA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928"/>
        <w:gridCol w:w="7432"/>
      </w:tblGrid>
      <w:tr>
        <w:trPr>
          <w:cantSplit/>
          <w:tblHeader/>
        </w:trPr>
        <w:tc>
          <w:tcPr>
            <w:tcW w:w="19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CONTROL</w:t>
            </w:r>
          </w:p>
        </w:tc>
        <w:tc>
          <w:tcPr>
            <w:tcW w:w="743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CSP</w:t>
            </w:r>
          </w:p>
        </w:tc>
        <w:tc>
          <w:tcPr>
            <w:tcW w:w="74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script-src 'self'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style-src 'self'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connect-src</w:t>
            </w:r>
            <w:r>
              <w:rPr>
                <w:color w:val="17261F"/>
                <w:sz w:val="17"/>
                <w:szCs w:val="17"/>
              </w:rPr>
              <w:t xml:space="preserve"> limitado a la API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Cabeceras</w:t>
            </w:r>
          </w:p>
        </w:tc>
        <w:tc>
          <w:tcPr>
            <w:tcW w:w="74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X-Frame-Options: DENY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nosniff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Referrer-Policy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Permissions-Policy</w:t>
            </w:r>
            <w:r>
              <w:rPr>
                <w:color w:val="17261F"/>
                <w:sz w:val="17"/>
                <w:szCs w:val="17"/>
              </w:rPr>
              <w:t xml:space="preserve"> (geolocalización solo del propio sitio y solo cuando la persona la pide)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Sesión</w:t>
            </w:r>
          </w:p>
        </w:tc>
        <w:tc>
          <w:tcPr>
            <w:tcW w:w="74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JWT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sessionStorage</w:t>
            </w:r>
            <w:r>
              <w:rPr>
                <w:color w:val="17261F"/>
                <w:sz w:val="17"/>
                <w:szCs w:val="17"/>
              </w:rPr>
              <w:t xml:space="preserve">, 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localStorage</w:t>
            </w:r>
            <w:r>
              <w:rPr>
                <w:color w:val="17261F"/>
                <w:sz w:val="17"/>
                <w:szCs w:val="17"/>
              </w:rPr>
              <w:t xml:space="preserve"> con «Mantener sesión iniciada»; un 401 la cierra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Clave del dispositivo</w:t>
            </w:r>
          </w:p>
        </w:tc>
        <w:tc>
          <w:tcPr>
            <w:tcW w:w="74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se muestra al crear un cultivo real o al rotarla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SEO</w:t>
            </w:r>
          </w:p>
        </w:tc>
        <w:tc>
          <w:tcPr>
            <w:tcW w:w="74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Metadatos, Open Graph, JSON-LD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Organization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WebSite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SoftwareApplication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FAQPage</w:t>
            </w:r>
            <w:r>
              <w:rPr>
                <w:color w:val="17261F"/>
                <w:sz w:val="17"/>
                <w:szCs w:val="17"/>
              </w:rPr>
              <w:t xml:space="preserve">),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robots.txt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sitemap.xml</w:t>
            </w:r>
            <w:r>
              <w:rPr>
                <w:color w:val="17261F"/>
                <w:sz w:val="17"/>
                <w:szCs w:val="17"/>
              </w:rPr>
              <w:t xml:space="preserve">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/app</w:t>
            </w:r>
            <w:r>
              <w:rPr>
                <w:color w:val="17261F"/>
                <w:sz w:val="17"/>
                <w:szCs w:val="17"/>
              </w:rPr>
              <w:t xml:space="preserve"> no se indexa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Configuración</w:t>
      </w:r>
      <w:bookmarkEnd w:id="114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464"/>
        <w:gridCol w:w="1676"/>
        <w:gridCol w:w="6220"/>
      </w:tblGrid>
      <w:tr>
        <w:trPr>
          <w:cantSplit/>
          <w:tblHeader/>
        </w:trPr>
        <w:tc>
          <w:tcPr>
            <w:tcW w:w="14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167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DÓNDE</w:t>
            </w:r>
          </w:p>
        </w:tc>
        <w:tc>
          <w:tcPr>
            <w:tcW w:w="622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VITE_API_URL</w:t>
            </w:r>
          </w:p>
        </w:tc>
        <w:tc>
          <w:tcPr>
            <w:tcW w:w="16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.env</w:t>
            </w:r>
            <w:r>
              <w:rPr>
                <w:color w:val="17261F"/>
                <w:sz w:val="17"/>
                <w:szCs w:val="17"/>
              </w:rPr>
              <w:t xml:space="preserve"> en desarrollo</w:t>
            </w:r>
          </w:p>
        </w:tc>
        <w:tc>
          <w:tcPr>
            <w:tcW w:w="6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URL de la API para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pnpm dev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API_URL</w:t>
            </w:r>
          </w:p>
        </w:tc>
        <w:tc>
          <w:tcPr>
            <w:tcW w:w="16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Contenedor</w:t>
            </w:r>
          </w:p>
        </w:tc>
        <w:tc>
          <w:tcPr>
            <w:tcW w:w="62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escribe al arrancar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/config.js</w:t>
            </w:r>
            <w:r>
              <w:rPr>
                <w:color w:val="17261F"/>
                <w:sz w:val="17"/>
                <w:szCs w:val="17"/>
              </w:rPr>
              <w:t xml:space="preserve"> y en la CSP: la misma imagen sirve para cualquier entorno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Identidad visual: tokens de la paleta SmartPot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src/styles/index.css</w:t>
      </w:r>
      <w:r>
        <w:rPr>
          <w:color w:val="17261F"/>
          <w:sz w:val="20"/>
          <w:szCs w:val="20"/>
        </w:rPr>
        <w:t xml:space="preserve">, tipografías Outfit e Inter servidas desde la app y una paleta categórica de 8 colores validada para daltonismo en las comparativas.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Pruebas</w:t>
      </w:r>
      <w:bookmarkEnd w:id="115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lint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typecheck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test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pnpm build</w:t>
      </w:r>
      <w:r>
        <w:rPr>
          <w:color w:val="17261F"/>
          <w:sz w:val="20"/>
          <w:szCs w:val="20"/>
        </w:rPr>
        <w:t xml:space="preserve">. Las 54 pruebas de Vitest y Testing Library cubren el cliente HTTP y sus errores, la sesión, las validaciones, el ingreso, los componentes del cultivo, el asistente con pronóstico y lo aprendido, la comparación de modelos, Telegram, el panel general, la ilustración del cultivo (formas, especies, actuadores, clima y conexión), la creación real o virtual, la guía de conexión y los requisitos de SEO y PWA.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6" w:name="sec_116"/>
      <w:r>
        <w:rPr>
          <w:b/>
          <w:bCs/>
          <w:color w:val="0B3D2B"/>
          <w:sz w:val="34"/>
          <w:szCs w:val="34"/>
        </w:rPr>
        <w:t xml:space="preserve">Operación</w:t>
      </w:r>
      <w:bookmarkEnd w:id="116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88"/>
        <w:gridCol w:w="7572"/>
      </w:tblGrid>
      <w:tr>
        <w:trPr>
          <w:cantSplit/>
          <w:tblHeader/>
        </w:trPr>
        <w:tc>
          <w:tcPr>
            <w:tcW w:w="178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757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17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ghcr.io/smartpottech/smartpot-web</w:t>
            </w:r>
            <w:r>
              <w:rPr>
                <w:color w:val="17261F"/>
                <w:sz w:val="17"/>
                <w:szCs w:val="17"/>
              </w:rPr>
              <w:t xml:space="preserve">: nginx sin privilegios, solo lectura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tmpfs</w:t>
            </w:r>
          </w:p>
        </w:tc>
      </w:tr>
      <w:tr>
        <w:trPr>
          <w:cantSplit/>
        </w:trPr>
        <w:tc>
          <w:tcPr>
            <w:tcW w:w="17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Despliegue</w:t>
            </w:r>
          </w:p>
        </w:tc>
        <w:tc>
          <w:tcPr>
            <w:tcW w:w="757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cambio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main</w:t>
            </w:r>
            <w:r>
              <w:rPr>
                <w:color w:val="17261F"/>
                <w:sz w:val="17"/>
                <w:szCs w:val="17"/>
              </w:rPr>
              <w:t xml:space="preserve"> pasa por el CI, publica la imagen y pide el despliegue central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</w:p>
        </w:tc>
      </w:tr>
      <w:tr>
        <w:trPr>
          <w:cantSplit/>
        </w:trPr>
        <w:tc>
          <w:tcPr>
            <w:tcW w:w="17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Íconos</w:t>
            </w:r>
          </w:p>
        </w:tc>
        <w:tc>
          <w:tcPr>
            <w:tcW w:w="75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pnpm icons</w:t>
            </w:r>
            <w:r>
              <w:rPr>
                <w:color w:val="17261F"/>
                <w:sz w:val="17"/>
                <w:szCs w:val="17"/>
              </w:rPr>
              <w:t xml:space="preserve"> regenera los PNG de la PWA desde los SVG</w:t>
            </w:r>
          </w:p>
        </w:tc>
      </w:tr>
      <w:tr>
        <w:trPr>
          <w:cantSplit/>
        </w:trPr>
        <w:tc>
          <w:tcPr>
            <w:tcW w:w="17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Caché del navegador</w:t>
            </w:r>
          </w:p>
        </w:tc>
        <w:tc>
          <w:tcPr>
            <w:tcW w:w="757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Una versión nueva del service worker reemplaza el app shell al recargar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7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7" name="Icono"/>
                        <pic:cNvPicPr/>
                      </pic:nvPicPr>
                      <pic:blipFill>
                        <a:blip r:embed="rIdImg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SMARTPOT-WEB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Web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SmartPot-Web</dc:title>
  <dc:subject>La aplicación de SmartPot</dc:subject>
  <dc:creator>SmartPotTech</dc:creator>
  <dc:language>es-CO</dc:language>
  <dcterms:created xsi:type="dcterms:W3CDTF">2026-09-28T09:22:19Z</dcterms:created>
  <dcterms:modified xsi:type="dcterms:W3CDTF">2026-09-28T09:22:19Z</dcterms:modified>
</cp:coreProperties>
</file>