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1DF75">
      <w:pPr>
        <w:tabs>
          <w:tab w:val="left" w:pos="284"/>
        </w:tabs>
        <w:spacing w:before="100" w:beforeAutospacing="1"/>
        <w:ind w:left="-2" w:leftChars="-1"/>
        <w:jc w:val="center"/>
        <w:rPr>
          <w:rFonts w:ascii="宋体" w:hAnsi="宋体" w:eastAsia="宋体"/>
          <w:b/>
          <w:bCs/>
          <w:color w:val="000000"/>
          <w:sz w:val="28"/>
          <w:szCs w:val="28"/>
        </w:rPr>
      </w:pPr>
      <w:r>
        <w:rPr>
          <w:rFonts w:hint="eastAsia" w:ascii="宋体" w:hAnsi="宋体" w:eastAsia="宋体"/>
          <w:b/>
          <w:bCs/>
          <w:color w:val="000000"/>
          <w:sz w:val="28"/>
          <w:szCs w:val="28"/>
        </w:rPr>
        <w:t>专业综合</w:t>
      </w:r>
      <w:r>
        <w:rPr>
          <w:rFonts w:ascii="宋体" w:hAnsi="宋体" w:eastAsia="宋体"/>
          <w:b/>
          <w:bCs/>
          <w:color w:val="000000"/>
          <w:sz w:val="28"/>
          <w:szCs w:val="28"/>
        </w:rPr>
        <w:t>课程设计</w:t>
      </w:r>
      <w:r>
        <w:rPr>
          <w:rFonts w:hint="eastAsia" w:ascii="宋体" w:hAnsi="宋体" w:eastAsia="宋体"/>
          <w:b/>
          <w:bCs/>
          <w:color w:val="000000"/>
          <w:sz w:val="28"/>
          <w:szCs w:val="28"/>
        </w:rPr>
        <w:t>课题任务书</w:t>
      </w:r>
    </w:p>
    <w:tbl>
      <w:tblPr>
        <w:tblStyle w:val="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1248"/>
        <w:gridCol w:w="2125"/>
        <w:gridCol w:w="1102"/>
        <w:gridCol w:w="1368"/>
        <w:gridCol w:w="2347"/>
      </w:tblGrid>
      <w:tr w14:paraId="735FD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80" w:type="pct"/>
            <w:vAlign w:val="center"/>
          </w:tcPr>
          <w:p w14:paraId="30E65F6D">
            <w:pPr>
              <w:spacing w:before="100" w:beforeAutospacing="1" w:after="100" w:afterAutospacing="1"/>
              <w:jc w:val="center"/>
              <w:rPr>
                <w:rFonts w:hint="eastAsia" w:ascii="黑体" w:hAnsi="黑体" w:eastAsia="黑体"/>
                <w:color w:val="000000"/>
                <w:sz w:val="24"/>
              </w:rPr>
            </w:pPr>
            <w:r>
              <w:rPr>
                <w:rFonts w:hint="eastAsia" w:ascii="黑体" w:hAnsi="黑体" w:eastAsia="黑体"/>
                <w:color w:val="000000"/>
                <w:sz w:val="24"/>
              </w:rPr>
              <w:t>序号</w:t>
            </w:r>
          </w:p>
        </w:tc>
        <w:tc>
          <w:tcPr>
            <w:tcW w:w="689" w:type="pct"/>
            <w:vAlign w:val="center"/>
          </w:tcPr>
          <w:p w14:paraId="10E79CDC">
            <w:pPr>
              <w:spacing w:before="100" w:beforeAutospacing="1" w:after="100" w:afterAutospacing="1"/>
              <w:jc w:val="center"/>
              <w:rPr>
                <w:rFonts w:ascii="黑体" w:hAnsi="黑体" w:eastAsia="黑体"/>
                <w:color w:val="000000"/>
                <w:sz w:val="24"/>
              </w:rPr>
            </w:pPr>
            <w:r>
              <w:rPr>
                <w:rFonts w:hint="eastAsia" w:ascii="黑体" w:hAnsi="黑体" w:eastAsia="黑体"/>
                <w:color w:val="000000"/>
                <w:sz w:val="24"/>
              </w:rPr>
              <w:t>班级</w:t>
            </w:r>
          </w:p>
        </w:tc>
        <w:tc>
          <w:tcPr>
            <w:tcW w:w="1173" w:type="pct"/>
            <w:vAlign w:val="center"/>
          </w:tcPr>
          <w:p w14:paraId="2079699C">
            <w:pPr>
              <w:spacing w:before="100" w:beforeAutospacing="1" w:after="100" w:afterAutospacing="1"/>
              <w:jc w:val="center"/>
              <w:rPr>
                <w:rFonts w:hint="eastAsia" w:ascii="黑体" w:hAnsi="黑体" w:eastAsia="黑体"/>
                <w:color w:val="000000"/>
                <w:sz w:val="24"/>
              </w:rPr>
            </w:pPr>
            <w:r>
              <w:rPr>
                <w:rFonts w:hint="eastAsia" w:ascii="黑体" w:hAnsi="黑体" w:eastAsia="黑体"/>
                <w:color w:val="000000"/>
                <w:sz w:val="24"/>
              </w:rPr>
              <w:t>学号</w:t>
            </w:r>
          </w:p>
        </w:tc>
        <w:tc>
          <w:tcPr>
            <w:tcW w:w="608" w:type="pct"/>
            <w:vAlign w:val="center"/>
          </w:tcPr>
          <w:p w14:paraId="6CD5364C">
            <w:pPr>
              <w:spacing w:before="100" w:beforeAutospacing="1" w:after="100" w:afterAutospacing="1"/>
              <w:jc w:val="center"/>
              <w:rPr>
                <w:rFonts w:ascii="黑体" w:hAnsi="黑体" w:eastAsia="黑体"/>
                <w:color w:val="000000"/>
                <w:sz w:val="24"/>
              </w:rPr>
            </w:pPr>
            <w:r>
              <w:rPr>
                <w:rFonts w:hint="eastAsia" w:ascii="黑体" w:hAnsi="黑体" w:eastAsia="黑体"/>
                <w:color w:val="000000"/>
                <w:sz w:val="24"/>
              </w:rPr>
              <w:t>姓名</w:t>
            </w:r>
          </w:p>
        </w:tc>
        <w:tc>
          <w:tcPr>
            <w:tcW w:w="755" w:type="pct"/>
            <w:vAlign w:val="center"/>
          </w:tcPr>
          <w:p w14:paraId="3755C1DE">
            <w:pPr>
              <w:spacing w:before="100" w:beforeAutospacing="1" w:after="100" w:afterAutospacing="1"/>
              <w:jc w:val="center"/>
              <w:rPr>
                <w:rFonts w:ascii="黑体" w:hAnsi="黑体" w:eastAsia="黑体"/>
                <w:color w:val="000000"/>
                <w:sz w:val="24"/>
              </w:rPr>
            </w:pPr>
            <w:r>
              <w:rPr>
                <w:rFonts w:hint="eastAsia" w:ascii="黑体" w:hAnsi="黑体" w:eastAsia="黑体"/>
                <w:color w:val="000000"/>
                <w:sz w:val="24"/>
              </w:rPr>
              <w:t>团队角色</w:t>
            </w:r>
          </w:p>
        </w:tc>
        <w:tc>
          <w:tcPr>
            <w:tcW w:w="1295" w:type="pct"/>
            <w:vAlign w:val="center"/>
          </w:tcPr>
          <w:p w14:paraId="104648B4">
            <w:pPr>
              <w:spacing w:before="100" w:beforeAutospacing="1" w:after="100" w:afterAutospacing="1"/>
              <w:jc w:val="center"/>
              <w:rPr>
                <w:rFonts w:ascii="黑体" w:hAnsi="黑体" w:eastAsia="黑体"/>
                <w:color w:val="000000"/>
                <w:sz w:val="24"/>
              </w:rPr>
            </w:pPr>
            <w:r>
              <w:rPr>
                <w:rFonts w:hint="eastAsia" w:ascii="黑体" w:hAnsi="黑体" w:eastAsia="黑体"/>
                <w:color w:val="000000"/>
                <w:sz w:val="24"/>
              </w:rPr>
              <w:t>电话</w:t>
            </w:r>
          </w:p>
        </w:tc>
      </w:tr>
      <w:tr w14:paraId="0814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80" w:type="pct"/>
            <w:vAlign w:val="center"/>
          </w:tcPr>
          <w:p w14:paraId="199B40D3">
            <w:pPr>
              <w:spacing w:after="0"/>
              <w:jc w:val="center"/>
            </w:pPr>
            <w:r>
              <w:rPr>
                <w:rFonts w:ascii="宋体" w:hAnsi="宋体" w:eastAsia="宋体"/>
                <w:b w:val="0"/>
                <w:color w:val="000000"/>
                <w:sz w:val="21"/>
              </w:rPr>
              <w:t>1</w:t>
            </w:r>
          </w:p>
        </w:tc>
        <w:tc>
          <w:tcPr>
            <w:tcW w:w="689" w:type="pct"/>
            <w:vAlign w:val="center"/>
          </w:tcPr>
          <w:p w14:paraId="1BD008D6">
            <w:pPr>
              <w:spacing w:after="0"/>
              <w:jc w:val="center"/>
            </w:pPr>
          </w:p>
        </w:tc>
        <w:tc>
          <w:tcPr>
            <w:tcW w:w="1173" w:type="pct"/>
            <w:vAlign w:val="center"/>
          </w:tcPr>
          <w:p w14:paraId="673B2890">
            <w:pPr>
              <w:spacing w:after="0"/>
              <w:jc w:val="center"/>
            </w:pPr>
          </w:p>
        </w:tc>
        <w:tc>
          <w:tcPr>
            <w:tcW w:w="608" w:type="pct"/>
            <w:vAlign w:val="center"/>
          </w:tcPr>
          <w:p w14:paraId="25047D31">
            <w:pPr>
              <w:spacing w:after="0"/>
              <w:jc w:val="center"/>
            </w:pPr>
          </w:p>
        </w:tc>
        <w:tc>
          <w:tcPr>
            <w:tcW w:w="755" w:type="pct"/>
            <w:vAlign w:val="center"/>
          </w:tcPr>
          <w:p w14:paraId="2A50A5D9">
            <w:pPr>
              <w:spacing w:after="0"/>
              <w:jc w:val="center"/>
            </w:pPr>
          </w:p>
        </w:tc>
        <w:tc>
          <w:tcPr>
            <w:tcW w:w="1295" w:type="pct"/>
            <w:vAlign w:val="center"/>
          </w:tcPr>
          <w:p w14:paraId="7DA8DF3D">
            <w:pPr>
              <w:spacing w:after="0"/>
              <w:jc w:val="center"/>
            </w:pPr>
          </w:p>
        </w:tc>
      </w:tr>
      <w:tr w14:paraId="4B0C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80" w:type="pct"/>
            <w:vAlign w:val="center"/>
          </w:tcPr>
          <w:p w14:paraId="452C435B">
            <w:pPr>
              <w:spacing w:after="0"/>
              <w:jc w:val="center"/>
            </w:pPr>
            <w:r>
              <w:rPr>
                <w:rFonts w:ascii="宋体" w:hAnsi="宋体" w:eastAsia="宋体"/>
                <w:b w:val="0"/>
                <w:color w:val="000000"/>
                <w:sz w:val="21"/>
              </w:rPr>
              <w:t>2</w:t>
            </w:r>
          </w:p>
        </w:tc>
        <w:tc>
          <w:tcPr>
            <w:tcW w:w="689" w:type="pct"/>
            <w:vAlign w:val="center"/>
          </w:tcPr>
          <w:p w14:paraId="72C5424A">
            <w:pPr>
              <w:spacing w:after="0"/>
              <w:jc w:val="center"/>
            </w:pPr>
          </w:p>
        </w:tc>
        <w:tc>
          <w:tcPr>
            <w:tcW w:w="1173" w:type="pct"/>
            <w:vAlign w:val="center"/>
          </w:tcPr>
          <w:p w14:paraId="4498705B">
            <w:pPr>
              <w:spacing w:after="0"/>
              <w:jc w:val="center"/>
            </w:pPr>
          </w:p>
        </w:tc>
        <w:tc>
          <w:tcPr>
            <w:tcW w:w="608" w:type="pct"/>
            <w:vAlign w:val="center"/>
          </w:tcPr>
          <w:p w14:paraId="4F749489">
            <w:pPr>
              <w:spacing w:after="0"/>
              <w:jc w:val="center"/>
            </w:pPr>
          </w:p>
        </w:tc>
        <w:tc>
          <w:tcPr>
            <w:tcW w:w="755" w:type="pct"/>
            <w:vAlign w:val="center"/>
          </w:tcPr>
          <w:p w14:paraId="0FD39B2C">
            <w:pPr>
              <w:spacing w:after="0"/>
              <w:jc w:val="center"/>
            </w:pPr>
          </w:p>
        </w:tc>
        <w:tc>
          <w:tcPr>
            <w:tcW w:w="1295" w:type="pct"/>
            <w:vAlign w:val="center"/>
          </w:tcPr>
          <w:p w14:paraId="0925D148">
            <w:pPr>
              <w:spacing w:after="0"/>
              <w:jc w:val="center"/>
            </w:pPr>
          </w:p>
        </w:tc>
      </w:tr>
      <w:tr w14:paraId="40FF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80" w:type="pct"/>
            <w:vAlign w:val="center"/>
          </w:tcPr>
          <w:p w14:paraId="3C8F577A">
            <w:pPr>
              <w:spacing w:after="0"/>
              <w:jc w:val="center"/>
            </w:pPr>
            <w:r>
              <w:rPr>
                <w:rFonts w:ascii="宋体" w:hAnsi="宋体" w:eastAsia="宋体"/>
                <w:b w:val="0"/>
                <w:color w:val="000000"/>
                <w:sz w:val="21"/>
              </w:rPr>
              <w:t>3</w:t>
            </w:r>
          </w:p>
        </w:tc>
        <w:tc>
          <w:tcPr>
            <w:tcW w:w="689" w:type="pct"/>
            <w:vAlign w:val="center"/>
          </w:tcPr>
          <w:p w14:paraId="75CC3F30">
            <w:pPr>
              <w:spacing w:after="0"/>
              <w:jc w:val="center"/>
            </w:pPr>
          </w:p>
        </w:tc>
        <w:tc>
          <w:tcPr>
            <w:tcW w:w="1173" w:type="pct"/>
            <w:vAlign w:val="center"/>
          </w:tcPr>
          <w:p w14:paraId="297587CE">
            <w:pPr>
              <w:spacing w:after="0"/>
              <w:jc w:val="center"/>
            </w:pPr>
          </w:p>
        </w:tc>
        <w:tc>
          <w:tcPr>
            <w:tcW w:w="608" w:type="pct"/>
            <w:vAlign w:val="center"/>
          </w:tcPr>
          <w:p w14:paraId="0BA9AC74">
            <w:pPr>
              <w:spacing w:after="0"/>
              <w:jc w:val="center"/>
            </w:pPr>
          </w:p>
        </w:tc>
        <w:tc>
          <w:tcPr>
            <w:tcW w:w="755" w:type="pct"/>
            <w:vAlign w:val="center"/>
          </w:tcPr>
          <w:p w14:paraId="399861E9">
            <w:pPr>
              <w:spacing w:after="0"/>
              <w:jc w:val="center"/>
            </w:pPr>
          </w:p>
        </w:tc>
        <w:tc>
          <w:tcPr>
            <w:tcW w:w="1295" w:type="pct"/>
            <w:vAlign w:val="center"/>
          </w:tcPr>
          <w:p w14:paraId="5B94D420">
            <w:pPr>
              <w:spacing w:after="0"/>
              <w:jc w:val="center"/>
            </w:pPr>
          </w:p>
        </w:tc>
      </w:tr>
      <w:tr w14:paraId="50B2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80" w:type="pct"/>
            <w:vAlign w:val="center"/>
          </w:tcPr>
          <w:p w14:paraId="67FCFC21">
            <w:pPr>
              <w:spacing w:after="0"/>
              <w:jc w:val="center"/>
            </w:pPr>
            <w:r>
              <w:rPr>
                <w:rFonts w:ascii="宋体" w:hAnsi="宋体" w:eastAsia="宋体"/>
                <w:b w:val="0"/>
                <w:color w:val="000000"/>
                <w:sz w:val="21"/>
              </w:rPr>
              <w:t>4</w:t>
            </w:r>
          </w:p>
        </w:tc>
        <w:tc>
          <w:tcPr>
            <w:tcW w:w="689" w:type="pct"/>
            <w:vAlign w:val="center"/>
          </w:tcPr>
          <w:p w14:paraId="3E683373">
            <w:pPr>
              <w:spacing w:after="0"/>
              <w:jc w:val="center"/>
            </w:pPr>
          </w:p>
        </w:tc>
        <w:tc>
          <w:tcPr>
            <w:tcW w:w="1173" w:type="pct"/>
            <w:vAlign w:val="center"/>
          </w:tcPr>
          <w:p w14:paraId="37F9A67B">
            <w:pPr>
              <w:spacing w:after="0"/>
              <w:jc w:val="center"/>
            </w:pPr>
          </w:p>
        </w:tc>
        <w:tc>
          <w:tcPr>
            <w:tcW w:w="608" w:type="pct"/>
            <w:vAlign w:val="center"/>
          </w:tcPr>
          <w:p w14:paraId="59DBAF61">
            <w:pPr>
              <w:spacing w:after="0"/>
              <w:jc w:val="center"/>
            </w:pPr>
          </w:p>
        </w:tc>
        <w:tc>
          <w:tcPr>
            <w:tcW w:w="755" w:type="pct"/>
            <w:vAlign w:val="center"/>
          </w:tcPr>
          <w:p w14:paraId="48669969">
            <w:pPr>
              <w:spacing w:after="0"/>
              <w:jc w:val="center"/>
            </w:pPr>
          </w:p>
        </w:tc>
        <w:tc>
          <w:tcPr>
            <w:tcW w:w="1295" w:type="pct"/>
            <w:vAlign w:val="center"/>
          </w:tcPr>
          <w:p w14:paraId="4342D329">
            <w:pPr>
              <w:spacing w:after="0"/>
              <w:jc w:val="center"/>
            </w:pPr>
          </w:p>
        </w:tc>
      </w:tr>
      <w:tr w14:paraId="2613F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480" w:type="pct"/>
            <w:vAlign w:val="center"/>
          </w:tcPr>
          <w:p w14:paraId="3EC0D6F5">
            <w:pPr>
              <w:spacing w:before="100" w:beforeAutospacing="1" w:after="100" w:afterAutospacing="1" w:line="360" w:lineRule="exact"/>
              <w:jc w:val="center"/>
              <w:rPr>
                <w:rFonts w:ascii="黑体" w:hAnsi="黑体" w:eastAsia="黑体"/>
                <w:color w:val="000000"/>
                <w:sz w:val="24"/>
              </w:rPr>
            </w:pPr>
            <w:r>
              <w:rPr>
                <w:rFonts w:ascii="黑体" w:hAnsi="黑体" w:eastAsia="黑体"/>
                <w:color w:val="000000"/>
                <w:sz w:val="24"/>
              </w:rPr>
              <w:t>题目</w:t>
            </w:r>
          </w:p>
        </w:tc>
        <w:tc>
          <w:tcPr>
            <w:tcW w:w="4520" w:type="pct"/>
            <w:gridSpan w:val="5"/>
            <w:vAlign w:val="center"/>
          </w:tcPr>
          <w:p w14:paraId="26AA14A9">
            <w:pPr>
              <w:spacing w:after="0"/>
              <w:jc w:val="center"/>
            </w:pPr>
            <w:r>
              <w:rPr>
                <w:rFonts w:ascii="宋体" w:hAnsi="宋体" w:eastAsia="宋体"/>
                <w:b/>
                <w:color w:val="000000"/>
                <w:sz w:val="24"/>
              </w:rPr>
              <w:t>基于ESP32-P4的端云协同口腔健康筛查系统</w:t>
            </w:r>
          </w:p>
        </w:tc>
      </w:tr>
      <w:tr w14:paraId="61764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8" w:hRule="atLeast"/>
          <w:jc w:val="center"/>
        </w:trPr>
        <w:tc>
          <w:tcPr>
            <w:tcW w:w="480" w:type="pct"/>
            <w:vAlign w:val="center"/>
          </w:tcPr>
          <w:p w14:paraId="674C4988">
            <w:pPr>
              <w:spacing w:before="100" w:beforeAutospacing="1" w:after="100" w:afterAutospacing="1" w:line="360" w:lineRule="exact"/>
              <w:jc w:val="center"/>
              <w:rPr>
                <w:rFonts w:hint="eastAsia" w:ascii="黑体" w:hAnsi="黑体" w:eastAsia="黑体"/>
                <w:color w:val="000000"/>
                <w:sz w:val="24"/>
              </w:rPr>
            </w:pPr>
            <w:r>
              <w:rPr>
                <w:rFonts w:hint="eastAsia" w:ascii="黑体" w:hAnsi="黑体" w:eastAsia="黑体"/>
                <w:color w:val="000000"/>
                <w:sz w:val="24"/>
              </w:rPr>
              <w:t xml:space="preserve">课题来源和 </w:t>
            </w:r>
            <w:r>
              <w:rPr>
                <w:rFonts w:ascii="黑体" w:hAnsi="黑体" w:eastAsia="黑体"/>
                <w:color w:val="000000"/>
                <w:sz w:val="24"/>
              </w:rPr>
              <w:t xml:space="preserve"> </w:t>
            </w:r>
            <w:r>
              <w:rPr>
                <w:rFonts w:hint="eastAsia" w:ascii="黑体" w:hAnsi="黑体" w:eastAsia="黑体"/>
                <w:color w:val="000000"/>
                <w:sz w:val="24"/>
              </w:rPr>
              <w:t>技术需求</w:t>
            </w:r>
          </w:p>
        </w:tc>
        <w:tc>
          <w:tcPr>
            <w:tcW w:w="4520" w:type="pct"/>
            <w:gridSpan w:val="5"/>
            <w:vAlign w:val="center"/>
          </w:tcPr>
          <w:p w14:paraId="3942674D">
            <w:pPr>
              <w:spacing w:after="40" w:line="276" w:lineRule="auto"/>
            </w:pPr>
            <w:r>
              <w:rPr>
                <w:rFonts w:ascii="黑体" w:hAnsi="黑体" w:eastAsia="黑体"/>
                <w:b/>
                <w:color w:val="000000"/>
                <w:sz w:val="21"/>
              </w:rPr>
              <w:t>1、应用场景</w:t>
            </w:r>
          </w:p>
          <w:p w14:paraId="7EC4E920">
            <w:pPr>
              <w:spacing w:after="40" w:line="276" w:lineRule="auto"/>
            </w:pPr>
            <w:r>
              <w:rPr>
                <w:rFonts w:ascii="宋体" w:hAnsi="宋体" w:eastAsia="宋体"/>
                <w:b w:val="0"/>
                <w:color w:val="000000"/>
                <w:sz w:val="21"/>
              </w:rPr>
              <w:t>口腔健康是全身健康的重要组成部分。世界卫生组织资料显示，口腔疾病影响人群广、持续时间长，未治疗恒牙龋齿是常见健康问题之一；若早期缺少观察和干预，容易发展为疼痛、感染、咀嚼功能下降和治疗费用增加等问题，影响儿童成长、学生学习和老年人生活质量。</w:t>
            </w:r>
          </w:p>
          <w:p w14:paraId="3D1E9BCC">
            <w:pPr>
              <w:spacing w:after="40" w:line="276" w:lineRule="auto"/>
            </w:pPr>
            <w:r>
              <w:rPr>
                <w:rFonts w:ascii="宋体" w:hAnsi="宋体" w:eastAsia="宋体"/>
                <w:b w:val="0"/>
                <w:color w:val="000000"/>
                <w:sz w:val="21"/>
              </w:rPr>
              <w:t>我国《健康口腔行动方案（2019—2025年）》提出推动口腔健康行为普及和口腔健康服务能力提升，并将12岁儿童龋患率、儿童窝沟封闭服务覆盖率、成人每天两次刷牙率、老年人存留牙数等列为行动指标。第四次全国口腔健康流行病学调查也显示，儿童龋患、成人牙石和牙龈出血等问题仍需持续关注，说明口腔健康管理具有明确的公共健康价值。</w:t>
            </w:r>
          </w:p>
          <w:p w14:paraId="4D12E52D">
            <w:pPr>
              <w:spacing w:after="40" w:line="276" w:lineRule="auto"/>
            </w:pPr>
            <w:r>
              <w:rPr>
                <w:rFonts w:ascii="宋体" w:hAnsi="宋体" w:eastAsia="宋体"/>
                <w:b w:val="0"/>
                <w:color w:val="000000"/>
                <w:sz w:val="21"/>
              </w:rPr>
              <w:t>在家庭、校园和社区场景中，口腔自查主要依靠普通镜子、手机拍照或定期牙科检查。普通镜子难以观察后牙区和牙龈边缘，手机拍照缺少稳定补光、距离、角度和清晰度控制，专业牙科检查又受到时间、费用和可及性限制。因此，需要一种低成本、易操作、能标准化采集口腔图像并给出风险提示的AIoT辅助筛查方案。</w:t>
            </w:r>
          </w:p>
          <w:p w14:paraId="58054522">
            <w:pPr>
              <w:spacing w:after="40" w:line="276" w:lineRule="auto"/>
            </w:pPr>
            <w:r>
              <w:rPr>
                <w:rFonts w:ascii="宋体" w:hAnsi="宋体" w:eastAsia="宋体"/>
                <w:b w:val="0"/>
                <w:color w:val="000000"/>
                <w:sz w:val="21"/>
              </w:rPr>
              <w:t>本课题面向家庭口腔自查、校园健康筛查、儿童刷牙习惯培养、社区口腔健康科普和老年口腔健康管理等实际需求，利用ESP32-P4端侧感知与云端AI分析相结合的方式，将口腔健康管理从“出现疼痛后就医”前移到“日常观察、及时提醒、科学护理”阶段。</w:t>
            </w:r>
          </w:p>
          <w:p w14:paraId="2D603E79">
            <w:pPr>
              <w:spacing w:after="40" w:line="276" w:lineRule="auto"/>
            </w:pPr>
            <w:r>
              <w:rPr>
                <w:rFonts w:ascii="黑体" w:hAnsi="黑体" w:eastAsia="黑体"/>
                <w:b/>
                <w:color w:val="000000"/>
                <w:sz w:val="21"/>
              </w:rPr>
              <w:t>2、功能需求</w:t>
            </w:r>
          </w:p>
          <w:p w14:paraId="33CFC401">
            <w:pPr>
              <w:spacing w:after="40" w:line="276" w:lineRule="auto"/>
            </w:pPr>
            <w:r>
              <w:rPr>
                <w:rFonts w:ascii="宋体" w:hAnsi="宋体" w:eastAsia="宋体"/>
                <w:b w:val="0"/>
                <w:color w:val="000000"/>
                <w:sz w:val="21"/>
              </w:rPr>
              <w:t>（1）口腔图像采集与实时预览需求：系统由桌面主机和手持口腔探头组成，探头集成MIPI-CSI摄像头、可调LED补光、ToF距离传感器和6轴IMU，采集牙齿、牙龈及口腔局部图像；桌面端7英寸触摸屏实时显示摄像头画面、当前拍摄视角、距离状态、姿态状态和补光状态，使用户能够边拍边看。</w:t>
            </w:r>
          </w:p>
          <w:p w14:paraId="36478D50">
            <w:pPr>
              <w:spacing w:after="40" w:line="276" w:lineRule="auto"/>
            </w:pPr>
            <w:r>
              <w:rPr>
                <w:rFonts w:ascii="宋体" w:hAnsi="宋体" w:eastAsia="宋体"/>
                <w:b w:val="0"/>
                <w:color w:val="000000"/>
                <w:sz w:val="21"/>
              </w:rPr>
              <w:t>（2）拍摄方式需求：系统当前阶段支持触摸屏拍摄和语音指令拍摄两种方式。触摸屏拍摄是指用户在实时预览界面点击“拍摄、重拍、下一视角”等按钮完成手动采集；语音指令拍摄是指用户说出“开始拍摄、重新拍摄、下一张”等简短指令后触发对应采集流程。稳定状态自动拍摄需要更充分的阈值调试和误触发控制，作为后续比赛阶段扩展功能。</w:t>
            </w:r>
          </w:p>
          <w:p w14:paraId="0085B8E4">
            <w:pPr>
              <w:spacing w:after="40" w:line="276" w:lineRule="auto"/>
            </w:pPr>
            <w:r>
              <w:rPr>
                <w:rFonts w:ascii="宋体" w:hAnsi="宋体" w:eastAsia="宋体"/>
                <w:b w:val="0"/>
                <w:color w:val="000000"/>
                <w:sz w:val="21"/>
              </w:rPr>
              <w:t>（3）标准化视角与拍摄引导需求：系统围绕课程设计阶段可完成的核心场景，重点实现上颌正面、下颌正面、左侧/右侧咬合区等少量标准视角采集；ToF传感器实时检测探头与牙齿距离，IMU检测倾斜角和抖动状态，系统通过屏幕和语音给出“靠近一点”“远离一点”“向左/向右倾斜”“保持稳定”等提示。</w:t>
            </w:r>
          </w:p>
          <w:p w14:paraId="5050E5F7">
            <w:pPr>
              <w:spacing w:after="40" w:line="276" w:lineRule="auto"/>
            </w:pPr>
            <w:r>
              <w:rPr>
                <w:rFonts w:ascii="宋体" w:hAnsi="宋体" w:eastAsia="宋体"/>
                <w:b w:val="0"/>
                <w:color w:val="000000"/>
                <w:sz w:val="21"/>
              </w:rPr>
              <w:t>（4）图像质量检测与重拍需求：系统在本地判断图像是否存在过暗、过曝、明显模糊、反光严重、牙齿区域过小等问题；不合格图像在屏幕上标记原因并提示用户重拍，合格图像进入端侧初筛或云端上传流程，保证后续识别使用的是相对可用的图像。</w:t>
            </w:r>
          </w:p>
          <w:p w14:paraId="71C7DA07">
            <w:pPr>
              <w:spacing w:after="40" w:line="276" w:lineRule="auto"/>
            </w:pPr>
            <w:r>
              <w:rPr>
                <w:rFonts w:ascii="宋体" w:hAnsi="宋体" w:eastAsia="宋体"/>
                <w:b w:val="0"/>
                <w:color w:val="000000"/>
                <w:sz w:val="21"/>
              </w:rPr>
              <w:t>（5）端侧基础处理与离线初筛需求：ESP32-P4端侧完成实时预览、图像裁剪压缩、亮度/清晰度检测、距离姿态融合判断，并部署轻量化视觉模型或轻量分割算法，对牙齿区域进行粗分割，对疑似龋齿、龋洞或裂纹可见区域给出本地粗筛提示。该功能作为课程设计核心创新点之一，目标是在无网络时仍能给出基础拍摄反馈和风险提示。</w:t>
            </w:r>
          </w:p>
          <w:p w14:paraId="55D43C41">
            <w:pPr>
              <w:spacing w:after="40" w:line="276" w:lineRule="auto"/>
            </w:pPr>
            <w:r>
              <w:rPr>
                <w:rFonts w:ascii="宋体" w:hAnsi="宋体" w:eastAsia="宋体"/>
                <w:b w:val="0"/>
                <w:color w:val="000000"/>
                <w:sz w:val="21"/>
              </w:rPr>
              <w:t>（6）云端识别与报告生成需求：联网状态下，设备将合格图像、端侧初筛结果和图像质量参数上传至云服务器；云端视觉模型对牙齿区域、疑似龋齿/龋洞/裂纹等可见风险进行进一步识别和标注，Web端调用大语言模型生成通俗易懂的筛查报告、护理建议和复查提醒。</w:t>
            </w:r>
          </w:p>
          <w:p w14:paraId="3B9618EF">
            <w:pPr>
              <w:spacing w:after="40" w:line="276" w:lineRule="auto"/>
            </w:pPr>
            <w:r>
              <w:rPr>
                <w:rFonts w:ascii="宋体" w:hAnsi="宋体" w:eastAsia="宋体"/>
                <w:b w:val="0"/>
                <w:color w:val="000000"/>
                <w:sz w:val="21"/>
              </w:rPr>
              <w:t>（7）Web端数据查看与用户隔离需求：系统当前阶段优先开发Web端，实现账号登录、设备绑定、家庭成员档案切换、本次报告查看、历史记录查询和复查提醒；通过用户ID、家庭成员ID、设备ID和报告ID进行数据隔离，保证不同用户及不同家庭成员的口腔图像和报告互不混淆。移动App作为后续比赛阶段扩展。</w:t>
            </w:r>
          </w:p>
          <w:p w14:paraId="3ED64D18">
            <w:pPr>
              <w:spacing w:after="40" w:line="276" w:lineRule="auto"/>
            </w:pPr>
            <w:r>
              <w:rPr>
                <w:rFonts w:ascii="宋体" w:hAnsi="宋体" w:eastAsia="宋体"/>
                <w:b w:val="0"/>
                <w:color w:val="000000"/>
                <w:sz w:val="21"/>
              </w:rPr>
              <w:t>（8）隐私保护与安全边界需求：口腔图像和筛查报告属于个人健康相关数据，系统需支持用户授权上传、历史记录删除和必要的数据加密传输；所有界面和报告均应避免绝对化诊断表述，定位为口腔健康风险筛查与护理辅助工具，不替代口腔医生。校园批量管理、OTA升级、移动App和大规模模型迭代作为后续比赛扩展方向。</w:t>
            </w:r>
          </w:p>
          <w:p w14:paraId="632D4056">
            <w:pPr>
              <w:spacing w:after="40" w:line="276" w:lineRule="auto"/>
            </w:pPr>
            <w:r>
              <w:rPr>
                <w:rFonts w:ascii="黑体" w:hAnsi="黑体" w:eastAsia="黑体"/>
                <w:b/>
                <w:color w:val="000000"/>
                <w:sz w:val="21"/>
              </w:rPr>
              <w:t>3、性能需求</w:t>
            </w:r>
          </w:p>
          <w:p w14:paraId="6384A063">
            <w:pPr>
              <w:spacing w:after="40" w:line="276" w:lineRule="auto"/>
            </w:pPr>
            <w:r>
              <w:rPr>
                <w:rFonts w:ascii="宋体" w:hAnsi="宋体" w:eastAsia="宋体"/>
                <w:b w:val="0"/>
                <w:color w:val="000000"/>
                <w:sz w:val="21"/>
              </w:rPr>
              <w:t>（1）口腔图像采集实时性需求：摄像头应支持不低于720P的口腔图像采集，桌面端7英寸屏幕能够实时预览口腔画面；原型演示时应保证用户可以顺畅完成对准、观察、拍摄和重拍操作。</w:t>
            </w:r>
          </w:p>
          <w:p w14:paraId="09F696A2">
            <w:pPr>
              <w:spacing w:after="40" w:line="276" w:lineRule="auto"/>
            </w:pPr>
            <w:r>
              <w:rPr>
                <w:rFonts w:ascii="宋体" w:hAnsi="宋体" w:eastAsia="宋体"/>
                <w:b w:val="0"/>
                <w:color w:val="000000"/>
                <w:sz w:val="21"/>
              </w:rPr>
              <w:t>（2）拍摄引导响应需求：ToF距离传感器和IMU姿态传感器需连续采集探头与牙齿距离、倾斜角和手持抖动状态，用户调整探头后系统应快速给出距离、角度和稳定性提示，使用户能在较短时间内完成一组核心视角采集。</w:t>
            </w:r>
          </w:p>
          <w:p w14:paraId="0749B08B">
            <w:pPr>
              <w:spacing w:after="40" w:line="276" w:lineRule="auto"/>
              <w:rPr>
                <w:rFonts w:ascii="宋体" w:hAnsi="宋体" w:eastAsia="宋体"/>
                <w:b w:val="0"/>
                <w:color w:val="000000"/>
                <w:sz w:val="21"/>
              </w:rPr>
            </w:pPr>
            <w:r>
              <w:rPr>
                <w:rFonts w:ascii="宋体" w:hAnsi="宋体" w:eastAsia="宋体"/>
                <w:b w:val="0"/>
                <w:color w:val="000000"/>
                <w:sz w:val="21"/>
              </w:rPr>
              <w:t>（3）两种拍摄方式可用性需求：触摸屏拍摄应能在预览界面直接完成拍摄、重拍和下一视角切换；语音指令拍摄应能识别少量固定命令并触发对应动作。</w:t>
            </w:r>
          </w:p>
          <w:p w14:paraId="29A404AE">
            <w:pPr>
              <w:spacing w:after="40" w:line="276" w:lineRule="auto"/>
            </w:pPr>
            <w:r>
              <w:rPr>
                <w:rFonts w:ascii="宋体" w:hAnsi="宋体" w:eastAsia="宋体"/>
                <w:b w:val="0"/>
                <w:color w:val="000000"/>
                <w:sz w:val="21"/>
              </w:rPr>
              <w:t>（4）端侧处理性能需求：ESP32-P4端侧应完成亮度检测、过曝检测、清晰度评估、图像裁剪压缩和牙齿区域粗分割/初筛提示；端侧输出主要用于拍摄反馈和离线风险提示，处理时间应控制在用户可接受范围内，不影响基本预览和交互。</w:t>
            </w:r>
          </w:p>
          <w:p w14:paraId="72C98753">
            <w:pPr>
              <w:spacing w:after="40" w:line="276" w:lineRule="auto"/>
            </w:pPr>
            <w:r>
              <w:rPr>
                <w:rFonts w:ascii="宋体" w:hAnsi="宋体" w:eastAsia="宋体"/>
                <w:b w:val="0"/>
                <w:color w:val="000000"/>
                <w:sz w:val="21"/>
              </w:rPr>
              <w:t>（5）云端识别与报告时效需求：云服务器应在收到设备上传的合格图像后完成视觉模型推理和风险区域标注，并调用大语言模型生成简要筛查报告；原型阶段报告生成时间应控制在演示可接受范围内，重点保证流程完整和结果可解释。</w:t>
            </w:r>
          </w:p>
          <w:p w14:paraId="6A38B480">
            <w:pPr>
              <w:spacing w:after="40" w:line="276" w:lineRule="auto"/>
            </w:pPr>
            <w:r>
              <w:rPr>
                <w:rFonts w:ascii="宋体" w:hAnsi="宋体" w:eastAsia="宋体"/>
                <w:b w:val="0"/>
                <w:color w:val="000000"/>
                <w:sz w:val="21"/>
              </w:rPr>
              <w:t>（6）Web端数据隔离需求：Web端应支持账号登录、家庭成员切换、本次报告查看和历史记录查询，不同账号和不同家庭成员的数据应独立保存，避免家庭共用设备时出现图像和报告混淆。</w:t>
            </w:r>
          </w:p>
          <w:p w14:paraId="41384198">
            <w:pPr>
              <w:spacing w:after="40" w:line="276" w:lineRule="auto"/>
            </w:pPr>
            <w:r>
              <w:rPr>
                <w:rFonts w:ascii="宋体" w:hAnsi="宋体" w:eastAsia="宋体"/>
                <w:b w:val="0"/>
                <w:color w:val="000000"/>
                <w:sz w:val="21"/>
              </w:rPr>
              <w:t>（7）隐私与安全性能需求：设备与云端传输尽量采用HTTPS等安全通信方式；报告内容应标注“仅供健康筛查参考，不作为医学诊断”，并支持用户删除历史图像和报告记录，降低健康数据使用风险。</w:t>
            </w:r>
          </w:p>
          <w:p w14:paraId="6AB2A32F">
            <w:pPr>
              <w:spacing w:after="40" w:line="276" w:lineRule="auto"/>
            </w:pPr>
            <w:r>
              <w:rPr>
                <w:rFonts w:ascii="黑体" w:hAnsi="黑体" w:eastAsia="黑体"/>
                <w:b/>
                <w:color w:val="000000"/>
                <w:sz w:val="21"/>
              </w:rPr>
              <w:t>4、拟采用技术路线</w:t>
            </w:r>
          </w:p>
          <w:p w14:paraId="2F544799">
            <w:pPr>
              <w:spacing w:after="40" w:line="276" w:lineRule="auto"/>
            </w:pPr>
            <w:r>
              <w:rPr>
                <w:rFonts w:ascii="宋体" w:hAnsi="宋体" w:eastAsia="宋体"/>
                <w:b w:val="0"/>
                <w:color w:val="000000"/>
                <w:sz w:val="21"/>
              </w:rPr>
              <w:t>感知层采用MIPI-CSI摄像头、VL53L1X/VL53L0X ToF、BMI270/ICM-42688 6轴IMU、PWM白光LED补光、触摸屏交互模块和外接麦克风/扬声器；传输层采用Wi-Fi与HTTP/HTTPS接口完成图像、传感器状态和筛查结果上传，Web端通过后端接口获取报告；控制层采用ESP32-P4、FreeRTOS、LVGL、ESP-IDF v5.5.2、I2C/I2S驱动、本地图像质量评估算法和端侧轻量视觉模型，实现实时预览、触摸屏拍摄、语音指令拍摄、距离姿态引导、图像质量判断和离线初筛；云端采用FastAPI/Node.j</w:t>
            </w:r>
            <w:bookmarkStart w:id="0" w:name="_GoBack"/>
            <w:bookmarkEnd w:id="0"/>
            <w:r>
              <w:rPr>
                <w:rFonts w:ascii="宋体" w:hAnsi="宋体" w:eastAsia="宋体"/>
                <w:b w:val="0"/>
                <w:color w:val="000000"/>
                <w:sz w:val="21"/>
              </w:rPr>
              <w:t>s、OpenCV、PyTorch/YOLO或Mask R-CNN、大模型API、MySQL/PostgreSQL和对象存储，对上传图像进行风险区域标注、报告生成和用户数据隔离管理。后续比赛阶段再扩展稳定状态自动拍摄、移动App、校园批量筛查、OTA升级和更高精度模型迭代。</w:t>
            </w:r>
          </w:p>
        </w:tc>
      </w:tr>
      <w:tr w14:paraId="148F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80" w:type="pct"/>
            <w:vAlign w:val="center"/>
          </w:tcPr>
          <w:p w14:paraId="7CAE1097">
            <w:pPr>
              <w:spacing w:before="100" w:beforeAutospacing="1" w:after="100" w:afterAutospacing="1" w:line="360" w:lineRule="exact"/>
              <w:jc w:val="center"/>
              <w:rPr>
                <w:rFonts w:hint="eastAsia" w:ascii="黑体" w:hAnsi="黑体" w:eastAsia="黑体"/>
                <w:color w:val="000000"/>
                <w:sz w:val="24"/>
              </w:rPr>
            </w:pPr>
            <w:r>
              <w:rPr>
                <w:rFonts w:hint="eastAsia" w:ascii="黑体" w:hAnsi="黑体" w:eastAsia="黑体"/>
                <w:color w:val="000000"/>
                <w:sz w:val="24"/>
              </w:rPr>
              <w:t>指导老师签名</w:t>
            </w:r>
          </w:p>
        </w:tc>
        <w:tc>
          <w:tcPr>
            <w:tcW w:w="4520" w:type="pct"/>
            <w:gridSpan w:val="5"/>
            <w:vAlign w:val="center"/>
          </w:tcPr>
          <w:p w14:paraId="6D29D035">
            <w:pPr>
              <w:spacing w:after="0"/>
              <w:jc w:val="center"/>
            </w:pPr>
          </w:p>
        </w:tc>
      </w:tr>
    </w:tbl>
    <w:p w14:paraId="110D95AA"/>
    <w:sectPr>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99"/>
    <w:rsid w:val="005013EB"/>
    <w:rsid w:val="0070252D"/>
    <w:rsid w:val="00A42183"/>
    <w:rsid w:val="00AE7FF0"/>
    <w:rsid w:val="00E3260D"/>
    <w:rsid w:val="00ED2EB5"/>
    <w:rsid w:val="00FE4999"/>
    <w:rsid w:val="61A04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南昌航空大学</Company>
  <Pages>3</Pages>
  <Words>2633</Words>
  <Characters>2871</Characters>
  <Lines>5</Lines>
  <Paragraphs>1</Paragraphs>
  <TotalTime>41</TotalTime>
  <ScaleCrop>false</ScaleCrop>
  <LinksUpToDate>false</LinksUpToDate>
  <CharactersWithSpaces>2877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2021-02-22T09:07:00Z</dcterms:created>
  <dc:creator>晨 孙</dc:creator>
  <cp:lastModifiedBy>WPS_1692868515</cp:lastModifiedBy>
  <dcterms:modified xsi:type="dcterms:W3CDTF">2026-06-17T09:27:12Z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4b0855f0bbd7406fb30eb60e85869736</vt:lpwstr>
  </property>
  <property fmtid="{D5CDD505-2E9C-101B-9397-08002B2CF9AE}" pid="3" name="KSOTemplateDocerSaveRecord">
    <vt:lpwstr>eyJoZGlkIjoiYWM4MDZhMzQ2MTdiNzI3YjFlODk2Yzk0M2U5YTlhNzYiLCJ1c2VySWQiOiIxNTIzOTgzODkzIn0=</vt:lpwstr>
  </property>
  <property fmtid="{D5CDD505-2E9C-101B-9397-08002B2CF9AE}" pid="4" name="KSOProductBuildVer">
    <vt:lpwstr>2052-12.1.0.26375</vt:lpwstr>
  </property>
</Properties>
</file>