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B98A43"/>
          <w:sz w:val="20"/>
        </w:rPr>
        <w:t>GUIA DE IMPLEMENTAÇÃO</w:t>
      </w:r>
    </w:p>
    <w:p>
      <w:pPr>
        <w:pStyle w:val="Title"/>
      </w:pPr>
      <w:r>
        <w:t>WineGuard Backend</w:t>
      </w:r>
    </w:p>
    <w:p>
      <w:r>
        <w:rPr>
          <w:color w:val="5C6670"/>
          <w:sz w:val="28"/>
        </w:rPr>
        <w:t>Backend Java, banco de dados e integração FIWARE</w:t>
      </w:r>
    </w:p>
    <w:p>
      <w:r>
        <w:t>Material de apoio para a equipe integrar a API ao painel, às VMs AWS e aos dispositivos físicos da Vinharia Agnello.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0EB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Objetivo  </w:t>
            </w:r>
            <w:r>
              <w:t>Explicar o que o backend entrega, onde cada dado fica, como executar localmente e o que ainda precisa ser confirmado antes da integração real.</w:t>
            </w:r>
          </w:p>
        </w:tc>
      </w:tr>
    </w:tbl>
    <w:p>
      <w:pPr>
        <w:spacing w:after="0"/>
      </w:pPr>
    </w:p>
    <w:p>
      <w:pPr>
        <w:pStyle w:val="Heading2"/>
      </w:pPr>
      <w:r>
        <w:t>Visão do fluxo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t>PAINEL</w:t>
              <w:br/>
            </w:r>
            <w:r>
              <w:rPr>
                <w:color w:val="222222"/>
                <w:sz w:val="14"/>
              </w:rPr>
              <w:t>HTTP / JSON</w:t>
            </w:r>
          </w:p>
        </w:tc>
        <w:tc>
          <w:tcPr>
            <w:tcW w:type="dxa" w:w="3427"/>
            <w:shd w:fill="6F183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API SPRING BOOT</w:t>
              <w:br/>
            </w:r>
            <w:r>
              <w:rPr>
                <w:color w:val="FFFFFF"/>
                <w:sz w:val="14"/>
              </w:rPr>
              <w:t>Controller → Service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t>POSTGRESQL</w:t>
              <w:br/>
            </w:r>
            <w:r>
              <w:rPr>
                <w:color w:val="222222"/>
                <w:sz w:val="14"/>
              </w:rPr>
              <w:t>cadastros + limites</w:t>
            </w:r>
          </w:p>
        </w:tc>
      </w:tr>
      <w:tr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t>DISPOSITIVOS</w:t>
              <w:br/>
            </w:r>
            <w:r>
              <w:rPr>
                <w:color w:val="222222"/>
                <w:sz w:val="14"/>
              </w:rPr>
              <w:t>publicam contexto FIWARE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t>ORION</w:t>
              <w:br/>
            </w:r>
            <w:r>
              <w:rPr>
                <w:color w:val="222222"/>
                <w:sz w:val="14"/>
              </w:rPr>
              <w:t>estado atual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t>STH-COMET</w:t>
              <w:br/>
            </w:r>
            <w:r>
              <w:rPr>
                <w:color w:val="222222"/>
                <w:sz w:val="14"/>
              </w:rPr>
              <w:t>série temporal</w:t>
            </w:r>
          </w:p>
        </w:tc>
      </w:tr>
      <w:tr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br/>
            </w:r>
            <w:r>
              <w:rPr>
                <w:color w:val="222222"/>
                <w:sz w:val="14"/>
              </w:rPr>
              <w:t>API consulta Orion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br/>
            </w:r>
            <w:r>
              <w:rPr>
                <w:color w:val="222222"/>
                <w:sz w:val="14"/>
              </w:rPr>
              <w:t>API consulta histórico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  <w:sz w:val="16"/>
              </w:rPr>
              <w:br/>
            </w:r>
            <w:r>
              <w:rPr>
                <w:color w:val="222222"/>
                <w:sz w:val="14"/>
              </w:rPr>
              <w:t>leituras históricas</w:t>
            </w:r>
          </w:p>
        </w:tc>
      </w:tr>
    </w:tbl>
    <w:p>
      <w:pPr>
        <w:pStyle w:val="SmallNote"/>
      </w:pPr>
      <w:r>
        <w:t>Os dispositivos físicos publicam contexto FIWARE; Orion mantém o estado corrente e STH-Comet consulta séries temporais. O banco WineGuard guarda metadados operacionais e limites, sem replicar telemetria.</w:t>
      </w:r>
    </w:p>
    <w:p>
      <w:pPr>
        <w:pStyle w:val="Heading2"/>
      </w:pPr>
      <w:r>
        <w:t>Resumo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 do backend</w:t>
            </w:r>
          </w:p>
        </w:tc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Onde está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Cadastrar ambientes, dispositivos e limites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PostgreSQL 16 + Spring Data JPA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Expor operações para o painel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REST API em http://localhost:8080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Ler valores atuais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Orion / Context Broker FIWARE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Consultar séries históricas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STH-Comet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Evoluir o schema com segurança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Flyway e migrations SQL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DF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Status observado  </w:t>
            </w:r>
            <w:r>
              <w:t>A API e o banco local passaram nos fluxos de cadastro e limites. No Runner Postman, 9 endpoints executaram com 16 verificações aprovadas; as leituras FIWARE retornaram 502 porque as VMs/serviços externos não estavam acessíveis. Isso não equivale a validar medições reais.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Arquitetura e responsabilidades</w:t>
      </w:r>
    </w:p>
    <w:p>
      <w:r>
        <w:t>O painel chama a API por HTTP. Cada controller recebe e valida o formato da requisição; o service aplica regras de negócio; o repository lê e grava as entidades no PostgreSQL. A camada de integração FIWARE faz chamadas externas para Orion e STH-Comet.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Papel simples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Pastas / exemplos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Controller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Define rotas e códigos HTTP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controller/DeviceController, EnvironmentController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DTO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Define o JSON que entra e sai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dto/DeviceDtos, EnvironmentDtos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Service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Executa regras e coordena operações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service/DeviceService, EnvironmentService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Repository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Consulta e persiste registros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repository/*Repository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Model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Representa tabelas e relações JPA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model/Device, Environment, DeviceLimit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Integração FIWARE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Consulta serviços externos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integration/fiware/FiwareReadingsService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Configuração e erros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Configura clientes e respostas de falha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config/, common/</w:t>
            </w:r>
          </w:p>
        </w:tc>
      </w:tr>
    </w:tbl>
    <w:p>
      <w:pPr>
        <w:spacing w:after="0"/>
      </w:pPr>
    </w:p>
    <w:p>
      <w:pPr>
        <w:pStyle w:val="Heading2"/>
      </w:pPr>
      <w:r>
        <w:t>Caminho de uma requisição de cadastro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acontece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 HTTP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 painel envia JSON para POST /api/devices.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2. Controller + DTO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 contrato é validado; erros de formato viram resposta 400.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3. Service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Verifica o ambiente, as regras e possíveis duplicidades.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4. Repository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JPA grava o dispositivo no PostgreSQL.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5. Resposta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 API retorna o dispositivo criado e status 201.</w:t>
            </w:r>
          </w:p>
        </w:tc>
      </w:tr>
    </w:tbl>
    <w:p>
      <w:pPr>
        <w:spacing w:after="0"/>
      </w:pPr>
    </w:p>
    <w:p>
      <w:pPr>
        <w:pStyle w:val="Heading2"/>
      </w:pPr>
      <w:r>
        <w:t>Termos que aparecem no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Em palavras diretas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Orion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Broker FIWARE que guarda/entrega o contexto mais recente de entidades e atributos.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STH-Comet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Componente FIWARE para consulta de valores históricos e séries temporais.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Flyway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Ferramenta que aplica mudanças versionadas no schema ao iniciar a aplicação.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Migration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Arquivo SQL incremental; V1 cria o modelo inicial. Mudanças futuras entram em V2, V3 etc.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Endpoint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URL e método HTTP que permitem ao painel executar uma operação.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DTO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Objeto que define os campos aceitos e devolvidos pela API.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Banco de dados</w:t>
      </w:r>
    </w:p>
    <w:p>
      <w:r>
        <w:t>PostgreSQL 16 armazena apenas informações necessárias para configurar e relacionar a aplicação. O banco local sobe por Docker Compose e fica ligado a 127.0.0.1:5432. Em produção, a equipe deve usar rede privada e credenciais gerenciadas.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Relacionamento / regra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environments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Ambientes monitorados: id, nome, descrição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Nome único.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devices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Nome, FIWARE ID/tipo/serviço/caminho, ativo e environment_id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Cada dispositivo pertence a um ambiente; identidade FIWARE é única no serviço/caminho.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device_limits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Dispositivo, métrica, mínimo, máximo e unidade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Uma linha por métrica/dispositivo; faixa válida e ao menos um limite.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flyway_schema_history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Versões, checksums e estado das migrations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Tabela técnica de controle do Flyway.</w:t>
            </w:r>
          </w:p>
        </w:tc>
      </w:tr>
    </w:tbl>
    <w:p>
      <w:pPr>
        <w:spacing w:after="0"/>
      </w:pPr>
    </w:p>
    <w:p>
      <w:pPr>
        <w:pStyle w:val="Heading2"/>
      </w:pPr>
      <w:r>
        <w:t>Modelo relacional editável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</w:rPr>
              <w:t>ENVIRONMENTS</w:t>
              <w:br/>
            </w:r>
            <w:r>
              <w:t>id PK</w:t>
              <w:br/>
              <w:t>name UNIQUE</w:t>
              <w:br/>
              <w:t>description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</w:rPr>
              <w:t>DEVICES</w:t>
              <w:br/>
            </w:r>
            <w:r>
              <w:t>id PK</w:t>
              <w:br/>
              <w:t>environment_id FK</w:t>
              <w:br/>
              <w:t>fiware_id / type / service / path</w:t>
            </w:r>
          </w:p>
        </w:tc>
        <w:tc>
          <w:tcPr>
            <w:tcW w:type="dxa" w:w="3427"/>
            <w:shd w:fill="F5F0EB"/>
          </w:tcPr>
          <w:p>
            <w:pPr>
              <w:jc w:val="center"/>
            </w:pPr>
            <w:r/>
            <w:r>
              <w:rPr>
                <w:b/>
                <w:color w:val="6F1837"/>
              </w:rPr>
              <w:t>DEVICE_LIMITS</w:t>
              <w:br/>
            </w:r>
            <w:r>
              <w:t>id PK</w:t>
              <w:br/>
              <w:t>device_id FK</w:t>
              <w:br/>
              <w:t>metric + faixa + unidade</w:t>
            </w:r>
          </w:p>
        </w:tc>
      </w:tr>
    </w:tbl>
    <w:p>
      <w:pPr>
        <w:pStyle w:val="SmallNote"/>
      </w:pPr>
      <w:r>
        <w:t>Relacionamentos: ENVIRONMENTS 1 → N DEVICES; DEVICES 1 → N DEVICE_LIMITS. A chave da métrica por dispositivo impede limites duplicados para a mesma variável.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0EB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Por que o Beekeeper mostrou 200+ itens?  </w:t>
            </w:r>
            <w:r>
              <w:t>O número inclui catálogos e metadados internos do PostgreSQL. No schema public, o projeto tem 3 tabelas de negócio e 1 tabela técnica do Flyway. Não remova pg_catalog nem information_schema.</w:t>
            </w:r>
          </w:p>
        </w:tc>
      </w:tr>
    </w:tbl>
    <w:p>
      <w:pPr>
        <w:spacing w:after="0"/>
      </w:pPr>
    </w:p>
    <w:p>
      <w:pPr>
        <w:pStyle w:val="Heading2"/>
      </w:pPr>
      <w:r>
        <w:t>O que fica fora do banco WineGuard</w:t>
      </w:r>
    </w:p>
    <w:p>
      <w:r>
        <w:t>As medições atuais são consultadas no Orion; o histórico é consultado no STH-Comet. A API armazena cadastros e limites, evitando duplicar a série temporal já existente.</w:t>
      </w:r>
    </w:p>
    <w:p>
      <w:pPr>
        <w:pStyle w:val="Heading2"/>
      </w:pPr>
      <w:r>
        <w:t>Onde ver o modelo no código</w:t>
      </w:r>
    </w:p>
    <w:p>
      <w:pPr>
        <w:pStyle w:val="ListBullet"/>
      </w:pPr>
      <w:r>
        <w:t>src/main/resources/db/migration/V1__create_application_schema.sql: DDL e restrições.</w:t>
      </w:r>
    </w:p>
    <w:p>
      <w:pPr>
        <w:pStyle w:val="ListBullet"/>
      </w:pPr>
      <w:r>
        <w:t>src/main/java/.../model: entidades JPA e relacionamentos.</w:t>
      </w:r>
    </w:p>
    <w:p>
      <w:pPr>
        <w:pStyle w:val="ListBullet"/>
      </w:pPr>
      <w:r>
        <w:t>docs/database.md: explicação do schema e consulta SQL para filtrar tabelas públicas.</w:t>
      </w:r>
    </w:p>
    <w:p>
      <w:pPr>
        <w:pStyle w:val="ListBullet"/>
      </w:pPr>
      <w:r>
        <w:t>Flyway executa migrations pendentes e registra cada aplicação em flyway_schema_history.</w:t>
      </w:r>
    </w:p>
    <w:p>
      <w:r>
        <w:br w:type="page"/>
      </w:r>
    </w:p>
    <w:p>
      <w:pPr>
        <w:pStyle w:val="Heading1"/>
      </w:pPr>
      <w:r>
        <w:t>3. Executar a aplicação</w:t>
      </w:r>
    </w:p>
    <w:p>
      <w:pPr>
        <w:pStyle w:val="Heading2"/>
      </w:pPr>
      <w:r>
        <w:t>Pré-requisitos</w:t>
      </w:r>
    </w:p>
    <w:p>
      <w:pPr>
        <w:pStyle w:val="ListBullet"/>
      </w:pPr>
      <w:r>
        <w:t>JDK 17 instalado e selecionado como Project SDK no IntelliJ.</w:t>
      </w:r>
    </w:p>
    <w:p>
      <w:pPr>
        <w:pStyle w:val="ListBullet"/>
      </w:pPr>
      <w:r>
        <w:t>Docker Desktop ativo para executar PostgreSQL local.</w:t>
      </w:r>
    </w:p>
    <w:p>
      <w:pPr>
        <w:pStyle w:val="ListBullet"/>
      </w:pPr>
      <w:r>
        <w:t>Projeto importado pelo pom.xml; aguardar sincronização do Maven.</w:t>
      </w:r>
    </w:p>
    <w:p>
      <w:pPr>
        <w:pStyle w:val="ListBullet"/>
      </w:pPr>
      <w:r>
        <w:t>Plugin Lombok e annotation processing habilitados no IntelliJ.</w:t>
      </w:r>
    </w:p>
    <w:p>
      <w:pPr>
        <w:pStyle w:val="Heading2"/>
      </w:pPr>
      <w:r>
        <w:t>Passo a passo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 Banco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Na pasta do projeto: docker compose up -d postgres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2. IntelliJ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Abrir WineguardBackendApplication.java e clicar no triângulo verde ao lado do método main.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3. Migração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Na primeira inicialização, Flyway executa V1 e cria as tabelas.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4. Conferir API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Acessar http://localhost:8080/actuator/health; resposta esperada: status UP.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5. Encerrar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Parar API pela IDE. Parar banco com docker compose stop postgres.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0EB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Alternativa pelo terminal  </w:t>
            </w:r>
            <w:r>
              <w:t>Use ./mvnw spring-boot:run (Windows: mvnw.cmd spring-boot:run). A primeira execução pode baixar Maven e dependências.</w:t>
            </w:r>
          </w:p>
        </w:tc>
      </w:tr>
    </w:tbl>
    <w:p>
      <w:pPr>
        <w:spacing w:after="0"/>
      </w:pPr>
    </w:p>
    <w:p>
      <w:pPr>
        <w:pStyle w:val="Heading2"/>
      </w:pPr>
      <w:r>
        <w:t>Conectar no Beekeeper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Padrão de desenvolvimento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Tipo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PostgreSQL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Host / porta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localhost / 5432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Database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wineguard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User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wineguard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Password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wineguard-local (apenas local)</w:t>
            </w:r>
          </w:p>
        </w:tc>
      </w:tr>
    </w:tbl>
    <w:p>
      <w:pPr>
        <w:spacing w:after="0"/>
      </w:pPr>
    </w:p>
    <w:p>
      <w:r>
        <w:t>No Beekeeper: New Connection → PostgreSQL, preencher os campos e conectar. Abrir o schema public para visualizar environments, devices, device_limits e flyway_schema_history.</w:t>
      </w:r>
    </w:p>
    <w:p>
      <w:pPr>
        <w:pStyle w:val="Heading2"/>
      </w:pPr>
      <w:r>
        <w:t>Configuração</w:t>
      </w:r>
    </w:p>
    <w:p>
      <w:r>
        <w:t>Os valores locais documentados estão em .env.example e application.yaml. Para desenvolvimento, copie para .env se usar variáveis externas; .env é ignorado pelo Git. Nunca grave senha real no README, coleção Postman ou repositório.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5141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SPRING_DATASOURCE_URL / USERNAME / PASSWORD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Conexão JDBC e usuário do PostgreSQL.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FIWARE_ORION_BASE_URL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URL base alcançável do Orion.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FIWARE_STH_BASE_URL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URL base alcançável do STH-Comet.</w:t>
            </w:r>
          </w:p>
        </w:tc>
      </w:tr>
      <w:tr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FIWARE_SERVICE / FIWARE_SERVICE_PATH</w:t>
            </w:r>
          </w:p>
        </w:tc>
        <w:tc>
          <w:tcPr>
            <w:tcW w:type="dxa" w:w="5141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Contexto multi-tenant do FIWARE.</w:t>
            </w:r>
          </w:p>
        </w:tc>
      </w:tr>
      <w:tr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SERVER_PORT</w:t>
            </w:r>
          </w:p>
        </w:tc>
        <w:tc>
          <w:tcPr>
            <w:tcW w:type="dxa" w:w="5141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Porta HTTP; padrão 8080.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Testes de demonstração no Postman</w:t>
      </w:r>
    </w:p>
    <w:p>
      <w:r>
        <w:t>A coleção WineGuard API - Demonstração completa tem nove requisições em sequência. Importe docs/postman/WineGuard-API.postman_collection.json e execute pelo Runner. O Runner usa IDs dinâmicos para associar ambiente, dispositivo e limites.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 e rota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 na demonstração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Saúde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GET /actuator/health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Confere se a API está ativa.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Ambientes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POST /api/environments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Cria ambiente demonstrativo.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Ambientes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GET /api/environments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Lista ambientes.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Dispositivos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POST /api/devices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Cadastra dispositivo e captura ID.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Dispositivos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GET /api/devices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Lista dispositivos.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Limites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PUT /api/devices/{id}/limits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Grava limites por métrica.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Limites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GET /api/devices/{id}/limits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Consulta limites registrados.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Atual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GET /api/devices/{id}/readings/current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Busca estado no Orion.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Histórico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GET /api/devices/{id}/readings/history/{metric}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Busca período no STH-Comet.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0EB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Como interpretar o resultado já observado  </w:t>
            </w:r>
            <w:r>
              <w:t>Runner: 9 requisições, 16 verificações aprovadas, zero erros. Orion e STH-Comet responderam 502 neste ambiente. O teste confirma erro externo tratado; para demonstrar leituras, ligue as VMs, configure URLs e repita as duas requisições.</w:t>
            </w:r>
          </w:p>
        </w:tc>
      </w:tr>
    </w:tbl>
    <w:p>
      <w:pPr>
        <w:spacing w:after="0"/>
      </w:pPr>
    </w:p>
    <w:p>
      <w:pPr>
        <w:pStyle w:val="Heading2"/>
      </w:pPr>
      <w:r>
        <w:t>Dados da demonstração</w:t>
      </w:r>
    </w:p>
    <w:p>
      <w:r>
        <w:t>Os nomes do ambiente e dispositivo criados pelo Postman são fictícios. A coleção não representa sensores físicos nem limites operacionais. Limpe os registros de demonstração apenas no banco local, após confirmar que não são usados por outra pessoa.</w:t>
      </w:r>
    </w:p>
    <w:p>
      <w:pPr>
        <w:pStyle w:val="Heading2"/>
      </w:pPr>
      <w:r>
        <w:t>Arquivos úteis</w:t>
      </w:r>
    </w:p>
    <w:p>
      <w:pPr>
        <w:pStyle w:val="ListBullet"/>
      </w:pPr>
      <w:r>
        <w:t>docs/postman/WineGuard-API.postman_collection.json: coleção demonstrativa.</w:t>
      </w:r>
    </w:p>
    <w:p>
      <w:pPr>
        <w:pStyle w:val="ListBullet"/>
      </w:pPr>
      <w:r>
        <w:t>docs/api-visual.md: rotas, exemplos de payload e respostas.</w:t>
      </w:r>
    </w:p>
    <w:p>
      <w:pPr>
        <w:pStyle w:val="ListBullet"/>
      </w:pPr>
      <w:r>
        <w:t>README.md: links rápidos para API, banco, fluxo e execução.</w:t>
      </w:r>
    </w:p>
    <w:p>
      <w:pPr>
        <w:pStyle w:val="ListBullet"/>
      </w:pPr>
      <w:r>
        <w:t>docs/fluxo-e-execucao.svg: diagrama ampliável do fluxo completo.</w:t>
      </w:r>
    </w:p>
    <w:p>
      <w:r>
        <w:br w:type="page"/>
      </w:r>
    </w:p>
    <w:p>
      <w:pPr>
        <w:pStyle w:val="Heading1"/>
      </w:pPr>
      <w:r>
        <w:t>5. Integração com dispositivos e VMs AWS</w:t>
      </w:r>
    </w:p>
    <w:p>
      <w:r>
        <w:t>A API precisa conseguir alcançar Orion e STH-Comet pela rede. Os dispositivos físicos publicam entidades no contexto FIWARE; a equipe responsável pelo FIWARE deve informar o contrato real. O backend Java não substitui automaticamente o backend Node/Express existente na EC2.</w:t>
      </w:r>
    </w:p>
    <w:p>
      <w:pPr>
        <w:pStyle w:val="Heading2"/>
      </w:pPr>
      <w:r>
        <w:t>Informações a confirmar com 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Pergunta para a equipe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Rede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Qual DNS/URL privada e porta o backend alcança para Orion e STH?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PENDENTE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Contexto FIWARE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 service é vinheria e o service path é /?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Confirmar na VM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Entidade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ID e type são wine002 e WineSensor002?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Exemplo informado; validar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Atributos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Os atributos são temperature, humidity e luminosity?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Confirmar no Orion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Unidades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Temperatura °C, umidade %, luminosidade lux?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Confirmar documentação física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STH-Comet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Path, retenção, nomes de atributos, formato e autenticação?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Validar com instância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Limites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São configurados por sensor ou por ambiente?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Modelo atual: por sensor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Segurança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Qual autenticação e política de acesso o painel exigirá?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Ainda não definida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Transição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Como Java e Node coexistem e qual serviço encaminha o tráfego?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Planejar com equipe</w:t>
            </w:r>
          </w:p>
        </w:tc>
      </w:tr>
    </w:tbl>
    <w:p>
      <w:pPr>
        <w:spacing w:after="0"/>
      </w:pPr>
    </w:p>
    <w:p>
      <w:pPr>
        <w:pStyle w:val="Heading2"/>
      </w:pPr>
      <w:r>
        <w:t>Boas práticas de implantação AWS</w:t>
      </w:r>
    </w:p>
    <w:p>
      <w:pPr>
        <w:pStyle w:val="ListBullet"/>
      </w:pPr>
      <w:r>
        <w:t>Executar a API e banco em sub-rede privada, sem abrir PostgreSQL ao público.</w:t>
      </w:r>
    </w:p>
    <w:p>
      <w:pPr>
        <w:pStyle w:val="ListBullet"/>
      </w:pPr>
      <w:r>
        <w:t>Guardar segredos em serviço gerenciado como AWS Secrets Manager; injetar variáveis na aplicação.</w:t>
      </w:r>
    </w:p>
    <w:p>
      <w:pPr>
        <w:pStyle w:val="ListBullet"/>
      </w:pPr>
      <w:r>
        <w:t>Definir security groups apenas para origens e portas necessárias.</w:t>
      </w:r>
    </w:p>
    <w:p>
      <w:pPr>
        <w:pStyle w:val="ListBullet"/>
      </w:pPr>
      <w:r>
        <w:t>Configurar health check /actuator/health e logs/alertas antes de tráfego real.</w:t>
      </w:r>
    </w:p>
    <w:p>
      <w:pPr>
        <w:pStyle w:val="ListBullet"/>
      </w:pPr>
      <w:r>
        <w:t>Testar conectividade do processo Java às VMs; localhost dentro de um container/EC2 aponta para a própria máquina, não para outra VM.</w:t>
      </w:r>
    </w:p>
    <w:p>
      <w:pPr>
        <w:pStyle w:val="ListBullet"/>
      </w:pPr>
      <w:r>
        <w:t>Definir backup, retenção e recuperação do PostgreSQL; evitar compartilhar dumps com dados sensíveis.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0EB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Atenção à integração  </w:t>
            </w:r>
            <w:r>
              <w:t>A base e os endpoints de cadastro podem funcionar sem FIWARE. Leituras atuais e históricas dependem das URLs, rede, contexto, atributos e contrato da instância real.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Roteiro para apresentar o projeto</w:t>
      </w:r>
    </w:p>
    <w:p>
      <w:r>
        <w:t>Apresente em quatro minutos: o problema, o fluxo de uma requisição, o papel do banco e a dependência FIWARE. Demonstre primeiro um cadastro e a leitura de limites no Postman; só prometa leituras de sensor depois de testar com as VMs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Explique com suas palavras</w:t>
            </w:r>
          </w:p>
        </w:tc>
        <w:tc>
          <w:tcPr>
            <w:tcW w:type="dxa" w:w="3427"/>
            <w:vAlign w:val="center"/>
            <w:shd w:fill="6F183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Arquivo de apoio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 painel chama endpoints REST da API Java.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docs/api-visual.md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 API valida e aplica regras antes de salvar.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controller/ e service/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PostgreSQL mantém ambientes, dispositivos e limites.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docs/database.md e migration V1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Orion fornece valor corrente; STH-Comet fornece histórico.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integration/fiware/</w:t>
            </w:r>
          </w:p>
        </w:tc>
      </w:tr>
      <w:tr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Flyway cria/evolui tabelas com migrations versionadas.</w:t>
            </w:r>
          </w:p>
        </w:tc>
        <w:tc>
          <w:tcPr>
            <w:tcW w:type="dxa" w:w="3427"/>
            <w:vAlign w:val="center"/>
            <w:shd w:fill="FAF8F6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resources/db/migration/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Postman mostra o contrato; 502 sinaliza dependência indisponível no teste anterior.</w:t>
            </w:r>
          </w:p>
        </w:tc>
        <w:tc>
          <w:tcPr>
            <w:tcW w:type="dxa" w:w="3427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coleção Postman + Runner</w:t>
            </w:r>
          </w:p>
        </w:tc>
      </w:tr>
    </w:tbl>
    <w:p>
      <w:pPr>
        <w:spacing w:after="0"/>
      </w:pPr>
    </w:p>
    <w:p>
      <w:pPr>
        <w:pStyle w:val="Heading2"/>
      </w:pPr>
      <w:r>
        <w:t>Leitura manual recomendada</w:t>
      </w:r>
    </w:p>
    <w:p>
      <w:pPr>
        <w:pStyle w:val="ListBullet"/>
      </w:pPr>
      <w:r>
        <w:t>WineguardBackendApplication: ponto de entrada do Spring Boot.</w:t>
      </w:r>
    </w:p>
    <w:p>
      <w:pPr>
        <w:pStyle w:val="ListBullet"/>
      </w:pPr>
      <w:r>
        <w:t>DeviceController e EnvironmentController: rotas HTTP.</w:t>
      </w:r>
    </w:p>
    <w:p>
      <w:pPr>
        <w:pStyle w:val="ListBullet"/>
      </w:pPr>
      <w:r>
        <w:t>DTOs: formato e validações do JSON.</w:t>
      </w:r>
    </w:p>
    <w:p>
      <w:pPr>
        <w:pStyle w:val="ListBullet"/>
      </w:pPr>
      <w:r>
        <w:t>DeviceService e EnvironmentService: regras de negócio e relações.</w:t>
      </w:r>
    </w:p>
    <w:p>
      <w:pPr>
        <w:pStyle w:val="ListBullet"/>
      </w:pPr>
      <w:r>
        <w:t>Repositories: persistência via JPA.</w:t>
      </w:r>
    </w:p>
    <w:p>
      <w:pPr>
        <w:pStyle w:val="ListBullet"/>
      </w:pPr>
      <w:r>
        <w:t>Model + V1 SQL: correspondência entre objetos e tabelas.</w:t>
      </w:r>
    </w:p>
    <w:p>
      <w:pPr>
        <w:pStyle w:val="ListBullet"/>
      </w:pPr>
      <w:r>
        <w:t>FiwareReadingsService e FiwareProperties: consultas e configuração externa.</w:t>
      </w:r>
    </w:p>
    <w:p>
      <w:pPr>
        <w:pStyle w:val="ListBullet"/>
      </w:pPr>
      <w:r>
        <w:t>ApiExceptionHandler: transformação de erros em respostas HTTP.</w:t>
      </w:r>
    </w:p>
    <w:p>
      <w:pPr>
        <w:pStyle w:val="Heading2"/>
      </w:pPr>
      <w:r>
        <w:t>Checklist final antes de declarar integração pronta</w:t>
      </w:r>
    </w:p>
    <w:p>
      <w:pPr>
        <w:pStyle w:val="ListBullet"/>
      </w:pPr>
      <w:r>
        <w:t>☐ Confirmar URLs, portas, autenticação e conectividade das VMs FIWARE.</w:t>
      </w:r>
    </w:p>
    <w:p>
      <w:pPr>
        <w:pStyle w:val="ListBullet"/>
      </w:pPr>
      <w:r>
        <w:t>☐ Cadastrar entidade de teste autorizada e comparar atributos/unidades.</w:t>
      </w:r>
    </w:p>
    <w:p>
      <w:pPr>
        <w:pStyle w:val="ListBullet"/>
      </w:pPr>
      <w:r>
        <w:t>☐ Executar GET de leitura atual no Orion com resposta de sucesso e validar payload.</w:t>
      </w:r>
    </w:p>
    <w:p>
      <w:pPr>
        <w:pStyle w:val="ListBullet"/>
      </w:pPr>
      <w:r>
        <w:t>☐ Executar consulta histórica STH para período conhecido e validar timezone/retorno.</w:t>
      </w:r>
    </w:p>
    <w:p>
      <w:pPr>
        <w:pStyle w:val="ListBullet"/>
      </w:pPr>
      <w:r>
        <w:t>☐ Revisar valores e política de limites com responsável técnico da adega.</w:t>
      </w:r>
    </w:p>
    <w:p>
      <w:pPr>
        <w:pStyle w:val="ListBullet"/>
      </w:pPr>
      <w:r>
        <w:t>☐ Definir autenticação/autorização do painel e revisar CORS quando houver domínio final.</w:t>
      </w:r>
    </w:p>
    <w:p>
      <w:pPr>
        <w:pStyle w:val="ListBullet"/>
      </w:pPr>
      <w:r>
        <w:t>☐ Definir coexistência/transição com Node/Express e contrato de consumo do painel.</w:t>
      </w:r>
    </w:p>
    <w:p>
      <w:pPr>
        <w:pStyle w:val="ListBullet"/>
      </w:pPr>
      <w:r>
        <w:t>☐ Planejar deploy, secrets, backup, observabilidade e rollback AWS.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DF"/>
          </w:tcPr>
          <w:p>
            <w:pPr>
              <w:spacing w:after="40"/>
            </w:pPr>
            <w:r/>
            <w:r>
              <w:rPr>
                <w:b/>
                <w:color w:val="6F1837"/>
              </w:rPr>
              <w:t xml:space="preserve">Limite atual da entrega  </w:t>
            </w:r>
            <w:r>
              <w:t>A aplicação não implementa login/perfis, não está implantada na AWS e ainda não foi validada contra as VMs FIWARE. Trate estes itens como integração pendente, não como funcionalidades já concluídas.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 no projeto</w:t>
      </w:r>
    </w:p>
    <w:p>
      <w:pPr>
        <w:pStyle w:val="ListBullet"/>
      </w:pPr>
      <w:r>
        <w:t>README.md — visão geral e atalhos.</w:t>
      </w:r>
    </w:p>
    <w:p>
      <w:pPr>
        <w:pStyle w:val="ListBullet"/>
      </w:pPr>
      <w:r>
        <w:t>docs/rodar-localmente.md — IntelliJ, Docker, Beekeeper e variáveis.</w:t>
      </w:r>
    </w:p>
    <w:p>
      <w:pPr>
        <w:pStyle w:val="ListBullet"/>
      </w:pPr>
      <w:r>
        <w:t>docs/aws-deployment.md — estratégia de implantação.</w:t>
      </w:r>
    </w:p>
    <w:p>
      <w:pPr>
        <w:pStyle w:val="ListBullet"/>
      </w:pPr>
      <w:r>
        <w:t>docs/database.md — schema, relacionamentos e consulta SQL.</w:t>
      </w:r>
    </w:p>
    <w:p>
      <w:pPr>
        <w:pStyle w:val="ListBullet"/>
      </w:pPr>
      <w:r>
        <w:t>docs/api-visual.md — documentação dos endpoints.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70"/>
        <w:sz w:val="16"/>
      </w:rPr>
      <w:t>Guia técnico da equipe  •  Documento editável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F1837"/>
        <w:sz w:val="16"/>
      </w:rPr>
      <w:t>VINHARIA AGNELLO  /  WINEGUARD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F18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18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6F18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C66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