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41CD" w14:textId="77777777" w:rsidR="002C3E75" w:rsidRPr="002C3E75" w:rsidRDefault="002C3E75" w:rsidP="002C3E75">
      <w:pPr>
        <w:keepNext/>
        <w:keepLines/>
        <w:pageBreakBefore/>
        <w:spacing w:before="220" w:line="240" w:lineRule="auto"/>
        <w:outlineLvl w:val="0"/>
        <w:rPr>
          <w:rFonts w:eastAsia="Times New Roman" w:cs="Times New Roman"/>
          <w:b/>
          <w:color w:val="007393"/>
          <w:spacing w:val="-8"/>
          <w:sz w:val="40"/>
          <w:szCs w:val="32"/>
        </w:rPr>
      </w:pPr>
      <w:bookmarkStart w:id="0" w:name="_Ref507586022"/>
      <w:bookmarkStart w:id="1" w:name="_Ref507405067"/>
      <w:bookmarkStart w:id="2" w:name="_Toc507777833"/>
      <w:r w:rsidRPr="002C3E75">
        <w:rPr>
          <w:rFonts w:eastAsia="Times New Roman" w:cs="Times New Roman"/>
          <w:b/>
          <w:color w:val="007393"/>
          <w:spacing w:val="-8"/>
          <w:sz w:val="40"/>
          <w:szCs w:val="32"/>
        </w:rPr>
        <w:t>Overview of the Reporting System</w:t>
      </w:r>
      <w:bookmarkEnd w:id="1"/>
      <w:bookmarkEnd w:id="2"/>
    </w:p>
    <w:p w14:paraId="7CF50AF2" w14:textId="6110BEEE" w:rsidR="002C3E75" w:rsidRPr="002C3E75" w:rsidRDefault="002C3E75" w:rsidP="002C3E75">
      <w:pPr>
        <w:pStyle w:val="Heading3"/>
        <w:rPr>
          <w:rFonts w:ascii="Courier" w:eastAsia="Calibri" w:hAnsi="Courier" w:cs="Times New Roman"/>
          <w:b w:val="0"/>
          <w:color w:val="FF0000"/>
          <w:sz w:val="16"/>
          <w:szCs w:val="16"/>
        </w:rPr>
      </w:pPr>
      <w:r w:rsidRPr="002C3E75">
        <w:rPr>
          <w:rFonts w:ascii="Courier" w:eastAsia="Calibri" w:hAnsi="Courier" w:cs="Times New Roman"/>
          <w:b w:val="0"/>
          <w:color w:val="FF0000"/>
          <w:sz w:val="16"/>
          <w:szCs w:val="16"/>
        </w:rPr>
        <w:t>add</w:t>
      </w:r>
      <w:r w:rsidR="0031721C">
        <w:rPr>
          <w:rFonts w:ascii="Courier" w:eastAsia="Calibri" w:hAnsi="Courier" w:cs="Times New Roman"/>
          <w:b w:val="0"/>
          <w:color w:val="FF0000"/>
          <w:sz w:val="16"/>
          <w:szCs w:val="16"/>
        </w:rPr>
        <w:t xml:space="preserve"> highlighted text to focus on interim reports only</w:t>
      </w:r>
    </w:p>
    <w:p w14:paraId="65CF3CE9" w14:textId="22D45958" w:rsidR="002C3E75" w:rsidRDefault="002C3E75" w:rsidP="002C3E75">
      <w:pPr>
        <w:pStyle w:val="Heading3"/>
        <w:rPr>
          <w:rFonts w:eastAsia="Calibri" w:cs="Times New Roman"/>
          <w:b w:val="0"/>
          <w:color w:val="404040"/>
          <w:sz w:val="20"/>
        </w:rPr>
      </w:pPr>
      <w:r w:rsidRPr="002C3E75">
        <w:rPr>
          <w:rFonts w:eastAsia="Calibri" w:cs="Times New Roman"/>
          <w:b w:val="0"/>
          <w:color w:val="404040"/>
          <w:sz w:val="20"/>
        </w:rPr>
        <w:t xml:space="preserve">The Smarter Balanced Reporting System allows teachers and administrators to access detailed student performance information for Smarter Balanced assessments. </w:t>
      </w:r>
      <w:r w:rsidRPr="002C3E75">
        <w:rPr>
          <w:rFonts w:eastAsia="Calibri" w:cs="Times New Roman"/>
          <w:b w:val="0"/>
          <w:color w:val="404040"/>
          <w:sz w:val="20"/>
          <w:highlight w:val="yellow"/>
        </w:rPr>
        <w:t>This version of the User Guide focuses on interim assessments, including interim comprehensive assessments (ICAs) and interim assessment blocks (IABs).</w:t>
      </w:r>
      <w:r w:rsidRPr="002C3E75">
        <w:rPr>
          <w:rFonts w:eastAsia="Calibri" w:cs="Times New Roman"/>
          <w:b w:val="0"/>
          <w:color w:val="404040"/>
          <w:sz w:val="20"/>
        </w:rPr>
        <w:t xml:space="preserve"> Authorized users of the system can view student data at the district, school, and grade levels. Users with the required permissions may also view, download and print individual student reports.</w:t>
      </w:r>
    </w:p>
    <w:p w14:paraId="477457FD" w14:textId="556068A4" w:rsidR="0031721C" w:rsidRDefault="0031721C" w:rsidP="0031721C"/>
    <w:p w14:paraId="6E9B2C59" w14:textId="541BF4D4" w:rsidR="0031721C" w:rsidRDefault="0031721C" w:rsidP="0031721C">
      <w:r>
        <w:t>...</w:t>
      </w:r>
    </w:p>
    <w:p w14:paraId="4F8C3884" w14:textId="5484491A" w:rsidR="0031721C" w:rsidRDefault="0031721C" w:rsidP="0031721C">
      <w:r>
        <w:rPr>
          <w:rFonts w:ascii="Courier" w:eastAsia="Calibri" w:hAnsi="Courier" w:cs="Times New Roman"/>
          <w:color w:val="FF0000"/>
          <w:sz w:val="16"/>
          <w:szCs w:val="16"/>
        </w:rPr>
        <w:t>The following</w:t>
      </w:r>
      <w:r w:rsidRPr="0031721C">
        <w:rPr>
          <w:rFonts w:ascii="Courier" w:eastAsia="Calibri" w:hAnsi="Courier" w:cs="Times New Roman"/>
          <w:color w:val="FF0000"/>
          <w:sz w:val="16"/>
          <w:szCs w:val="16"/>
        </w:rPr>
        <w:t xml:space="preserve"> won't be true for all environments -- remove not if necessary</w:t>
      </w:r>
    </w:p>
    <w:tbl>
      <w:tblPr>
        <w:tblStyle w:val="ListTable4-Accent51"/>
        <w:tblpPr w:leftFromText="187" w:rightFromText="187" w:bottomFromText="187" w:vertAnchor="text" w:tblpY="1"/>
        <w:tblOverlap w:val="never"/>
        <w:tblW w:w="0" w:type="auto"/>
        <w:tblCellMar>
          <w:top w:w="144" w:type="dxa"/>
          <w:left w:w="115" w:type="dxa"/>
          <w:bottom w:w="72" w:type="dxa"/>
          <w:right w:w="115" w:type="dxa"/>
        </w:tblCellMar>
        <w:tblLook w:val="0600" w:firstRow="0" w:lastRow="0" w:firstColumn="0" w:lastColumn="0" w:noHBand="1" w:noVBand="1"/>
      </w:tblPr>
      <w:tblGrid>
        <w:gridCol w:w="895"/>
        <w:gridCol w:w="8455"/>
      </w:tblGrid>
      <w:tr w:rsidR="0031721C" w:rsidRPr="0031721C" w14:paraId="163727AB" w14:textId="77777777" w:rsidTr="0031721C">
        <w:trPr>
          <w:trHeight w:val="432"/>
        </w:trPr>
        <w:tc>
          <w:tcPr>
            <w:tcW w:w="895" w:type="dxa"/>
            <w:shd w:val="clear" w:color="auto" w:fill="DEEAF6"/>
          </w:tcPr>
          <w:p w14:paraId="69985356" w14:textId="77777777" w:rsidR="0031721C" w:rsidRPr="0031721C" w:rsidRDefault="0031721C" w:rsidP="0031721C">
            <w:pPr>
              <w:spacing w:after="0"/>
              <w:jc w:val="center"/>
              <w:rPr>
                <w:rFonts w:eastAsia="Calibri" w:cs="Times New Roman"/>
                <w:color w:val="404040"/>
              </w:rPr>
            </w:pPr>
            <w:r w:rsidRPr="0031721C">
              <w:rPr>
                <w:rFonts w:eastAsia="Calibri" w:cs="Times New Roman"/>
                <w:noProof/>
                <w:color w:val="404040"/>
              </w:rPr>
              <w:drawing>
                <wp:inline distT="0" distB="0" distL="0" distR="0" wp14:anchorId="5CF9772D" wp14:editId="695DF20E">
                  <wp:extent cx="365760" cy="36576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 cy="365760"/>
                          </a:xfrm>
                          <a:prstGeom prst="rect">
                            <a:avLst/>
                          </a:prstGeom>
                        </pic:spPr>
                      </pic:pic>
                    </a:graphicData>
                  </a:graphic>
                </wp:inline>
              </w:drawing>
            </w:r>
          </w:p>
        </w:tc>
        <w:tc>
          <w:tcPr>
            <w:tcW w:w="8455" w:type="dxa"/>
            <w:shd w:val="clear" w:color="auto" w:fill="DEEAF6"/>
          </w:tcPr>
          <w:p w14:paraId="13C20B46" w14:textId="77777777" w:rsidR="0031721C" w:rsidRPr="0031721C" w:rsidRDefault="0031721C" w:rsidP="0031721C">
            <w:pPr>
              <w:spacing w:after="0"/>
              <w:rPr>
                <w:rFonts w:eastAsia="Calibri" w:cs="Times New Roman"/>
                <w:color w:val="404040"/>
              </w:rPr>
            </w:pPr>
            <w:r w:rsidRPr="0031721C">
              <w:rPr>
                <w:rFonts w:eastAsia="Calibri" w:cs="Times New Roman"/>
                <w:b/>
                <w:color w:val="404040"/>
              </w:rPr>
              <w:t>Note</w:t>
            </w:r>
            <w:r w:rsidRPr="0031721C">
              <w:rPr>
                <w:rFonts w:eastAsia="Calibri" w:cs="Times New Roman"/>
                <w:color w:val="404040"/>
              </w:rPr>
              <w:t xml:space="preserve">: State users with PII will be able to view summative results only, not interim results. </w:t>
            </w:r>
          </w:p>
        </w:tc>
      </w:tr>
    </w:tbl>
    <w:p w14:paraId="02F7AD97" w14:textId="77777777" w:rsidR="0031721C" w:rsidRPr="0031721C" w:rsidRDefault="0031721C" w:rsidP="0031721C"/>
    <w:p w14:paraId="4AB27BBF" w14:textId="1853E3FF" w:rsidR="002C3E75" w:rsidRDefault="0031721C" w:rsidP="002C3E75">
      <w:pPr>
        <w:pStyle w:val="Heading3"/>
        <w:rPr>
          <w:rFonts w:eastAsia="Times New Roman" w:cs="Times New Roman"/>
          <w:color w:val="007393"/>
          <w:spacing w:val="-8"/>
          <w:sz w:val="40"/>
          <w:szCs w:val="32"/>
        </w:rPr>
      </w:pPr>
      <w:bookmarkStart w:id="3" w:name="_Ref507405620"/>
      <w:bookmarkStart w:id="4" w:name="_Toc517425487"/>
      <w:r w:rsidRPr="0031721C">
        <w:rPr>
          <w:rFonts w:eastAsia="Times New Roman" w:cs="Times New Roman"/>
          <w:color w:val="007393"/>
          <w:spacing w:val="-8"/>
          <w:sz w:val="40"/>
          <w:szCs w:val="32"/>
        </w:rPr>
        <w:t>Reporting Features in Detail</w:t>
      </w:r>
      <w:bookmarkEnd w:id="3"/>
      <w:bookmarkEnd w:id="4"/>
    </w:p>
    <w:p w14:paraId="4F835716" w14:textId="77777777" w:rsidR="0031721C" w:rsidRDefault="0031721C" w:rsidP="0031721C">
      <w:pPr>
        <w:pStyle w:val="Heading3"/>
      </w:pPr>
      <w:bookmarkStart w:id="5" w:name="_Ref507406377"/>
      <w:r>
        <w:t>Student Report</w:t>
      </w:r>
      <w:bookmarkEnd w:id="5"/>
    </w:p>
    <w:p w14:paraId="655E6049" w14:textId="16D1B0F6" w:rsidR="0031721C" w:rsidRDefault="0031721C" w:rsidP="0031721C">
      <w:pPr>
        <w:rPr>
          <w:rFonts w:ascii="Courier" w:eastAsia="Calibri" w:hAnsi="Courier" w:cs="Times New Roman"/>
          <w:color w:val="FF0000"/>
          <w:sz w:val="16"/>
          <w:szCs w:val="16"/>
        </w:rPr>
      </w:pPr>
      <w:r w:rsidRPr="0031721C">
        <w:rPr>
          <w:rFonts w:ascii="Courier" w:eastAsia="Calibri" w:hAnsi="Courier" w:cs="Times New Roman"/>
          <w:color w:val="FF0000"/>
          <w:sz w:val="16"/>
          <w:szCs w:val="16"/>
        </w:rPr>
        <w:t>Not all environments will support "New Student</w:t>
      </w:r>
      <w:r w:rsidR="002F5B50">
        <w:rPr>
          <w:rFonts w:ascii="Courier" w:eastAsia="Calibri" w:hAnsi="Courier" w:cs="Times New Roman"/>
          <w:color w:val="FF0000"/>
          <w:sz w:val="16"/>
          <w:szCs w:val="16"/>
        </w:rPr>
        <w:t>s</w:t>
      </w:r>
      <w:r w:rsidRPr="0031721C">
        <w:rPr>
          <w:rFonts w:ascii="Courier" w:eastAsia="Calibri" w:hAnsi="Courier" w:cs="Times New Roman"/>
          <w:color w:val="FF0000"/>
          <w:sz w:val="16"/>
          <w:szCs w:val="16"/>
        </w:rPr>
        <w:t>" functionality for transfer students. The description of New Students may be to</w:t>
      </w:r>
      <w:r>
        <w:rPr>
          <w:rFonts w:ascii="Courier" w:eastAsia="Calibri" w:hAnsi="Courier" w:cs="Times New Roman"/>
          <w:color w:val="FF0000"/>
          <w:sz w:val="16"/>
          <w:szCs w:val="16"/>
        </w:rPr>
        <w:t xml:space="preserve"> be</w:t>
      </w:r>
      <w:r w:rsidRPr="0031721C">
        <w:rPr>
          <w:rFonts w:ascii="Courier" w:eastAsia="Calibri" w:hAnsi="Courier" w:cs="Times New Roman"/>
          <w:color w:val="FF0000"/>
          <w:sz w:val="16"/>
          <w:szCs w:val="16"/>
        </w:rPr>
        <w:t xml:space="preserve"> removed.</w:t>
      </w:r>
    </w:p>
    <w:p w14:paraId="2B2CB431" w14:textId="30105E5D" w:rsidR="0031721C" w:rsidRDefault="0031721C" w:rsidP="0031721C">
      <w:pPr>
        <w:rPr>
          <w:rFonts w:eastAsiaTheme="majorEastAsia" w:cstheme="majorBidi"/>
          <w:b/>
          <w:color w:val="767171" w:themeColor="background2" w:themeShade="80"/>
          <w:sz w:val="28"/>
        </w:rPr>
      </w:pPr>
      <w:bookmarkStart w:id="6" w:name="_Ref507406178"/>
      <w:r w:rsidRPr="0031721C">
        <w:rPr>
          <w:rFonts w:eastAsiaTheme="majorEastAsia" w:cstheme="majorBidi"/>
          <w:b/>
          <w:color w:val="767171" w:themeColor="background2" w:themeShade="80"/>
          <w:sz w:val="28"/>
        </w:rPr>
        <w:t>Student Assessment Results Report</w:t>
      </w:r>
      <w:bookmarkEnd w:id="6"/>
    </w:p>
    <w:p w14:paraId="7F00E1E9" w14:textId="7351AE54" w:rsidR="0031721C" w:rsidRDefault="0031721C" w:rsidP="0031721C">
      <w:pPr>
        <w:rPr>
          <w:rFonts w:ascii="Courier" w:eastAsia="Calibri" w:hAnsi="Courier" w:cs="Times New Roman"/>
          <w:color w:val="FF0000"/>
          <w:sz w:val="16"/>
          <w:szCs w:val="16"/>
        </w:rPr>
      </w:pPr>
      <w:r w:rsidRPr="002F5B50">
        <w:rPr>
          <w:rFonts w:ascii="Courier" w:eastAsia="Calibri" w:hAnsi="Courier" w:cs="Times New Roman"/>
          <w:color w:val="FF0000"/>
          <w:sz w:val="16"/>
          <w:szCs w:val="16"/>
        </w:rPr>
        <w:t xml:space="preserve">Same as above. </w:t>
      </w:r>
      <w:r w:rsidR="002F5B50" w:rsidRPr="002F5B50">
        <w:rPr>
          <w:rFonts w:ascii="Courier" w:eastAsia="Calibri" w:hAnsi="Courier" w:cs="Times New Roman"/>
          <w:color w:val="FF0000"/>
          <w:sz w:val="16"/>
          <w:szCs w:val="16"/>
        </w:rPr>
        <w:t>Remove text about New Students if necessary.</w:t>
      </w:r>
    </w:p>
    <w:p w14:paraId="3F60599D" w14:textId="6E5AA9BC" w:rsidR="002F5B50" w:rsidRDefault="002F5B50" w:rsidP="002F5B50">
      <w:pPr>
        <w:keepNext/>
        <w:keepLines/>
        <w:spacing w:before="40" w:after="0"/>
        <w:outlineLvl w:val="3"/>
        <w:rPr>
          <w:rFonts w:eastAsia="Times New Roman" w:cs="Times New Roman"/>
          <w:b/>
          <w:iCs/>
          <w:color w:val="3B3838"/>
          <w:sz w:val="24"/>
        </w:rPr>
      </w:pPr>
      <w:r w:rsidRPr="002F5B50">
        <w:rPr>
          <w:rFonts w:eastAsia="Times New Roman" w:cs="Times New Roman"/>
          <w:b/>
          <w:iCs/>
          <w:color w:val="3B3838"/>
          <w:sz w:val="24"/>
        </w:rPr>
        <w:t>Creating My Groups</w:t>
      </w:r>
    </w:p>
    <w:p w14:paraId="272E7900" w14:textId="021A9BA1" w:rsidR="002F5B50" w:rsidRPr="002F5B50" w:rsidRDefault="002F5B50" w:rsidP="002F5B50">
      <w:pPr>
        <w:rPr>
          <w:rFonts w:ascii="Courier" w:eastAsia="Calibri" w:hAnsi="Courier" w:cs="Times New Roman"/>
          <w:color w:val="FF0000"/>
          <w:sz w:val="16"/>
          <w:szCs w:val="16"/>
        </w:rPr>
      </w:pPr>
      <w:r w:rsidRPr="002F5B50">
        <w:rPr>
          <w:rFonts w:ascii="Courier" w:eastAsia="Calibri" w:hAnsi="Courier" w:cs="Times New Roman"/>
          <w:color w:val="FF0000"/>
          <w:sz w:val="16"/>
          <w:szCs w:val="16"/>
        </w:rPr>
        <w:t>When creating custom subgroups for an aggregate report, either assigned groups or accessible school can be used for selecting students. However, this functionality is targeted at teachers, who will normally only have access to assigned groups, not whole schools. The text about selecting from available schools was removed</w:t>
      </w:r>
      <w:r>
        <w:rPr>
          <w:rFonts w:ascii="Courier" w:eastAsia="Calibri" w:hAnsi="Courier" w:cs="Times New Roman"/>
          <w:color w:val="FF0000"/>
          <w:sz w:val="16"/>
          <w:szCs w:val="16"/>
        </w:rPr>
        <w:t xml:space="preserve"> for clarity, </w:t>
      </w:r>
      <w:r w:rsidRPr="002F5B50">
        <w:rPr>
          <w:rFonts w:ascii="Courier" w:eastAsia="Calibri" w:hAnsi="Courier" w:cs="Times New Roman"/>
          <w:color w:val="FF0000"/>
          <w:sz w:val="16"/>
          <w:szCs w:val="16"/>
        </w:rPr>
        <w:t>but</w:t>
      </w:r>
      <w:r>
        <w:rPr>
          <w:rFonts w:ascii="Courier" w:eastAsia="Calibri" w:hAnsi="Courier" w:cs="Times New Roman"/>
          <w:color w:val="FF0000"/>
          <w:sz w:val="16"/>
          <w:szCs w:val="16"/>
        </w:rPr>
        <w:t xml:space="preserve"> it</w:t>
      </w:r>
      <w:r w:rsidRPr="002F5B50">
        <w:rPr>
          <w:rFonts w:ascii="Courier" w:eastAsia="Calibri" w:hAnsi="Courier" w:cs="Times New Roman"/>
          <w:color w:val="FF0000"/>
          <w:sz w:val="16"/>
          <w:szCs w:val="16"/>
        </w:rPr>
        <w:t xml:space="preserve"> can be added back as necessary.</w:t>
      </w:r>
    </w:p>
    <w:p w14:paraId="1F99BD0F" w14:textId="4D636467" w:rsidR="00A179A4" w:rsidRDefault="00A179A4">
      <w:pPr>
        <w:spacing w:after="0" w:line="240" w:lineRule="auto"/>
        <w:rPr>
          <w:rFonts w:ascii="Courier" w:eastAsia="Calibri" w:hAnsi="Courier" w:cs="Times New Roman"/>
          <w:color w:val="FF0000"/>
          <w:sz w:val="16"/>
          <w:szCs w:val="16"/>
        </w:rPr>
      </w:pPr>
      <w:r>
        <w:rPr>
          <w:rFonts w:ascii="Courier" w:eastAsia="Calibri" w:hAnsi="Courier" w:cs="Times New Roman"/>
          <w:color w:val="FF0000"/>
          <w:sz w:val="16"/>
          <w:szCs w:val="16"/>
        </w:rPr>
        <w:br w:type="page"/>
      </w:r>
    </w:p>
    <w:p w14:paraId="790FABF1" w14:textId="6944254C" w:rsidR="002F5B50" w:rsidRDefault="002F5B50" w:rsidP="0031721C">
      <w:pPr>
        <w:rPr>
          <w:rFonts w:ascii="Courier" w:eastAsia="Calibri" w:hAnsi="Courier" w:cs="Times New Roman"/>
          <w:color w:val="FF0000"/>
          <w:sz w:val="16"/>
          <w:szCs w:val="16"/>
        </w:rPr>
      </w:pPr>
    </w:p>
    <w:p w14:paraId="7657D269" w14:textId="6AC8CCB5" w:rsidR="00A179A4" w:rsidRPr="002F5B50" w:rsidRDefault="00A179A4" w:rsidP="0031721C">
      <w:pPr>
        <w:rPr>
          <w:rFonts w:ascii="Courier" w:eastAsia="Calibri" w:hAnsi="Courier" w:cs="Times New Roman"/>
          <w:color w:val="FF0000"/>
          <w:sz w:val="16"/>
          <w:szCs w:val="16"/>
        </w:rPr>
      </w:pPr>
      <w:r>
        <w:rPr>
          <w:rFonts w:ascii="Courier" w:eastAsia="Calibri" w:hAnsi="Courier" w:cs="Times New Roman"/>
          <w:color w:val="FF0000"/>
          <w:sz w:val="16"/>
          <w:szCs w:val="16"/>
        </w:rPr>
        <w:t>The following section can be added after Writing Trait Scores in systems that support Percentiles.</w:t>
      </w:r>
      <w:bookmarkStart w:id="7" w:name="_GoBack"/>
      <w:bookmarkEnd w:id="7"/>
    </w:p>
    <w:p w14:paraId="181FA511" w14:textId="5A60B2A6" w:rsidR="00FF39A0" w:rsidRDefault="00FF39A0" w:rsidP="002C3E75">
      <w:pPr>
        <w:pStyle w:val="Heading3"/>
      </w:pPr>
      <w:r>
        <w:t>Percentiles</w:t>
      </w:r>
      <w:bookmarkEnd w:id="0"/>
    </w:p>
    <w:p w14:paraId="110C3C45" w14:textId="77777777" w:rsidR="00FF39A0" w:rsidRPr="00DD281C" w:rsidRDefault="00FF39A0" w:rsidP="00FF39A0">
      <w:r w:rsidRPr="00DD281C">
        <w:t>The percentile tables show the points at which a score is greater than a percentage of other student results</w:t>
      </w:r>
      <w:r>
        <w:t>, as shown below</w:t>
      </w:r>
      <w:r w:rsidRPr="00DD281C">
        <w:t>.</w:t>
      </w:r>
    </w:p>
    <w:p w14:paraId="1D70D44C" w14:textId="77777777" w:rsidR="00FF39A0" w:rsidRDefault="00FF39A0" w:rsidP="00FF39A0">
      <w:pPr>
        <w:spacing w:after="0" w:line="240" w:lineRule="auto"/>
        <w:jc w:val="center"/>
        <w:rPr>
          <w:rFonts w:ascii="Times New Roman" w:eastAsia="Times New Roman" w:hAnsi="Times New Roman" w:cs="Times New Roman"/>
          <w:color w:val="auto"/>
          <w:sz w:val="24"/>
          <w:lang w:val="en"/>
        </w:rPr>
      </w:pPr>
      <w:r>
        <w:rPr>
          <w:rFonts w:ascii="Times New Roman" w:eastAsia="Times New Roman" w:hAnsi="Times New Roman" w:cs="Times New Roman"/>
          <w:noProof/>
          <w:color w:val="auto"/>
          <w:sz w:val="24"/>
        </w:rPr>
        <w:drawing>
          <wp:inline distT="0" distB="0" distL="0" distR="0" wp14:anchorId="37770BE9" wp14:editId="6D10A848">
            <wp:extent cx="5943600" cy="2449195"/>
            <wp:effectExtent l="0" t="0" r="0" b="190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ercenti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0C8D280D" w14:textId="77777777" w:rsidR="00FF39A0" w:rsidRDefault="00FF39A0" w:rsidP="00FF39A0">
      <w:pPr>
        <w:spacing w:after="0" w:line="240" w:lineRule="auto"/>
        <w:rPr>
          <w:rFonts w:ascii="Times New Roman" w:eastAsia="Times New Roman" w:hAnsi="Times New Roman" w:cs="Times New Roman"/>
          <w:color w:val="auto"/>
          <w:sz w:val="24"/>
          <w:lang w:val="en"/>
        </w:rPr>
      </w:pPr>
    </w:p>
    <w:p w14:paraId="1E46364B" w14:textId="77777777" w:rsidR="00FF39A0" w:rsidRPr="00270B2A" w:rsidRDefault="00FF39A0" w:rsidP="00FF39A0">
      <w:pPr>
        <w:pStyle w:val="ListParagraph"/>
        <w:numPr>
          <w:ilvl w:val="0"/>
          <w:numId w:val="1"/>
        </w:numPr>
      </w:pPr>
      <w:r>
        <w:t xml:space="preserve">The </w:t>
      </w:r>
      <w:r w:rsidRPr="00DD7DDB">
        <w:rPr>
          <w:rStyle w:val="PageElement"/>
        </w:rPr>
        <w:t>Effective Dates</w:t>
      </w:r>
      <w:r w:rsidRPr="00270B2A">
        <w:t xml:space="preserve"> range of </w:t>
      </w:r>
      <w:r>
        <w:t>test results for which these percentiles should referenced</w:t>
      </w:r>
    </w:p>
    <w:p w14:paraId="069D9E3C" w14:textId="77777777" w:rsidR="00FF39A0" w:rsidRDefault="00FF39A0" w:rsidP="00FF39A0">
      <w:pPr>
        <w:pStyle w:val="ListParagraph"/>
        <w:numPr>
          <w:ilvl w:val="0"/>
          <w:numId w:val="1"/>
        </w:numPr>
      </w:pPr>
      <w:r w:rsidRPr="00270B2A">
        <w:t>The total number (</w:t>
      </w:r>
      <w:r w:rsidRPr="00DD7DDB">
        <w:rPr>
          <w:rStyle w:val="PageElement"/>
        </w:rPr>
        <w:t>N</w:t>
      </w:r>
      <w:r w:rsidRPr="00270B2A">
        <w:t>) of assessments</w:t>
      </w:r>
      <w:r>
        <w:t xml:space="preserve"> used to generate the percentiles</w:t>
      </w:r>
    </w:p>
    <w:p w14:paraId="67CC261B" w14:textId="77777777" w:rsidR="00FF39A0" w:rsidRPr="00270B2A" w:rsidRDefault="00FF39A0" w:rsidP="00FF39A0">
      <w:pPr>
        <w:pStyle w:val="ListParagraph"/>
        <w:numPr>
          <w:ilvl w:val="0"/>
          <w:numId w:val="1"/>
        </w:numPr>
      </w:pPr>
      <w:r>
        <w:t xml:space="preserve">The </w:t>
      </w:r>
      <w:r w:rsidRPr="00DD7DDB">
        <w:rPr>
          <w:rStyle w:val="PageElement"/>
        </w:rPr>
        <w:t>Mean</w:t>
      </w:r>
      <w:r w:rsidRPr="00270B2A">
        <w:t xml:space="preserve"> of all assessments</w:t>
      </w:r>
      <w:r>
        <w:t xml:space="preserve"> used to generate the percentiles</w:t>
      </w:r>
    </w:p>
    <w:p w14:paraId="1DDED07F" w14:textId="77777777" w:rsidR="00FF39A0" w:rsidRDefault="00FF39A0" w:rsidP="00FF39A0">
      <w:pPr>
        <w:pStyle w:val="ListParagraph"/>
        <w:numPr>
          <w:ilvl w:val="0"/>
          <w:numId w:val="1"/>
        </w:numPr>
      </w:pPr>
      <w:r w:rsidRPr="00270B2A">
        <w:t>The standard deviation (</w:t>
      </w:r>
      <w:r w:rsidRPr="00DD7DDB">
        <w:rPr>
          <w:rStyle w:val="PageElement"/>
        </w:rPr>
        <w:t>SD</w:t>
      </w:r>
      <w:r w:rsidRPr="00270B2A">
        <w:t>) of all assessments</w:t>
      </w:r>
      <w:r>
        <w:t xml:space="preserve"> used to generate the percentiles</w:t>
      </w:r>
    </w:p>
    <w:p w14:paraId="07F16731" w14:textId="77777777" w:rsidR="00FF39A0" w:rsidRPr="00270B2A" w:rsidRDefault="00FF39A0" w:rsidP="00FF39A0">
      <w:pPr>
        <w:pStyle w:val="ListParagraph"/>
        <w:numPr>
          <w:ilvl w:val="0"/>
          <w:numId w:val="1"/>
        </w:numPr>
      </w:pPr>
      <w:r w:rsidRPr="00270B2A">
        <w:t xml:space="preserve">The percentile rank </w:t>
      </w:r>
      <w:r>
        <w:t>(</w:t>
      </w:r>
      <w:r w:rsidRPr="00DD7DDB">
        <w:rPr>
          <w:rStyle w:val="PageElement"/>
        </w:rPr>
        <w:t>10… 90</w:t>
      </w:r>
      <w:r>
        <w:t xml:space="preserve">) </w:t>
      </w:r>
      <w:r w:rsidRPr="00270B2A">
        <w:t>for the listed scores, in which a score is greater than the other student results</w:t>
      </w:r>
    </w:p>
    <w:p w14:paraId="5310681D" w14:textId="77777777" w:rsidR="00FF39A0" w:rsidRPr="00DD7DDB" w:rsidRDefault="00FF39A0" w:rsidP="00FF39A0">
      <w:pPr>
        <w:pStyle w:val="ListParagraph"/>
        <w:numPr>
          <w:ilvl w:val="0"/>
          <w:numId w:val="1"/>
        </w:numPr>
      </w:pPr>
      <w:r w:rsidRPr="00270B2A">
        <w:t xml:space="preserve">The </w:t>
      </w:r>
      <w:r w:rsidRPr="00DD7DDB">
        <w:rPr>
          <w:rStyle w:val="PageElement"/>
        </w:rPr>
        <w:t>Show/Hide Percentiles</w:t>
      </w:r>
      <w:r w:rsidRPr="00270B2A">
        <w:t xml:space="preserve"> toggle control. The percentiles table is either hidden with the control showing </w:t>
      </w:r>
      <w:r>
        <w:t>“</w:t>
      </w:r>
      <w:r w:rsidRPr="00270B2A">
        <w:t>Show Percentiles</w:t>
      </w:r>
      <w:r>
        <w:t>”</w:t>
      </w:r>
      <w:r w:rsidRPr="00270B2A">
        <w:t xml:space="preserve">, or the percentiles table is displayed withe the control showing </w:t>
      </w:r>
      <w:r>
        <w:t>“</w:t>
      </w:r>
      <w:r w:rsidRPr="00270B2A">
        <w:t>Hide</w:t>
      </w:r>
      <w:r>
        <w:t> </w:t>
      </w:r>
      <w:r w:rsidRPr="00270B2A">
        <w:t>Percentiles</w:t>
      </w:r>
      <w:r>
        <w:t>”</w:t>
      </w:r>
      <w:r w:rsidRPr="00270B2A">
        <w:t xml:space="preserve">. Selecting the button </w:t>
      </w:r>
      <w:r>
        <w:t>will toggle</w:t>
      </w:r>
      <w:r w:rsidRPr="00270B2A">
        <w:t xml:space="preserve"> between the two states.</w:t>
      </w:r>
    </w:p>
    <w:p w14:paraId="6446CB56" w14:textId="77777777" w:rsidR="00DB4A7F" w:rsidRDefault="00A179A4"/>
    <w:sectPr w:rsidR="00DB4A7F" w:rsidSect="00890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94E18"/>
    <w:multiLevelType w:val="hybridMultilevel"/>
    <w:tmpl w:val="D77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A0"/>
    <w:rsid w:val="002C3E75"/>
    <w:rsid w:val="002F5B50"/>
    <w:rsid w:val="0031721C"/>
    <w:rsid w:val="004D32A4"/>
    <w:rsid w:val="004F65B0"/>
    <w:rsid w:val="008905FB"/>
    <w:rsid w:val="00A179A4"/>
    <w:rsid w:val="00F35C94"/>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228B7"/>
  <w14:defaultImageDpi w14:val="32767"/>
  <w15:chartTrackingRefBased/>
  <w15:docId w15:val="{CF29B99E-A8B6-2245-9CFE-A85BAF94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39A0"/>
    <w:pPr>
      <w:spacing w:after="220" w:line="300" w:lineRule="auto"/>
    </w:pPr>
    <w:rPr>
      <w:rFonts w:ascii="Arial" w:hAnsi="Arial"/>
      <w:color w:val="404040" w:themeColor="text1" w:themeTint="BF"/>
      <w:sz w:val="20"/>
    </w:rPr>
  </w:style>
  <w:style w:type="paragraph" w:styleId="Heading1">
    <w:name w:val="heading 1"/>
    <w:basedOn w:val="Normal"/>
    <w:next w:val="Normal"/>
    <w:link w:val="Heading1Char"/>
    <w:uiPriority w:val="9"/>
    <w:qFormat/>
    <w:rsid w:val="002C3E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39A0"/>
    <w:pPr>
      <w:keepNext/>
      <w:keepLines/>
      <w:spacing w:before="40" w:after="0"/>
      <w:outlineLvl w:val="2"/>
    </w:pPr>
    <w:rPr>
      <w:rFonts w:eastAsiaTheme="majorEastAsia" w:cstheme="majorBidi"/>
      <w:b/>
      <w:color w:val="767171" w:themeColor="background2" w:themeShade="80"/>
      <w:sz w:val="28"/>
    </w:rPr>
  </w:style>
  <w:style w:type="paragraph" w:styleId="Heading4">
    <w:name w:val="heading 4"/>
    <w:basedOn w:val="Normal"/>
    <w:next w:val="Normal"/>
    <w:link w:val="Heading4Char"/>
    <w:uiPriority w:val="9"/>
    <w:semiHidden/>
    <w:unhideWhenUsed/>
    <w:qFormat/>
    <w:rsid w:val="002F5B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9A0"/>
    <w:rPr>
      <w:rFonts w:ascii="Arial" w:eastAsiaTheme="majorEastAsia" w:hAnsi="Arial" w:cstheme="majorBidi"/>
      <w:b/>
      <w:color w:val="767171" w:themeColor="background2" w:themeShade="80"/>
      <w:sz w:val="28"/>
    </w:rPr>
  </w:style>
  <w:style w:type="paragraph" w:styleId="ListParagraph">
    <w:name w:val="List Paragraph"/>
    <w:basedOn w:val="Normal"/>
    <w:uiPriority w:val="34"/>
    <w:qFormat/>
    <w:rsid w:val="00FF39A0"/>
    <w:pPr>
      <w:ind w:left="720"/>
      <w:contextualSpacing/>
    </w:pPr>
  </w:style>
  <w:style w:type="character" w:customStyle="1" w:styleId="PageElement">
    <w:name w:val="Page Element"/>
    <w:basedOn w:val="DefaultParagraphFont"/>
    <w:uiPriority w:val="1"/>
    <w:qFormat/>
    <w:rsid w:val="00FF39A0"/>
    <w:rPr>
      <w:rFonts w:ascii="Arial" w:hAnsi="Arial"/>
      <w:b/>
      <w:sz w:val="18"/>
    </w:rPr>
  </w:style>
  <w:style w:type="character" w:styleId="CommentReference">
    <w:name w:val="annotation reference"/>
    <w:basedOn w:val="DefaultParagraphFont"/>
    <w:uiPriority w:val="99"/>
    <w:semiHidden/>
    <w:unhideWhenUsed/>
    <w:rsid w:val="00FF39A0"/>
    <w:rPr>
      <w:sz w:val="18"/>
      <w:szCs w:val="18"/>
    </w:rPr>
  </w:style>
  <w:style w:type="paragraph" w:styleId="CommentText">
    <w:name w:val="annotation text"/>
    <w:basedOn w:val="Normal"/>
    <w:link w:val="CommentTextChar"/>
    <w:uiPriority w:val="99"/>
    <w:semiHidden/>
    <w:unhideWhenUsed/>
    <w:rsid w:val="00FF39A0"/>
    <w:pPr>
      <w:spacing w:line="240" w:lineRule="auto"/>
    </w:pPr>
    <w:rPr>
      <w:sz w:val="24"/>
    </w:rPr>
  </w:style>
  <w:style w:type="character" w:customStyle="1" w:styleId="CommentTextChar">
    <w:name w:val="Comment Text Char"/>
    <w:basedOn w:val="DefaultParagraphFont"/>
    <w:link w:val="CommentText"/>
    <w:uiPriority w:val="99"/>
    <w:semiHidden/>
    <w:rsid w:val="00FF39A0"/>
    <w:rPr>
      <w:rFonts w:ascii="Arial" w:hAnsi="Arial"/>
      <w:color w:val="404040" w:themeColor="text1" w:themeTint="BF"/>
    </w:rPr>
  </w:style>
  <w:style w:type="paragraph" w:styleId="BalloonText">
    <w:name w:val="Balloon Text"/>
    <w:basedOn w:val="Normal"/>
    <w:link w:val="BalloonTextChar"/>
    <w:uiPriority w:val="99"/>
    <w:semiHidden/>
    <w:unhideWhenUsed/>
    <w:rsid w:val="00FF39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9A0"/>
    <w:rPr>
      <w:rFonts w:ascii="Times New Roman" w:hAnsi="Times New Roman" w:cs="Times New Roman"/>
      <w:color w:val="404040" w:themeColor="text1" w:themeTint="BF"/>
      <w:sz w:val="18"/>
      <w:szCs w:val="18"/>
    </w:rPr>
  </w:style>
  <w:style w:type="character" w:customStyle="1" w:styleId="Heading1Char">
    <w:name w:val="Heading 1 Char"/>
    <w:basedOn w:val="DefaultParagraphFont"/>
    <w:link w:val="Heading1"/>
    <w:uiPriority w:val="9"/>
    <w:rsid w:val="002C3E75"/>
    <w:rPr>
      <w:rFonts w:asciiTheme="majorHAnsi" w:eastAsiaTheme="majorEastAsia" w:hAnsiTheme="majorHAnsi" w:cstheme="majorBidi"/>
      <w:color w:val="2F5496" w:themeColor="accent1" w:themeShade="BF"/>
      <w:sz w:val="32"/>
      <w:szCs w:val="32"/>
    </w:rPr>
  </w:style>
  <w:style w:type="table" w:customStyle="1" w:styleId="ListTable4-Accent51">
    <w:name w:val="List Table 4 - Accent 51"/>
    <w:basedOn w:val="TableNormal"/>
    <w:next w:val="ListTable4-Accent5"/>
    <w:uiPriority w:val="49"/>
    <w:rsid w:val="0031721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5">
    <w:name w:val="List Table 4 Accent 5"/>
    <w:basedOn w:val="TableNormal"/>
    <w:uiPriority w:val="49"/>
    <w:rsid w:val="0031721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2F5B5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Charles</dc:creator>
  <cp:keywords/>
  <dc:description/>
  <cp:lastModifiedBy>Greg Charles</cp:lastModifiedBy>
  <cp:revision>2</cp:revision>
  <dcterms:created xsi:type="dcterms:W3CDTF">2018-06-21T23:51:00Z</dcterms:created>
  <dcterms:modified xsi:type="dcterms:W3CDTF">2018-06-22T19:04:00Z</dcterms:modified>
</cp:coreProperties>
</file>