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49C9F" w14:textId="77777777" w:rsidR="000666E1" w:rsidRPr="00B14BBA" w:rsidRDefault="00B14BBA" w:rsidP="00B14BBA">
      <w:pPr>
        <w:jc w:val="center"/>
        <w:rPr>
          <w:rFonts w:asciiTheme="majorHAnsi" w:hAnsiTheme="majorHAnsi" w:cstheme="minorHAnsi"/>
          <w:sz w:val="72"/>
          <w:szCs w:val="72"/>
        </w:rPr>
      </w:pPr>
      <w:r w:rsidRPr="00B14BBA">
        <w:rPr>
          <w:rFonts w:asciiTheme="majorHAnsi" w:hAnsiTheme="majorHAnsi" w:cstheme="minorHAnsi"/>
          <w:sz w:val="72"/>
          <w:szCs w:val="72"/>
        </w:rPr>
        <w:t>Test plan</w:t>
      </w:r>
    </w:p>
    <w:p w14:paraId="3AC94B5D" w14:textId="77777777" w:rsidR="00B14BBA" w:rsidRPr="003E7B83" w:rsidRDefault="00B14BBA" w:rsidP="00B14BBA">
      <w:pPr>
        <w:jc w:val="center"/>
        <w:rPr>
          <w:rFonts w:asciiTheme="majorHAnsi" w:hAnsiTheme="majorHAnsi" w:cstheme="minorHAnsi"/>
          <w:sz w:val="48"/>
          <w:szCs w:val="48"/>
        </w:rPr>
      </w:pPr>
      <w:bookmarkStart w:id="0" w:name="_Toc333586745"/>
      <w:r w:rsidRPr="003E7B83">
        <w:rPr>
          <w:rFonts w:asciiTheme="majorHAnsi" w:hAnsiTheme="majorHAnsi" w:cstheme="minorHAnsi"/>
          <w:sz w:val="48"/>
          <w:szCs w:val="48"/>
        </w:rPr>
        <w:t>Smarter Balanced Assessment Consortium Test Delivery System</w:t>
      </w:r>
      <w:bookmarkEnd w:id="0"/>
    </w:p>
    <w:p w14:paraId="575D1330" w14:textId="77777777" w:rsidR="00B14BBA" w:rsidRPr="003E7B83" w:rsidRDefault="00B14BBA" w:rsidP="00B14BBA">
      <w:pPr>
        <w:jc w:val="center"/>
        <w:rPr>
          <w:rFonts w:asciiTheme="majorHAnsi" w:hAnsiTheme="majorHAnsi" w:cstheme="minorHAnsi"/>
        </w:rPr>
      </w:pPr>
    </w:p>
    <w:p w14:paraId="28B60190" w14:textId="77777777" w:rsidR="00B14BBA" w:rsidRPr="003E7B83" w:rsidRDefault="00B14BBA" w:rsidP="00B14BBA">
      <w:pPr>
        <w:jc w:val="center"/>
        <w:rPr>
          <w:rFonts w:asciiTheme="majorHAnsi" w:hAnsiTheme="majorHAnsi" w:cstheme="minorHAnsi"/>
        </w:rPr>
      </w:pPr>
    </w:p>
    <w:p w14:paraId="6966C515" w14:textId="2AC3BD8E" w:rsidR="00B14BBA" w:rsidRDefault="00B14BBA" w:rsidP="00D62875">
      <w:pPr>
        <w:jc w:val="center"/>
        <w:rPr>
          <w:rFonts w:asciiTheme="majorHAnsi" w:hAnsiTheme="majorHAnsi" w:cstheme="minorHAnsi"/>
          <w:sz w:val="44"/>
          <w:szCs w:val="44"/>
        </w:rPr>
      </w:pPr>
      <w:bookmarkStart w:id="1" w:name="_Toc333586746"/>
      <w:r w:rsidRPr="003E7B83">
        <w:rPr>
          <w:rFonts w:asciiTheme="majorHAnsi" w:hAnsiTheme="majorHAnsi" w:cstheme="minorHAnsi"/>
          <w:sz w:val="44"/>
          <w:szCs w:val="44"/>
        </w:rPr>
        <w:t>Component</w:t>
      </w:r>
      <w:r>
        <w:rPr>
          <w:rFonts w:asciiTheme="majorHAnsi" w:hAnsiTheme="majorHAnsi" w:cstheme="minorHAnsi"/>
          <w:sz w:val="44"/>
          <w:szCs w:val="44"/>
        </w:rPr>
        <w:t>s</w:t>
      </w:r>
      <w:r w:rsidRPr="003E7B83">
        <w:rPr>
          <w:rFonts w:asciiTheme="majorHAnsi" w:hAnsiTheme="majorHAnsi" w:cstheme="minorHAnsi"/>
          <w:sz w:val="44"/>
          <w:szCs w:val="44"/>
        </w:rPr>
        <w:t>:</w:t>
      </w:r>
      <w:bookmarkEnd w:id="1"/>
      <w:r w:rsidR="00D62875">
        <w:rPr>
          <w:rFonts w:asciiTheme="majorHAnsi" w:hAnsiTheme="majorHAnsi" w:cstheme="minorHAnsi"/>
          <w:sz w:val="44"/>
          <w:szCs w:val="44"/>
        </w:rPr>
        <w:t xml:space="preserve"> </w:t>
      </w:r>
      <w:r w:rsidR="00D62875">
        <w:rPr>
          <w:rFonts w:asciiTheme="majorHAnsi" w:hAnsiTheme="majorHAnsi" w:cstheme="minorHAnsi"/>
          <w:sz w:val="44"/>
          <w:szCs w:val="44"/>
        </w:rPr>
        <w:br/>
      </w:r>
      <w:r w:rsidR="00A23195">
        <w:rPr>
          <w:rFonts w:asciiTheme="majorHAnsi" w:hAnsiTheme="majorHAnsi" w:cstheme="minorHAnsi"/>
          <w:sz w:val="44"/>
          <w:szCs w:val="44"/>
        </w:rPr>
        <w:t>Test Delivery System Administration</w:t>
      </w:r>
    </w:p>
    <w:p w14:paraId="26A39351" w14:textId="324BAC61" w:rsidR="00B14BBA" w:rsidRPr="003E7B83" w:rsidRDefault="00D62875" w:rsidP="00B14BBA">
      <w:pPr>
        <w:jc w:val="center"/>
        <w:rPr>
          <w:rFonts w:asciiTheme="majorHAnsi" w:hAnsiTheme="majorHAnsi" w:cstheme="minorHAnsi"/>
          <w:sz w:val="44"/>
          <w:szCs w:val="44"/>
        </w:rPr>
      </w:pPr>
      <w:r>
        <w:rPr>
          <w:rFonts w:asciiTheme="majorHAnsi" w:hAnsiTheme="majorHAnsi" w:cstheme="minorHAnsi"/>
          <w:sz w:val="44"/>
          <w:szCs w:val="44"/>
        </w:rPr>
        <w:t>Smarter Balanced Task Order</w:t>
      </w:r>
      <w:r w:rsidR="00B14BBA">
        <w:rPr>
          <w:rFonts w:asciiTheme="majorHAnsi" w:hAnsiTheme="majorHAnsi" w:cstheme="minorHAnsi"/>
          <w:sz w:val="44"/>
          <w:szCs w:val="44"/>
        </w:rPr>
        <w:t xml:space="preserve"> </w:t>
      </w:r>
      <w:r>
        <w:rPr>
          <w:rFonts w:asciiTheme="majorHAnsi" w:hAnsiTheme="majorHAnsi" w:cstheme="minorHAnsi"/>
          <w:sz w:val="44"/>
          <w:szCs w:val="44"/>
        </w:rPr>
        <w:t>1</w:t>
      </w:r>
      <w:r w:rsidR="00A23195">
        <w:rPr>
          <w:rFonts w:asciiTheme="majorHAnsi" w:hAnsiTheme="majorHAnsi" w:cstheme="minorHAnsi"/>
          <w:sz w:val="44"/>
          <w:szCs w:val="44"/>
        </w:rPr>
        <w:t>7</w:t>
      </w:r>
    </w:p>
    <w:p w14:paraId="6C575859" w14:textId="77777777" w:rsidR="00B14BBA" w:rsidRDefault="00B14BBA" w:rsidP="00B14BBA">
      <w:pPr>
        <w:jc w:val="center"/>
      </w:pPr>
    </w:p>
    <w:p w14:paraId="6DE54AEF" w14:textId="77777777" w:rsidR="00B14BBA" w:rsidRDefault="00B14BBA" w:rsidP="00B14BBA">
      <w:pPr>
        <w:jc w:val="center"/>
      </w:pPr>
    </w:p>
    <w:p w14:paraId="6A280EB7" w14:textId="77777777" w:rsidR="00C8287E" w:rsidRDefault="00C8287E" w:rsidP="00C8287E"/>
    <w:p w14:paraId="01E060A3" w14:textId="77777777" w:rsidR="00B14BBA" w:rsidRPr="001C3C3B" w:rsidRDefault="00B14BBA" w:rsidP="00B14BBA">
      <w:r w:rsidRPr="001C3C3B">
        <w:t>Revision History</w:t>
      </w:r>
    </w:p>
    <w:tbl>
      <w:tblPr>
        <w:tblStyle w:val="TableGrid"/>
        <w:tblW w:w="5000" w:type="pct"/>
        <w:tblLook w:val="04A0" w:firstRow="1" w:lastRow="0" w:firstColumn="1" w:lastColumn="0" w:noHBand="0" w:noVBand="1"/>
      </w:tblPr>
      <w:tblGrid>
        <w:gridCol w:w="2646"/>
        <w:gridCol w:w="2646"/>
        <w:gridCol w:w="2646"/>
        <w:gridCol w:w="1412"/>
      </w:tblGrid>
      <w:tr w:rsidR="007273BE" w14:paraId="6EC98EC8" w14:textId="77777777" w:rsidTr="00E96244">
        <w:trPr>
          <w:trHeight w:val="251"/>
        </w:trPr>
        <w:tc>
          <w:tcPr>
            <w:tcW w:w="1415" w:type="pct"/>
            <w:shd w:val="clear" w:color="auto" w:fill="D9D9D9" w:themeFill="background1" w:themeFillShade="D9"/>
            <w:vAlign w:val="center"/>
          </w:tcPr>
          <w:p w14:paraId="17E80C4F" w14:textId="77777777" w:rsidR="007273BE" w:rsidRPr="00311D52" w:rsidRDefault="007273BE" w:rsidP="00F76262">
            <w:pPr>
              <w:rPr>
                <w:b/>
                <w:sz w:val="18"/>
                <w:szCs w:val="18"/>
              </w:rPr>
            </w:pPr>
            <w:r w:rsidRPr="00311D52">
              <w:rPr>
                <w:b/>
                <w:sz w:val="18"/>
                <w:szCs w:val="18"/>
              </w:rPr>
              <w:t>Revision Description</w:t>
            </w:r>
          </w:p>
        </w:tc>
        <w:tc>
          <w:tcPr>
            <w:tcW w:w="1415" w:type="pct"/>
            <w:shd w:val="clear" w:color="auto" w:fill="D9D9D9" w:themeFill="background1" w:themeFillShade="D9"/>
            <w:vAlign w:val="center"/>
          </w:tcPr>
          <w:p w14:paraId="3C2CE3EE" w14:textId="77777777" w:rsidR="007273BE" w:rsidRPr="00311D52" w:rsidRDefault="007273BE" w:rsidP="00F76262">
            <w:pPr>
              <w:rPr>
                <w:b/>
                <w:sz w:val="18"/>
                <w:szCs w:val="18"/>
              </w:rPr>
            </w:pPr>
            <w:r>
              <w:rPr>
                <w:b/>
                <w:sz w:val="18"/>
                <w:szCs w:val="18"/>
              </w:rPr>
              <w:t>Author</w:t>
            </w:r>
          </w:p>
        </w:tc>
        <w:tc>
          <w:tcPr>
            <w:tcW w:w="1415" w:type="pct"/>
            <w:shd w:val="clear" w:color="auto" w:fill="D9D9D9" w:themeFill="background1" w:themeFillShade="D9"/>
          </w:tcPr>
          <w:p w14:paraId="1D49A494" w14:textId="56711EA4" w:rsidR="007273BE" w:rsidRPr="00311D52" w:rsidRDefault="007273BE" w:rsidP="00F76262">
            <w:pPr>
              <w:rPr>
                <w:b/>
                <w:sz w:val="18"/>
                <w:szCs w:val="18"/>
              </w:rPr>
            </w:pPr>
            <w:r>
              <w:rPr>
                <w:b/>
                <w:sz w:val="18"/>
                <w:szCs w:val="18"/>
              </w:rPr>
              <w:t>Reviewer</w:t>
            </w:r>
          </w:p>
        </w:tc>
        <w:tc>
          <w:tcPr>
            <w:tcW w:w="1415" w:type="pct"/>
            <w:shd w:val="clear" w:color="auto" w:fill="D9D9D9" w:themeFill="background1" w:themeFillShade="D9"/>
            <w:vAlign w:val="center"/>
          </w:tcPr>
          <w:p w14:paraId="2130F8E8" w14:textId="7B8E4DBF" w:rsidR="007273BE" w:rsidRPr="00311D52" w:rsidRDefault="007273BE" w:rsidP="00F76262">
            <w:pPr>
              <w:rPr>
                <w:b/>
                <w:sz w:val="18"/>
                <w:szCs w:val="18"/>
              </w:rPr>
            </w:pPr>
            <w:r w:rsidRPr="00311D52">
              <w:rPr>
                <w:b/>
                <w:sz w:val="18"/>
                <w:szCs w:val="18"/>
              </w:rPr>
              <w:t>Date</w:t>
            </w:r>
          </w:p>
        </w:tc>
      </w:tr>
      <w:tr w:rsidR="007273BE" w14:paraId="4D15342D" w14:textId="77777777" w:rsidTr="00E96244">
        <w:tc>
          <w:tcPr>
            <w:tcW w:w="1415" w:type="pct"/>
            <w:vAlign w:val="center"/>
          </w:tcPr>
          <w:p w14:paraId="457778D4" w14:textId="77777777" w:rsidR="007273BE" w:rsidRPr="00311D52" w:rsidRDefault="007273BE" w:rsidP="00F76262">
            <w:pPr>
              <w:rPr>
                <w:sz w:val="18"/>
                <w:szCs w:val="18"/>
              </w:rPr>
            </w:pPr>
            <w:r>
              <w:rPr>
                <w:sz w:val="18"/>
                <w:szCs w:val="18"/>
              </w:rPr>
              <w:t xml:space="preserve">0.1 – </w:t>
            </w:r>
            <w:r w:rsidRPr="00311D52">
              <w:rPr>
                <w:sz w:val="18"/>
                <w:szCs w:val="18"/>
              </w:rPr>
              <w:t xml:space="preserve">First </w:t>
            </w:r>
            <w:r>
              <w:rPr>
                <w:sz w:val="18"/>
                <w:szCs w:val="18"/>
              </w:rPr>
              <w:t>Draft</w:t>
            </w:r>
          </w:p>
        </w:tc>
        <w:tc>
          <w:tcPr>
            <w:tcW w:w="1415" w:type="pct"/>
            <w:vAlign w:val="center"/>
          </w:tcPr>
          <w:p w14:paraId="136345B2" w14:textId="77777777" w:rsidR="007273BE" w:rsidRPr="00311D52" w:rsidRDefault="007273BE" w:rsidP="00F76262">
            <w:pPr>
              <w:rPr>
                <w:sz w:val="18"/>
                <w:szCs w:val="18"/>
              </w:rPr>
            </w:pPr>
            <w:r>
              <w:rPr>
                <w:sz w:val="18"/>
                <w:szCs w:val="18"/>
              </w:rPr>
              <w:t>Peter Tereshchenko</w:t>
            </w:r>
          </w:p>
        </w:tc>
        <w:tc>
          <w:tcPr>
            <w:tcW w:w="1415" w:type="pct"/>
          </w:tcPr>
          <w:p w14:paraId="61F2E4CF" w14:textId="4133E90E" w:rsidR="007273BE" w:rsidRDefault="007273BE" w:rsidP="00F76262">
            <w:pPr>
              <w:rPr>
                <w:sz w:val="18"/>
                <w:szCs w:val="18"/>
              </w:rPr>
            </w:pPr>
          </w:p>
        </w:tc>
        <w:tc>
          <w:tcPr>
            <w:tcW w:w="1415" w:type="pct"/>
            <w:vAlign w:val="center"/>
          </w:tcPr>
          <w:p w14:paraId="6275679F" w14:textId="1C20DD22" w:rsidR="007273BE" w:rsidRPr="00311D52" w:rsidRDefault="00D62875" w:rsidP="00F76262">
            <w:pPr>
              <w:rPr>
                <w:sz w:val="18"/>
                <w:szCs w:val="18"/>
              </w:rPr>
            </w:pPr>
            <w:r>
              <w:rPr>
                <w:sz w:val="18"/>
                <w:szCs w:val="18"/>
              </w:rPr>
              <w:t xml:space="preserve">Mar. </w:t>
            </w:r>
            <w:r w:rsidR="00A23195">
              <w:rPr>
                <w:sz w:val="18"/>
                <w:szCs w:val="18"/>
              </w:rPr>
              <w:t>31</w:t>
            </w:r>
            <w:r w:rsidR="007273BE">
              <w:rPr>
                <w:sz w:val="18"/>
                <w:szCs w:val="18"/>
              </w:rPr>
              <w:t>, 2016</w:t>
            </w:r>
          </w:p>
        </w:tc>
      </w:tr>
      <w:tr w:rsidR="007273BE" w14:paraId="62E8F237" w14:textId="77777777" w:rsidTr="00E96244">
        <w:tc>
          <w:tcPr>
            <w:tcW w:w="1415" w:type="pct"/>
            <w:vAlign w:val="center"/>
          </w:tcPr>
          <w:p w14:paraId="417F6E07" w14:textId="77777777" w:rsidR="007273BE" w:rsidRDefault="007273BE" w:rsidP="00F76262">
            <w:pPr>
              <w:rPr>
                <w:sz w:val="18"/>
                <w:szCs w:val="18"/>
              </w:rPr>
            </w:pPr>
            <w:r>
              <w:rPr>
                <w:sz w:val="18"/>
                <w:szCs w:val="18"/>
              </w:rPr>
              <w:t>0.2 – Second Draft</w:t>
            </w:r>
          </w:p>
        </w:tc>
        <w:tc>
          <w:tcPr>
            <w:tcW w:w="1415" w:type="pct"/>
            <w:vAlign w:val="center"/>
          </w:tcPr>
          <w:p w14:paraId="50ACC78D" w14:textId="77777777" w:rsidR="007273BE" w:rsidRDefault="007273BE" w:rsidP="00F76262">
            <w:pPr>
              <w:rPr>
                <w:sz w:val="18"/>
                <w:szCs w:val="18"/>
              </w:rPr>
            </w:pPr>
            <w:r>
              <w:rPr>
                <w:sz w:val="18"/>
                <w:szCs w:val="18"/>
              </w:rPr>
              <w:t>Peter Tereshchenko</w:t>
            </w:r>
          </w:p>
        </w:tc>
        <w:tc>
          <w:tcPr>
            <w:tcW w:w="1415" w:type="pct"/>
          </w:tcPr>
          <w:p w14:paraId="54018E37" w14:textId="0564188C" w:rsidR="007273BE" w:rsidRDefault="007273BE" w:rsidP="00F76262">
            <w:pPr>
              <w:rPr>
                <w:sz w:val="18"/>
                <w:szCs w:val="18"/>
              </w:rPr>
            </w:pPr>
            <w:r>
              <w:rPr>
                <w:sz w:val="18"/>
                <w:szCs w:val="18"/>
              </w:rPr>
              <w:t>Rami Levy</w:t>
            </w:r>
          </w:p>
        </w:tc>
        <w:tc>
          <w:tcPr>
            <w:tcW w:w="1415" w:type="pct"/>
            <w:vAlign w:val="center"/>
          </w:tcPr>
          <w:p w14:paraId="0F70513B" w14:textId="6888DAA7" w:rsidR="007273BE" w:rsidRDefault="00047F73" w:rsidP="00F76262">
            <w:pPr>
              <w:rPr>
                <w:sz w:val="18"/>
                <w:szCs w:val="18"/>
              </w:rPr>
            </w:pPr>
            <w:r>
              <w:rPr>
                <w:sz w:val="18"/>
                <w:szCs w:val="18"/>
              </w:rPr>
              <w:t>Apr</w:t>
            </w:r>
            <w:r w:rsidR="00C33277">
              <w:rPr>
                <w:sz w:val="18"/>
                <w:szCs w:val="18"/>
              </w:rPr>
              <w:t>. 14, 2016</w:t>
            </w:r>
          </w:p>
        </w:tc>
      </w:tr>
      <w:tr w:rsidR="007273BE" w14:paraId="6E2582E0" w14:textId="77777777" w:rsidTr="00E96244">
        <w:trPr>
          <w:trHeight w:val="197"/>
        </w:trPr>
        <w:tc>
          <w:tcPr>
            <w:tcW w:w="1415" w:type="pct"/>
            <w:vAlign w:val="center"/>
          </w:tcPr>
          <w:p w14:paraId="1DA10126" w14:textId="77777777" w:rsidR="007273BE" w:rsidRPr="00311D52" w:rsidRDefault="007273BE" w:rsidP="007B6955">
            <w:pPr>
              <w:rPr>
                <w:sz w:val="18"/>
                <w:szCs w:val="18"/>
              </w:rPr>
            </w:pPr>
            <w:r>
              <w:rPr>
                <w:sz w:val="18"/>
                <w:szCs w:val="18"/>
              </w:rPr>
              <w:t>1.0 – Final version</w:t>
            </w:r>
          </w:p>
        </w:tc>
        <w:tc>
          <w:tcPr>
            <w:tcW w:w="1415" w:type="pct"/>
            <w:vAlign w:val="center"/>
          </w:tcPr>
          <w:p w14:paraId="44B5C820" w14:textId="77777777" w:rsidR="007273BE" w:rsidRPr="00311D52" w:rsidRDefault="007273BE" w:rsidP="00F76262">
            <w:pPr>
              <w:rPr>
                <w:sz w:val="18"/>
                <w:szCs w:val="18"/>
              </w:rPr>
            </w:pPr>
            <w:r>
              <w:rPr>
                <w:sz w:val="18"/>
                <w:szCs w:val="18"/>
              </w:rPr>
              <w:t>Peter Tereshchenko</w:t>
            </w:r>
          </w:p>
        </w:tc>
        <w:tc>
          <w:tcPr>
            <w:tcW w:w="1415" w:type="pct"/>
          </w:tcPr>
          <w:p w14:paraId="23CEFA9D" w14:textId="6C0E65E2" w:rsidR="007273BE" w:rsidRDefault="007273BE" w:rsidP="00F76262">
            <w:pPr>
              <w:rPr>
                <w:sz w:val="18"/>
                <w:szCs w:val="18"/>
              </w:rPr>
            </w:pPr>
            <w:r>
              <w:rPr>
                <w:sz w:val="18"/>
                <w:szCs w:val="18"/>
              </w:rPr>
              <w:t>Rami Levy</w:t>
            </w:r>
          </w:p>
        </w:tc>
        <w:tc>
          <w:tcPr>
            <w:tcW w:w="1415" w:type="pct"/>
            <w:vAlign w:val="center"/>
          </w:tcPr>
          <w:p w14:paraId="0CCB4BBE" w14:textId="4545549A" w:rsidR="007273BE" w:rsidRPr="00311D52" w:rsidRDefault="00FB08C6" w:rsidP="00F76262">
            <w:pPr>
              <w:rPr>
                <w:sz w:val="18"/>
                <w:szCs w:val="18"/>
              </w:rPr>
            </w:pPr>
            <w:r>
              <w:rPr>
                <w:sz w:val="18"/>
                <w:szCs w:val="18"/>
              </w:rPr>
              <w:t>Apr. 24, 2016</w:t>
            </w:r>
          </w:p>
        </w:tc>
      </w:tr>
    </w:tbl>
    <w:p w14:paraId="301AB6D3" w14:textId="77777777" w:rsidR="00B14BBA" w:rsidRDefault="00B14BBA" w:rsidP="00B14BBA">
      <w:pPr>
        <w:jc w:val="center"/>
      </w:pPr>
    </w:p>
    <w:p w14:paraId="0BE4826A" w14:textId="77777777" w:rsidR="00B14BBA" w:rsidRDefault="00B14BBA" w:rsidP="00B14BBA">
      <w:pPr>
        <w:jc w:val="center"/>
      </w:pPr>
    </w:p>
    <w:p w14:paraId="586BD41A" w14:textId="77777777" w:rsidR="00B14BBA" w:rsidRDefault="00B14BBA" w:rsidP="00B14BBA">
      <w:pPr>
        <w:jc w:val="center"/>
      </w:pPr>
    </w:p>
    <w:p w14:paraId="3BB4E11B" w14:textId="77777777" w:rsidR="00B14BBA" w:rsidRDefault="00B14BBA" w:rsidP="00B14BBA">
      <w:pPr>
        <w:jc w:val="center"/>
      </w:pPr>
    </w:p>
    <w:p w14:paraId="252CA5B9" w14:textId="77777777" w:rsidR="00B14BBA" w:rsidRDefault="00B14BBA" w:rsidP="00B14BBA">
      <w:pPr>
        <w:jc w:val="center"/>
      </w:pPr>
    </w:p>
    <w:p w14:paraId="3CDE66AD" w14:textId="77777777" w:rsidR="00B14BBA" w:rsidRDefault="00B14BBA" w:rsidP="00B14BBA">
      <w:pPr>
        <w:jc w:val="center"/>
      </w:pPr>
    </w:p>
    <w:p w14:paraId="3B15C4BA" w14:textId="77777777" w:rsidR="00B14BBA" w:rsidRDefault="00B14BBA" w:rsidP="00B14BBA">
      <w:pPr>
        <w:jc w:val="center"/>
      </w:pPr>
    </w:p>
    <w:sdt>
      <w:sdtPr>
        <w:id w:val="29220531"/>
        <w:docPartObj>
          <w:docPartGallery w:val="Table of Contents"/>
          <w:docPartUnique/>
        </w:docPartObj>
      </w:sdtPr>
      <w:sdtEndPr/>
      <w:sdtContent>
        <w:p w14:paraId="4D28F128" w14:textId="0484F67C" w:rsidR="00370D1A" w:rsidRDefault="00BF2B26" w:rsidP="00370D1A">
          <w:r>
            <w:rPr>
              <w:rFonts w:asciiTheme="majorHAnsi" w:hAnsiTheme="majorHAnsi"/>
              <w:sz w:val="40"/>
              <w:szCs w:val="40"/>
            </w:rPr>
            <w:t>Table of C</w:t>
          </w:r>
          <w:r w:rsidR="00370D1A" w:rsidRPr="003E7B83">
            <w:rPr>
              <w:rFonts w:asciiTheme="majorHAnsi" w:hAnsiTheme="majorHAnsi"/>
              <w:sz w:val="40"/>
              <w:szCs w:val="40"/>
            </w:rPr>
            <w:t>ontents</w:t>
          </w:r>
        </w:p>
        <w:p w14:paraId="438B1A79" w14:textId="77777777" w:rsidR="0011443B" w:rsidRDefault="00370D1A">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50662663" w:history="1">
            <w:r w:rsidR="0011443B" w:rsidRPr="0081494F">
              <w:rPr>
                <w:rStyle w:val="Hyperlink"/>
                <w:rFonts w:asciiTheme="majorHAnsi" w:eastAsiaTheme="majorEastAsia" w:hAnsiTheme="majorHAnsi" w:cstheme="majorBidi"/>
                <w:noProof/>
              </w:rPr>
              <w:t>1</w:t>
            </w:r>
            <w:r w:rsidR="0011443B">
              <w:rPr>
                <w:rFonts w:eastAsiaTheme="minorEastAsia"/>
                <w:noProof/>
                <w:sz w:val="24"/>
                <w:szCs w:val="24"/>
              </w:rPr>
              <w:tab/>
            </w:r>
            <w:r w:rsidR="0011443B" w:rsidRPr="0081494F">
              <w:rPr>
                <w:rStyle w:val="Hyperlink"/>
                <w:rFonts w:asciiTheme="majorHAnsi" w:eastAsiaTheme="majorEastAsia" w:hAnsiTheme="majorHAnsi" w:cstheme="majorBidi"/>
                <w:noProof/>
              </w:rPr>
              <w:t>Introduction and Background of System</w:t>
            </w:r>
            <w:r w:rsidR="0011443B">
              <w:rPr>
                <w:noProof/>
                <w:webHidden/>
              </w:rPr>
              <w:tab/>
            </w:r>
            <w:r w:rsidR="0011443B">
              <w:rPr>
                <w:noProof/>
                <w:webHidden/>
              </w:rPr>
              <w:fldChar w:fldCharType="begin"/>
            </w:r>
            <w:r w:rsidR="0011443B">
              <w:rPr>
                <w:noProof/>
                <w:webHidden/>
              </w:rPr>
              <w:instrText xml:space="preserve"> PAGEREF _Toc450662663 \h </w:instrText>
            </w:r>
            <w:r w:rsidR="0011443B">
              <w:rPr>
                <w:noProof/>
                <w:webHidden/>
              </w:rPr>
            </w:r>
            <w:r w:rsidR="0011443B">
              <w:rPr>
                <w:noProof/>
                <w:webHidden/>
              </w:rPr>
              <w:fldChar w:fldCharType="separate"/>
            </w:r>
            <w:r w:rsidR="0011443B">
              <w:rPr>
                <w:noProof/>
                <w:webHidden/>
              </w:rPr>
              <w:t>3</w:t>
            </w:r>
            <w:r w:rsidR="0011443B">
              <w:rPr>
                <w:noProof/>
                <w:webHidden/>
              </w:rPr>
              <w:fldChar w:fldCharType="end"/>
            </w:r>
          </w:hyperlink>
        </w:p>
        <w:p w14:paraId="4A836E18" w14:textId="77777777" w:rsidR="0011443B" w:rsidRDefault="0011443B">
          <w:pPr>
            <w:pStyle w:val="TOC1"/>
            <w:tabs>
              <w:tab w:val="left" w:pos="440"/>
              <w:tab w:val="right" w:leader="dot" w:pos="9350"/>
            </w:tabs>
            <w:rPr>
              <w:rFonts w:eastAsiaTheme="minorEastAsia"/>
              <w:noProof/>
              <w:sz w:val="24"/>
              <w:szCs w:val="24"/>
            </w:rPr>
          </w:pPr>
          <w:hyperlink w:anchor="_Toc450662664" w:history="1">
            <w:r w:rsidRPr="0081494F">
              <w:rPr>
                <w:rStyle w:val="Hyperlink"/>
                <w:rFonts w:asciiTheme="majorHAnsi" w:eastAsiaTheme="majorEastAsia" w:hAnsiTheme="majorHAnsi" w:cstheme="majorBidi"/>
                <w:noProof/>
              </w:rPr>
              <w:t>2</w:t>
            </w:r>
            <w:r>
              <w:rPr>
                <w:rFonts w:eastAsiaTheme="minorEastAsia"/>
                <w:noProof/>
                <w:sz w:val="24"/>
                <w:szCs w:val="24"/>
              </w:rPr>
              <w:tab/>
            </w:r>
            <w:r w:rsidRPr="0081494F">
              <w:rPr>
                <w:rStyle w:val="Hyperlink"/>
                <w:rFonts w:asciiTheme="majorHAnsi" w:eastAsiaTheme="majorEastAsia" w:hAnsiTheme="majorHAnsi" w:cstheme="majorBidi"/>
                <w:noProof/>
              </w:rPr>
              <w:t>References</w:t>
            </w:r>
            <w:r>
              <w:rPr>
                <w:noProof/>
                <w:webHidden/>
              </w:rPr>
              <w:tab/>
            </w:r>
            <w:r>
              <w:rPr>
                <w:noProof/>
                <w:webHidden/>
              </w:rPr>
              <w:fldChar w:fldCharType="begin"/>
            </w:r>
            <w:r>
              <w:rPr>
                <w:noProof/>
                <w:webHidden/>
              </w:rPr>
              <w:instrText xml:space="preserve"> PAGEREF _Toc450662664 \h </w:instrText>
            </w:r>
            <w:r>
              <w:rPr>
                <w:noProof/>
                <w:webHidden/>
              </w:rPr>
            </w:r>
            <w:r>
              <w:rPr>
                <w:noProof/>
                <w:webHidden/>
              </w:rPr>
              <w:fldChar w:fldCharType="separate"/>
            </w:r>
            <w:r>
              <w:rPr>
                <w:noProof/>
                <w:webHidden/>
              </w:rPr>
              <w:t>3</w:t>
            </w:r>
            <w:r>
              <w:rPr>
                <w:noProof/>
                <w:webHidden/>
              </w:rPr>
              <w:fldChar w:fldCharType="end"/>
            </w:r>
          </w:hyperlink>
        </w:p>
        <w:p w14:paraId="2F237C44" w14:textId="77777777" w:rsidR="0011443B" w:rsidRDefault="0011443B">
          <w:pPr>
            <w:pStyle w:val="TOC1"/>
            <w:tabs>
              <w:tab w:val="left" w:pos="440"/>
              <w:tab w:val="right" w:leader="dot" w:pos="9350"/>
            </w:tabs>
            <w:rPr>
              <w:rFonts w:eastAsiaTheme="minorEastAsia"/>
              <w:noProof/>
              <w:sz w:val="24"/>
              <w:szCs w:val="24"/>
            </w:rPr>
          </w:pPr>
          <w:hyperlink w:anchor="_Toc450662665" w:history="1">
            <w:r w:rsidRPr="0081494F">
              <w:rPr>
                <w:rStyle w:val="Hyperlink"/>
                <w:rFonts w:asciiTheme="majorHAnsi" w:eastAsiaTheme="majorEastAsia" w:hAnsiTheme="majorHAnsi" w:cstheme="majorBidi"/>
                <w:noProof/>
              </w:rPr>
              <w:t>3</w:t>
            </w:r>
            <w:r>
              <w:rPr>
                <w:rFonts w:eastAsiaTheme="minorEastAsia"/>
                <w:noProof/>
                <w:sz w:val="24"/>
                <w:szCs w:val="24"/>
              </w:rPr>
              <w:tab/>
            </w:r>
            <w:r w:rsidRPr="0081494F">
              <w:rPr>
                <w:rStyle w:val="Hyperlink"/>
                <w:rFonts w:asciiTheme="majorHAnsi" w:eastAsiaTheme="majorEastAsia" w:hAnsiTheme="majorHAnsi" w:cstheme="majorBidi"/>
                <w:noProof/>
              </w:rPr>
              <w:t>Scope of testing and preconditions</w:t>
            </w:r>
            <w:r>
              <w:rPr>
                <w:noProof/>
                <w:webHidden/>
              </w:rPr>
              <w:tab/>
            </w:r>
            <w:r>
              <w:rPr>
                <w:noProof/>
                <w:webHidden/>
              </w:rPr>
              <w:fldChar w:fldCharType="begin"/>
            </w:r>
            <w:r>
              <w:rPr>
                <w:noProof/>
                <w:webHidden/>
              </w:rPr>
              <w:instrText xml:space="preserve"> PAGEREF _Toc450662665 \h </w:instrText>
            </w:r>
            <w:r>
              <w:rPr>
                <w:noProof/>
                <w:webHidden/>
              </w:rPr>
            </w:r>
            <w:r>
              <w:rPr>
                <w:noProof/>
                <w:webHidden/>
              </w:rPr>
              <w:fldChar w:fldCharType="separate"/>
            </w:r>
            <w:r>
              <w:rPr>
                <w:noProof/>
                <w:webHidden/>
              </w:rPr>
              <w:t>3</w:t>
            </w:r>
            <w:r>
              <w:rPr>
                <w:noProof/>
                <w:webHidden/>
              </w:rPr>
              <w:fldChar w:fldCharType="end"/>
            </w:r>
          </w:hyperlink>
        </w:p>
        <w:p w14:paraId="4C419FB8" w14:textId="77777777" w:rsidR="00370D1A" w:rsidRDefault="00370D1A" w:rsidP="00370D1A">
          <w:pPr>
            <w:spacing w:before="120" w:after="0"/>
          </w:pPr>
          <w:r>
            <w:fldChar w:fldCharType="end"/>
          </w:r>
        </w:p>
      </w:sdtContent>
    </w:sdt>
    <w:p w14:paraId="0C993096" w14:textId="77777777" w:rsidR="00370D1A" w:rsidRDefault="00370D1A" w:rsidP="00370D1A">
      <w:pPr>
        <w:rPr>
          <w:rFonts w:asciiTheme="majorHAnsi" w:hAnsiTheme="majorHAnsi"/>
          <w:sz w:val="40"/>
          <w:szCs w:val="40"/>
        </w:rPr>
      </w:pPr>
    </w:p>
    <w:p w14:paraId="6BE99CB1" w14:textId="77777777" w:rsidR="00370D1A" w:rsidRDefault="00370D1A" w:rsidP="00370D1A">
      <w:pPr>
        <w:rPr>
          <w:rFonts w:asciiTheme="majorHAnsi" w:hAnsiTheme="majorHAnsi"/>
          <w:sz w:val="40"/>
          <w:szCs w:val="40"/>
        </w:rPr>
      </w:pPr>
    </w:p>
    <w:p w14:paraId="09FDDADC" w14:textId="77777777" w:rsidR="005326C1" w:rsidRDefault="005326C1" w:rsidP="005326C1">
      <w:pPr>
        <w:rPr>
          <w:rFonts w:eastAsiaTheme="minorEastAsia"/>
          <w:noProof/>
          <w:sz w:val="24"/>
          <w:szCs w:val="24"/>
        </w:rPr>
      </w:pPr>
      <w:r>
        <w:rPr>
          <w:rFonts w:asciiTheme="majorHAnsi" w:hAnsiTheme="majorHAnsi"/>
          <w:sz w:val="40"/>
          <w:szCs w:val="40"/>
        </w:rPr>
        <w:t>Tables</w:t>
      </w:r>
    </w:p>
    <w:p w14:paraId="2E1E7DC7" w14:textId="77777777" w:rsidR="00D11087" w:rsidRDefault="005326C1">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\c "Table" </w:instrText>
      </w:r>
      <w:r>
        <w:rPr>
          <w:rFonts w:asciiTheme="majorHAnsi" w:hAnsiTheme="majorHAnsi"/>
          <w:sz w:val="40"/>
          <w:szCs w:val="40"/>
        </w:rPr>
        <w:fldChar w:fldCharType="separate"/>
      </w:r>
      <w:r w:rsidR="00D11087">
        <w:rPr>
          <w:noProof/>
        </w:rPr>
        <w:t>Table 1: References</w:t>
      </w:r>
      <w:r w:rsidR="00D11087">
        <w:rPr>
          <w:noProof/>
        </w:rPr>
        <w:tab/>
      </w:r>
      <w:r w:rsidR="00D11087">
        <w:rPr>
          <w:noProof/>
        </w:rPr>
        <w:fldChar w:fldCharType="begin"/>
      </w:r>
      <w:r w:rsidR="00D11087">
        <w:rPr>
          <w:noProof/>
        </w:rPr>
        <w:instrText xml:space="preserve"> PAGEREF _Toc450662672 \h </w:instrText>
      </w:r>
      <w:r w:rsidR="00D11087">
        <w:rPr>
          <w:noProof/>
        </w:rPr>
      </w:r>
      <w:r w:rsidR="00D11087">
        <w:rPr>
          <w:noProof/>
        </w:rPr>
        <w:fldChar w:fldCharType="separate"/>
      </w:r>
      <w:r w:rsidR="00D11087">
        <w:rPr>
          <w:noProof/>
        </w:rPr>
        <w:t>3</w:t>
      </w:r>
      <w:r w:rsidR="00D11087">
        <w:rPr>
          <w:noProof/>
        </w:rPr>
        <w:fldChar w:fldCharType="end"/>
      </w:r>
    </w:p>
    <w:p w14:paraId="6B3CA486" w14:textId="77777777" w:rsidR="00370D1A" w:rsidRDefault="005326C1" w:rsidP="00370D1A">
      <w:pPr>
        <w:rPr>
          <w:rFonts w:asciiTheme="majorHAnsi" w:hAnsiTheme="majorHAnsi"/>
          <w:sz w:val="40"/>
          <w:szCs w:val="40"/>
        </w:rPr>
      </w:pPr>
      <w:r>
        <w:rPr>
          <w:rFonts w:asciiTheme="majorHAnsi" w:hAnsiTheme="majorHAnsi"/>
          <w:sz w:val="40"/>
          <w:szCs w:val="40"/>
        </w:rPr>
        <w:fldChar w:fldCharType="end"/>
      </w:r>
    </w:p>
    <w:p w14:paraId="306124E3" w14:textId="27AE4750" w:rsidR="005326C1" w:rsidRPr="003614C1" w:rsidRDefault="005326C1" w:rsidP="005326C1">
      <w:pPr>
        <w:rPr>
          <w:rFonts w:asciiTheme="majorHAnsi" w:hAnsiTheme="majorHAnsi"/>
          <w:sz w:val="40"/>
          <w:szCs w:val="40"/>
        </w:rPr>
      </w:pPr>
    </w:p>
    <w:p w14:paraId="3D95D2AC" w14:textId="77777777" w:rsidR="00370D1A" w:rsidRDefault="00370D1A" w:rsidP="00281AB6"/>
    <w:p w14:paraId="37BFE754" w14:textId="77777777" w:rsidR="00370D1A" w:rsidRDefault="00370D1A">
      <w:r>
        <w:br w:type="page"/>
      </w:r>
    </w:p>
    <w:p w14:paraId="036F436B" w14:textId="170740CF" w:rsidR="007B6955" w:rsidRPr="007B6955" w:rsidRDefault="00A67ABE" w:rsidP="007B6955">
      <w:pPr>
        <w:pStyle w:val="Heading1"/>
        <w:rPr>
          <w:rFonts w:asciiTheme="majorHAnsi" w:eastAsiaTheme="majorEastAsia" w:hAnsiTheme="majorHAnsi" w:cstheme="majorBidi"/>
          <w:color w:val="365F91" w:themeColor="accent1" w:themeShade="BF"/>
          <w:kern w:val="0"/>
          <w:sz w:val="28"/>
          <w:szCs w:val="28"/>
        </w:rPr>
      </w:pPr>
      <w:bookmarkStart w:id="2" w:name="_Toc447555333"/>
      <w:bookmarkStart w:id="3" w:name="_Toc382557162"/>
      <w:bookmarkStart w:id="4" w:name="_Toc450662663"/>
      <w:bookmarkEnd w:id="2"/>
      <w:r w:rsidRPr="007B6955">
        <w:rPr>
          <w:rFonts w:asciiTheme="majorHAnsi" w:eastAsiaTheme="majorEastAsia" w:hAnsiTheme="majorHAnsi" w:cstheme="majorBidi"/>
          <w:color w:val="365F91" w:themeColor="accent1" w:themeShade="BF"/>
          <w:kern w:val="0"/>
          <w:sz w:val="28"/>
          <w:szCs w:val="28"/>
        </w:rPr>
        <w:lastRenderedPageBreak/>
        <w:t>Introduction and Background of System</w:t>
      </w:r>
      <w:bookmarkEnd w:id="3"/>
      <w:bookmarkEnd w:id="4"/>
      <w:r w:rsidR="007B6955">
        <w:rPr>
          <w:rFonts w:asciiTheme="majorHAnsi" w:eastAsiaTheme="majorEastAsia" w:hAnsiTheme="majorHAnsi" w:cstheme="majorBidi"/>
          <w:color w:val="365F91" w:themeColor="accent1" w:themeShade="BF"/>
          <w:kern w:val="0"/>
          <w:sz w:val="28"/>
          <w:szCs w:val="28"/>
        </w:rPr>
        <w:br/>
      </w:r>
    </w:p>
    <w:p w14:paraId="5E7A1F1C" w14:textId="03D87561" w:rsidR="00B10B2D" w:rsidRDefault="00E873EC" w:rsidP="00B14BBA">
      <w:r>
        <w:t xml:space="preserve">The purpose of this document is to define testing scope and approach </w:t>
      </w:r>
      <w:r w:rsidR="00E63DC1">
        <w:t xml:space="preserve">for </w:t>
      </w:r>
      <w:r>
        <w:t>Task Order</w:t>
      </w:r>
      <w:r w:rsidR="00D62875">
        <w:t xml:space="preserve"> 1</w:t>
      </w:r>
      <w:r w:rsidR="00A23195">
        <w:t>7</w:t>
      </w:r>
      <w:r>
        <w:t>.</w:t>
      </w:r>
      <w:r w:rsidR="00A23195">
        <w:t xml:space="preserve"> </w:t>
      </w:r>
      <w:r w:rsidR="005B1C9D">
        <w:t xml:space="preserve">This task order seeks to create and provide a user interface for several stored procedures which have to be used to adjust TDS test opportunity </w:t>
      </w:r>
      <w:r w:rsidR="00131BA9">
        <w:t>parameters like status and expiration date.</w:t>
      </w:r>
      <w:r w:rsidR="005B1C9D">
        <w:t xml:space="preserve"> </w:t>
      </w:r>
      <w:r w:rsidR="00855A10">
        <w:t xml:space="preserve">To avoid </w:t>
      </w:r>
      <w:r w:rsidR="006F4A2B">
        <w:t>administrator’s</w:t>
      </w:r>
      <w:r w:rsidR="00855A10">
        <w:t xml:space="preserve"> extensive access and use of database</w:t>
      </w:r>
      <w:r w:rsidR="00B26AC0">
        <w:t>,</w:t>
      </w:r>
      <w:r w:rsidR="005B1C9D">
        <w:t xml:space="preserve"> </w:t>
      </w:r>
      <w:r w:rsidR="00583F9F">
        <w:t xml:space="preserve">a </w:t>
      </w:r>
      <w:r w:rsidR="005B1C9D">
        <w:t>new component called Test Delivery System Administration (</w:t>
      </w:r>
      <w:proofErr w:type="spellStart"/>
      <w:r w:rsidR="005B1C9D">
        <w:t>TDSAdmin</w:t>
      </w:r>
      <w:proofErr w:type="spellEnd"/>
      <w:r w:rsidR="005B1C9D">
        <w:t xml:space="preserve">) was created. </w:t>
      </w:r>
    </w:p>
    <w:p w14:paraId="3F0509EE" w14:textId="77777777" w:rsidR="00D07E28" w:rsidRPr="00DA77D9" w:rsidRDefault="00D07E28" w:rsidP="00D07E28">
      <w:pPr>
        <w:pStyle w:val="Heading1"/>
        <w:rPr>
          <w:rFonts w:asciiTheme="majorHAnsi" w:eastAsiaTheme="majorEastAsia" w:hAnsiTheme="majorHAnsi" w:cstheme="majorBidi"/>
          <w:color w:val="365F91" w:themeColor="accent1" w:themeShade="BF"/>
          <w:kern w:val="0"/>
          <w:sz w:val="28"/>
          <w:szCs w:val="28"/>
        </w:rPr>
      </w:pPr>
      <w:bookmarkStart w:id="5" w:name="_Toc382557164"/>
      <w:bookmarkStart w:id="6" w:name="_Toc450662664"/>
      <w:r w:rsidRPr="00D07E28">
        <w:rPr>
          <w:rFonts w:asciiTheme="majorHAnsi" w:eastAsiaTheme="majorEastAsia" w:hAnsiTheme="majorHAnsi" w:cstheme="majorBidi"/>
          <w:color w:val="365F91" w:themeColor="accent1" w:themeShade="BF"/>
          <w:kern w:val="0"/>
          <w:sz w:val="28"/>
          <w:szCs w:val="28"/>
        </w:rPr>
        <w:t>References</w:t>
      </w:r>
      <w:bookmarkEnd w:id="5"/>
      <w:bookmarkEnd w:id="6"/>
      <w:r w:rsidR="00DA77D9">
        <w:rPr>
          <w:rFonts w:asciiTheme="majorHAnsi" w:eastAsiaTheme="majorEastAsia" w:hAnsiTheme="majorHAnsi" w:cstheme="majorBidi"/>
          <w:color w:val="365F91" w:themeColor="accent1" w:themeShade="BF"/>
          <w:kern w:val="0"/>
          <w:sz w:val="28"/>
          <w:szCs w:val="28"/>
        </w:rPr>
        <w:br/>
      </w:r>
    </w:p>
    <w:tbl>
      <w:tblPr>
        <w:tblStyle w:val="TableGrid"/>
        <w:tblW w:w="10188" w:type="dxa"/>
        <w:tblLayout w:type="fixed"/>
        <w:tblLook w:val="04A0" w:firstRow="1" w:lastRow="0" w:firstColumn="1" w:lastColumn="0" w:noHBand="0" w:noVBand="1"/>
      </w:tblPr>
      <w:tblGrid>
        <w:gridCol w:w="398"/>
        <w:gridCol w:w="2590"/>
        <w:gridCol w:w="6030"/>
        <w:gridCol w:w="1170"/>
      </w:tblGrid>
      <w:tr w:rsidR="00FC5BD0" w:rsidRPr="00DB4A5F" w14:paraId="6972385D" w14:textId="77777777" w:rsidTr="00FC5BD0">
        <w:trPr>
          <w:cantSplit/>
          <w:tblHeader/>
        </w:trPr>
        <w:tc>
          <w:tcPr>
            <w:tcW w:w="398" w:type="dxa"/>
            <w:shd w:val="clear" w:color="auto" w:fill="D9D9D9" w:themeFill="background1" w:themeFillShade="D9"/>
          </w:tcPr>
          <w:p w14:paraId="3F5AD1FE" w14:textId="77777777" w:rsidR="00D07E28" w:rsidRPr="00DB4A5F" w:rsidRDefault="00D07E28" w:rsidP="00F76262">
            <w:pPr>
              <w:rPr>
                <w:b/>
                <w:sz w:val="18"/>
                <w:szCs w:val="18"/>
              </w:rPr>
            </w:pPr>
          </w:p>
        </w:tc>
        <w:tc>
          <w:tcPr>
            <w:tcW w:w="2590" w:type="dxa"/>
            <w:shd w:val="clear" w:color="auto" w:fill="D9D9D9" w:themeFill="background1" w:themeFillShade="D9"/>
            <w:vAlign w:val="center"/>
          </w:tcPr>
          <w:p w14:paraId="1A36D1A5" w14:textId="77777777" w:rsidR="00D07E28" w:rsidRPr="00DB4A5F" w:rsidRDefault="00D07E28" w:rsidP="00F76262">
            <w:pPr>
              <w:rPr>
                <w:rFonts w:cstheme="minorHAnsi"/>
                <w:b/>
                <w:sz w:val="18"/>
                <w:szCs w:val="18"/>
              </w:rPr>
            </w:pPr>
            <w:r>
              <w:rPr>
                <w:b/>
                <w:sz w:val="18"/>
                <w:szCs w:val="18"/>
              </w:rPr>
              <w:t>Reference</w:t>
            </w:r>
          </w:p>
        </w:tc>
        <w:tc>
          <w:tcPr>
            <w:tcW w:w="6030" w:type="dxa"/>
            <w:tcBorders>
              <w:bottom w:val="single" w:sz="4" w:space="0" w:color="000000"/>
            </w:tcBorders>
            <w:shd w:val="clear" w:color="auto" w:fill="D9D9D9" w:themeFill="background1" w:themeFillShade="D9"/>
            <w:vAlign w:val="center"/>
          </w:tcPr>
          <w:p w14:paraId="44156EA6" w14:textId="2D70B7F7" w:rsidR="00D07E28" w:rsidRPr="00DB4A5F" w:rsidRDefault="00FC5BD0" w:rsidP="00F76262">
            <w:pPr>
              <w:rPr>
                <w:rFonts w:cstheme="minorHAnsi"/>
                <w:b/>
                <w:sz w:val="18"/>
                <w:szCs w:val="18"/>
              </w:rPr>
            </w:pPr>
            <w:r>
              <w:rPr>
                <w:rFonts w:cstheme="minorHAnsi"/>
                <w:b/>
                <w:sz w:val="18"/>
                <w:szCs w:val="18"/>
              </w:rPr>
              <w:t>Location</w:t>
            </w:r>
          </w:p>
        </w:tc>
        <w:tc>
          <w:tcPr>
            <w:tcW w:w="1170" w:type="dxa"/>
            <w:tcBorders>
              <w:bottom w:val="single" w:sz="4" w:space="0" w:color="000000"/>
            </w:tcBorders>
            <w:shd w:val="clear" w:color="auto" w:fill="D9D9D9" w:themeFill="background1" w:themeFillShade="D9"/>
            <w:vAlign w:val="center"/>
          </w:tcPr>
          <w:p w14:paraId="0542A9A1" w14:textId="77777777" w:rsidR="00D07E28" w:rsidRPr="00DB4A5F" w:rsidRDefault="00D07E28" w:rsidP="00F76262">
            <w:pPr>
              <w:rPr>
                <w:rFonts w:cstheme="minorHAnsi"/>
                <w:b/>
                <w:sz w:val="18"/>
                <w:szCs w:val="18"/>
              </w:rPr>
            </w:pPr>
            <w:r>
              <w:rPr>
                <w:rFonts w:cstheme="minorHAnsi"/>
                <w:b/>
                <w:sz w:val="18"/>
                <w:szCs w:val="18"/>
              </w:rPr>
              <w:t>Version</w:t>
            </w:r>
          </w:p>
        </w:tc>
      </w:tr>
      <w:tr w:rsidR="00FC5BD0" w:rsidRPr="00DB4A5F" w14:paraId="329F34F8" w14:textId="77777777" w:rsidTr="00FC5BD0">
        <w:trPr>
          <w:cantSplit/>
        </w:trPr>
        <w:tc>
          <w:tcPr>
            <w:tcW w:w="398" w:type="dxa"/>
            <w:vAlign w:val="center"/>
          </w:tcPr>
          <w:p w14:paraId="59F04721" w14:textId="5EA6205C" w:rsidR="00D07E28" w:rsidRDefault="00855A10" w:rsidP="00F76262">
            <w:pPr>
              <w:jc w:val="center"/>
              <w:rPr>
                <w:rFonts w:cstheme="minorHAnsi"/>
                <w:sz w:val="18"/>
                <w:szCs w:val="18"/>
              </w:rPr>
            </w:pPr>
            <w:r>
              <w:rPr>
                <w:rFonts w:cstheme="minorHAnsi"/>
                <w:sz w:val="18"/>
                <w:szCs w:val="18"/>
              </w:rPr>
              <w:t>1</w:t>
            </w:r>
          </w:p>
        </w:tc>
        <w:tc>
          <w:tcPr>
            <w:tcW w:w="2590" w:type="dxa"/>
            <w:vAlign w:val="center"/>
          </w:tcPr>
          <w:p w14:paraId="71E5AB48" w14:textId="1A476595" w:rsidR="00D07E28" w:rsidRDefault="00795658" w:rsidP="00F76262">
            <w:pPr>
              <w:rPr>
                <w:rFonts w:cstheme="minorHAnsi"/>
                <w:sz w:val="18"/>
                <w:szCs w:val="18"/>
              </w:rPr>
            </w:pPr>
            <w:r w:rsidRPr="00795658">
              <w:rPr>
                <w:rFonts w:cstheme="minorHAnsi"/>
                <w:sz w:val="18"/>
                <w:szCs w:val="18"/>
              </w:rPr>
              <w:t>TDSAdmin-TestCases.xlsx</w:t>
            </w:r>
          </w:p>
        </w:tc>
        <w:tc>
          <w:tcPr>
            <w:tcW w:w="6030" w:type="dxa"/>
            <w:shd w:val="clear" w:color="auto" w:fill="auto"/>
            <w:vAlign w:val="center"/>
          </w:tcPr>
          <w:p w14:paraId="12E8D162" w14:textId="5E24D15B" w:rsidR="00D07E28" w:rsidRPr="00DB4A5F" w:rsidRDefault="00795658" w:rsidP="00FC5BD0">
            <w:pPr>
              <w:rPr>
                <w:rFonts w:cstheme="minorHAnsi"/>
                <w:sz w:val="18"/>
                <w:szCs w:val="18"/>
              </w:rPr>
            </w:pPr>
            <w:r>
              <w:rPr>
                <w:rFonts w:cstheme="minorHAnsi"/>
                <w:sz w:val="18"/>
                <w:szCs w:val="18"/>
              </w:rPr>
              <w:t xml:space="preserve">TDS Admin </w:t>
            </w:r>
            <w:r w:rsidR="00FC5BD0">
              <w:rPr>
                <w:rFonts w:cstheme="minorHAnsi"/>
                <w:sz w:val="18"/>
                <w:szCs w:val="18"/>
              </w:rPr>
              <w:t>source code repository documentation folder</w:t>
            </w:r>
          </w:p>
        </w:tc>
        <w:tc>
          <w:tcPr>
            <w:tcW w:w="1170" w:type="dxa"/>
            <w:shd w:val="clear" w:color="auto" w:fill="auto"/>
            <w:vAlign w:val="center"/>
          </w:tcPr>
          <w:p w14:paraId="08B5698E" w14:textId="77777777" w:rsidR="00D07E28" w:rsidRPr="00DB4A5F" w:rsidRDefault="003A6CFE" w:rsidP="00F76262">
            <w:pPr>
              <w:rPr>
                <w:rFonts w:cstheme="minorHAnsi"/>
                <w:sz w:val="18"/>
                <w:szCs w:val="18"/>
              </w:rPr>
            </w:pPr>
            <w:r>
              <w:rPr>
                <w:rFonts w:cstheme="minorHAnsi"/>
                <w:sz w:val="18"/>
                <w:szCs w:val="18"/>
              </w:rPr>
              <w:t>1.0</w:t>
            </w:r>
          </w:p>
        </w:tc>
      </w:tr>
      <w:tr w:rsidR="00FC5BD0" w:rsidRPr="00DB4A5F" w14:paraId="588E2E95" w14:textId="77777777" w:rsidTr="00FC5BD0">
        <w:trPr>
          <w:cantSplit/>
          <w:trHeight w:val="161"/>
        </w:trPr>
        <w:tc>
          <w:tcPr>
            <w:tcW w:w="398" w:type="dxa"/>
            <w:vAlign w:val="center"/>
          </w:tcPr>
          <w:p w14:paraId="20BFD368" w14:textId="26345D6A" w:rsidR="00FC5BD0" w:rsidRPr="00DB4A5F" w:rsidRDefault="00855A10" w:rsidP="00F76262">
            <w:pPr>
              <w:jc w:val="center"/>
              <w:rPr>
                <w:rFonts w:cstheme="minorHAnsi"/>
                <w:sz w:val="18"/>
                <w:szCs w:val="18"/>
              </w:rPr>
            </w:pPr>
            <w:r>
              <w:rPr>
                <w:rFonts w:cstheme="minorHAnsi"/>
                <w:sz w:val="18"/>
                <w:szCs w:val="18"/>
              </w:rPr>
              <w:t>2</w:t>
            </w:r>
          </w:p>
        </w:tc>
        <w:tc>
          <w:tcPr>
            <w:tcW w:w="2590" w:type="dxa"/>
            <w:vAlign w:val="center"/>
          </w:tcPr>
          <w:p w14:paraId="7A1DF0EE" w14:textId="4B9A8760" w:rsidR="00FC5BD0" w:rsidRPr="00DB4A5F" w:rsidRDefault="00795658" w:rsidP="00F76262">
            <w:pPr>
              <w:rPr>
                <w:rFonts w:cstheme="minorHAnsi"/>
                <w:sz w:val="18"/>
                <w:szCs w:val="18"/>
              </w:rPr>
            </w:pPr>
            <w:r w:rsidRPr="00795658">
              <w:rPr>
                <w:rFonts w:cstheme="minorHAnsi"/>
                <w:sz w:val="18"/>
                <w:szCs w:val="18"/>
              </w:rPr>
              <w:t>TDSAdmin-Requirements.docx</w:t>
            </w:r>
            <w:r>
              <w:rPr>
                <w:rFonts w:cstheme="minorHAnsi"/>
                <w:sz w:val="18"/>
                <w:szCs w:val="18"/>
              </w:rPr>
              <w:t xml:space="preserve"> or pdf</w:t>
            </w:r>
          </w:p>
        </w:tc>
        <w:tc>
          <w:tcPr>
            <w:tcW w:w="6030" w:type="dxa"/>
            <w:shd w:val="clear" w:color="auto" w:fill="auto"/>
            <w:vAlign w:val="center"/>
          </w:tcPr>
          <w:p w14:paraId="69B0C47B" w14:textId="2BA8F57F" w:rsidR="00FC5BD0" w:rsidRPr="00DB4A5F" w:rsidRDefault="00795658" w:rsidP="00795658">
            <w:pPr>
              <w:rPr>
                <w:rFonts w:cstheme="minorHAnsi"/>
                <w:sz w:val="18"/>
                <w:szCs w:val="18"/>
              </w:rPr>
            </w:pPr>
            <w:r>
              <w:rPr>
                <w:rFonts w:cstheme="minorHAnsi"/>
                <w:sz w:val="18"/>
                <w:szCs w:val="18"/>
              </w:rPr>
              <w:t xml:space="preserve">TDS Admin </w:t>
            </w:r>
            <w:r w:rsidR="00FC5BD0">
              <w:rPr>
                <w:rFonts w:cstheme="minorHAnsi"/>
                <w:sz w:val="18"/>
                <w:szCs w:val="18"/>
              </w:rPr>
              <w:t>source code repository documentation folder</w:t>
            </w:r>
          </w:p>
        </w:tc>
        <w:tc>
          <w:tcPr>
            <w:tcW w:w="1170" w:type="dxa"/>
            <w:shd w:val="clear" w:color="auto" w:fill="auto"/>
            <w:vAlign w:val="center"/>
          </w:tcPr>
          <w:p w14:paraId="3D6EA3C9" w14:textId="675B4533" w:rsidR="00FC5BD0" w:rsidRPr="00DB4A5F" w:rsidRDefault="00FC5BD0" w:rsidP="00F76262">
            <w:pPr>
              <w:rPr>
                <w:rFonts w:cstheme="minorHAnsi"/>
                <w:sz w:val="18"/>
                <w:szCs w:val="18"/>
              </w:rPr>
            </w:pPr>
            <w:r w:rsidRPr="00E96244">
              <w:rPr>
                <w:rFonts w:cstheme="minorHAnsi"/>
                <w:sz w:val="18"/>
                <w:szCs w:val="18"/>
              </w:rPr>
              <w:t>1.</w:t>
            </w:r>
            <w:r w:rsidR="001C40CB" w:rsidRPr="00E96244">
              <w:rPr>
                <w:rFonts w:cstheme="minorHAnsi"/>
                <w:sz w:val="18"/>
                <w:szCs w:val="18"/>
              </w:rPr>
              <w:t>0</w:t>
            </w:r>
          </w:p>
        </w:tc>
      </w:tr>
    </w:tbl>
    <w:p w14:paraId="05448479" w14:textId="5D7819ED" w:rsidR="00B15282" w:rsidRDefault="00872DC4" w:rsidP="00872DC4">
      <w:pPr>
        <w:pStyle w:val="Caption"/>
      </w:pPr>
      <w:bookmarkStart w:id="7" w:name="_Toc450662672"/>
      <w:r>
        <w:t xml:space="preserve">Table </w:t>
      </w:r>
      <w:r w:rsidR="00D472D4">
        <w:fldChar w:fldCharType="begin"/>
      </w:r>
      <w:r w:rsidR="00D472D4">
        <w:instrText xml:space="preserve"> SEQ Table \* ARABIC </w:instrText>
      </w:r>
      <w:r w:rsidR="00D472D4">
        <w:fldChar w:fldCharType="separate"/>
      </w:r>
      <w:r>
        <w:rPr>
          <w:noProof/>
        </w:rPr>
        <w:t>1</w:t>
      </w:r>
      <w:r w:rsidR="00D472D4">
        <w:rPr>
          <w:noProof/>
        </w:rPr>
        <w:fldChar w:fldCharType="end"/>
      </w:r>
      <w:r>
        <w:t>: References</w:t>
      </w:r>
      <w:bookmarkEnd w:id="7"/>
    </w:p>
    <w:p w14:paraId="309AB774" w14:textId="395C5245" w:rsidR="007B6955" w:rsidRPr="007B6955" w:rsidRDefault="00B10B2D" w:rsidP="007B6955">
      <w:pPr>
        <w:pStyle w:val="Heading1"/>
        <w:rPr>
          <w:rFonts w:asciiTheme="majorHAnsi" w:eastAsiaTheme="majorEastAsia" w:hAnsiTheme="majorHAnsi" w:cstheme="majorBidi"/>
          <w:color w:val="365F91" w:themeColor="accent1" w:themeShade="BF"/>
          <w:kern w:val="0"/>
          <w:sz w:val="28"/>
          <w:szCs w:val="28"/>
        </w:rPr>
      </w:pPr>
      <w:bookmarkStart w:id="8" w:name="_Toc450662665"/>
      <w:r w:rsidRPr="007B6955">
        <w:rPr>
          <w:rFonts w:asciiTheme="majorHAnsi" w:eastAsiaTheme="majorEastAsia" w:hAnsiTheme="majorHAnsi" w:cstheme="majorBidi"/>
          <w:color w:val="365F91" w:themeColor="accent1" w:themeShade="BF"/>
          <w:kern w:val="0"/>
          <w:sz w:val="28"/>
          <w:szCs w:val="28"/>
        </w:rPr>
        <w:t>Scope of testing</w:t>
      </w:r>
      <w:r w:rsidR="00630D0C">
        <w:rPr>
          <w:rFonts w:asciiTheme="majorHAnsi" w:eastAsiaTheme="majorEastAsia" w:hAnsiTheme="majorHAnsi" w:cstheme="majorBidi"/>
          <w:color w:val="365F91" w:themeColor="accent1" w:themeShade="BF"/>
          <w:kern w:val="0"/>
          <w:sz w:val="28"/>
          <w:szCs w:val="28"/>
        </w:rPr>
        <w:t xml:space="preserve"> and preconditions</w:t>
      </w:r>
      <w:bookmarkEnd w:id="8"/>
      <w:r w:rsidR="007B6955">
        <w:rPr>
          <w:rFonts w:asciiTheme="majorHAnsi" w:eastAsiaTheme="majorEastAsia" w:hAnsiTheme="majorHAnsi" w:cstheme="majorBidi"/>
          <w:color w:val="365F91" w:themeColor="accent1" w:themeShade="BF"/>
          <w:kern w:val="0"/>
          <w:sz w:val="28"/>
          <w:szCs w:val="28"/>
        </w:rPr>
        <w:br/>
      </w:r>
    </w:p>
    <w:p w14:paraId="31755E4A" w14:textId="60054914" w:rsidR="005B1C9D" w:rsidRDefault="005B1C9D" w:rsidP="006F4A2B">
      <w:r>
        <w:t xml:space="preserve">There are 17 requirements for TO17, which can be divided in </w:t>
      </w:r>
      <w:r w:rsidR="00B26AC0">
        <w:t xml:space="preserve">to </w:t>
      </w:r>
      <w:r>
        <w:t>2 categories:</w:t>
      </w:r>
    </w:p>
    <w:p w14:paraId="66E058E1" w14:textId="68DE98A5" w:rsidR="005B1C9D" w:rsidRDefault="005B1C9D" w:rsidP="006F4A2B">
      <w:pPr>
        <w:pStyle w:val="ListParagraph"/>
        <w:numPr>
          <w:ilvl w:val="0"/>
          <w:numId w:val="19"/>
        </w:numPr>
      </w:pPr>
      <w:r>
        <w:t>Requirements describing user interface and behavior of</w:t>
      </w:r>
      <w:r w:rsidR="00AF1560">
        <w:t xml:space="preserve"> the</w:t>
      </w:r>
      <w:r>
        <w:t xml:space="preserve"> </w:t>
      </w:r>
      <w:proofErr w:type="spellStart"/>
      <w:r>
        <w:t>TDSAdmin</w:t>
      </w:r>
      <w:proofErr w:type="spellEnd"/>
      <w:r>
        <w:t xml:space="preserve"> component</w:t>
      </w:r>
      <w:r w:rsidR="00855A10">
        <w:t xml:space="preserve"> </w:t>
      </w:r>
      <w:r w:rsidR="00855A10" w:rsidRPr="006F4A2B">
        <w:t>(1-</w:t>
      </w:r>
      <w:r w:rsidR="006E4542" w:rsidRPr="006F4A2B">
        <w:t>7</w:t>
      </w:r>
      <w:r w:rsidR="00E37BAB" w:rsidRPr="006F4A2B">
        <w:t>, 15-17)</w:t>
      </w:r>
    </w:p>
    <w:p w14:paraId="0DD4AB85" w14:textId="30C499AF" w:rsidR="00D940A9" w:rsidRDefault="005B1C9D" w:rsidP="00D940A9">
      <w:pPr>
        <w:pStyle w:val="ListParagraph"/>
        <w:numPr>
          <w:ilvl w:val="0"/>
          <w:numId w:val="19"/>
        </w:numPr>
      </w:pPr>
      <w:r>
        <w:t xml:space="preserve">Requirements describing </w:t>
      </w:r>
      <w:r w:rsidR="00AF1560">
        <w:t xml:space="preserve">the </w:t>
      </w:r>
      <w:r>
        <w:t>stored procedure</w:t>
      </w:r>
      <w:r w:rsidR="00AF4863">
        <w:t>s which</w:t>
      </w:r>
      <w:r w:rsidR="00AF1560">
        <w:t xml:space="preserve"> the</w:t>
      </w:r>
      <w:r w:rsidR="00AF4863">
        <w:t xml:space="preserve"> </w:t>
      </w:r>
      <w:proofErr w:type="spellStart"/>
      <w:r w:rsidR="00AF4863">
        <w:t>TDSAdmin</w:t>
      </w:r>
      <w:proofErr w:type="spellEnd"/>
      <w:r w:rsidR="00AF4863">
        <w:t xml:space="preserve"> component request</w:t>
      </w:r>
      <w:r w:rsidR="00AF1560">
        <w:t>s</w:t>
      </w:r>
      <w:r w:rsidR="00AF4863">
        <w:t xml:space="preserve"> to execute in Test Delivery System</w:t>
      </w:r>
      <w:r w:rsidR="00E37BAB">
        <w:t xml:space="preserve"> </w:t>
      </w:r>
      <w:r w:rsidR="00E37BAB" w:rsidRPr="006F4A2B">
        <w:t>(8-14)</w:t>
      </w:r>
    </w:p>
    <w:p w14:paraId="00299355" w14:textId="240C80D8" w:rsidR="00C67421" w:rsidRDefault="00C67421" w:rsidP="00252CBF">
      <w:pPr>
        <w:pStyle w:val="ListParagraph"/>
      </w:pPr>
    </w:p>
    <w:p w14:paraId="01489190" w14:textId="20B97A62" w:rsidR="00D940A9" w:rsidRDefault="00AF1560" w:rsidP="00B10B2D">
      <w:r>
        <w:t xml:space="preserve">The </w:t>
      </w:r>
      <w:proofErr w:type="spellStart"/>
      <w:r w:rsidR="00131BA9">
        <w:t>TDSAdmin</w:t>
      </w:r>
      <w:proofErr w:type="spellEnd"/>
      <w:r w:rsidR="00131BA9">
        <w:t xml:space="preserve"> interface and behavior is relatively simple and do</w:t>
      </w:r>
      <w:r w:rsidR="00583F9F">
        <w:t>es</w:t>
      </w:r>
      <w:r w:rsidR="00131BA9">
        <w:t xml:space="preserve">n’t require specific information and preconditions </w:t>
      </w:r>
      <w:r>
        <w:t xml:space="preserve">other </w:t>
      </w:r>
      <w:r w:rsidR="00131BA9">
        <w:t xml:space="preserve">than </w:t>
      </w:r>
      <w:r>
        <w:t xml:space="preserve">those </w:t>
      </w:r>
      <w:r w:rsidR="00131BA9">
        <w:t xml:space="preserve">already described in test cases. </w:t>
      </w:r>
    </w:p>
    <w:p w14:paraId="0E3C6C40" w14:textId="672CE2F0" w:rsidR="00482D53" w:rsidRDefault="00D940A9" w:rsidP="00B10B2D">
      <w:r>
        <w:t xml:space="preserve">Each stored procedure from section b) can be executed by </w:t>
      </w:r>
      <w:proofErr w:type="spellStart"/>
      <w:r>
        <w:t>TDSA</w:t>
      </w:r>
      <w:r w:rsidR="00153E28">
        <w:t>dmin</w:t>
      </w:r>
      <w:proofErr w:type="spellEnd"/>
      <w:r>
        <w:t xml:space="preserve"> user interface and by API request. There is one additional API request which is not executing a procedure but return</w:t>
      </w:r>
      <w:r w:rsidR="000E325B">
        <w:t>s</w:t>
      </w:r>
      <w:r>
        <w:t xml:space="preserve"> </w:t>
      </w:r>
      <w:r w:rsidR="00511904">
        <w:t>a</w:t>
      </w:r>
      <w:r w:rsidR="006044C6">
        <w:t xml:space="preserve"> </w:t>
      </w:r>
      <w:r>
        <w:t>list of search results. APIs provide access to a</w:t>
      </w:r>
      <w:r w:rsidR="00317669">
        <w:t xml:space="preserve">lmost all </w:t>
      </w:r>
      <w:r w:rsidR="00804BEF">
        <w:t xml:space="preserve">functionality </w:t>
      </w:r>
      <w:r w:rsidR="006044C6">
        <w:t>available in the</w:t>
      </w:r>
      <w:r w:rsidR="00317669">
        <w:t xml:space="preserve"> UI. That’s why in general APIs will use same parameters for procedure execution. For </w:t>
      </w:r>
      <w:r w:rsidR="0048609D">
        <w:t>example,</w:t>
      </w:r>
      <w:r w:rsidR="00317669">
        <w:t xml:space="preserve"> if in UI to execute “Extend Grace Period”</w:t>
      </w:r>
      <w:r w:rsidR="006044C6">
        <w:t>, the</w:t>
      </w:r>
      <w:r w:rsidR="00317669">
        <w:t xml:space="preserve"> user ha</w:t>
      </w:r>
      <w:r w:rsidR="006044C6">
        <w:t>s</w:t>
      </w:r>
      <w:r w:rsidR="00317669">
        <w:t xml:space="preserve"> to specify “selected sitting”</w:t>
      </w:r>
      <w:r w:rsidR="006044C6">
        <w:t>,</w:t>
      </w:r>
      <w:r w:rsidR="00317669">
        <w:t xml:space="preserve"> then </w:t>
      </w:r>
      <w:r w:rsidR="006044C6">
        <w:t xml:space="preserve">the </w:t>
      </w:r>
      <w:r w:rsidR="00317669">
        <w:t>same parameter ha</w:t>
      </w:r>
      <w:r w:rsidR="006044C6">
        <w:t>s</w:t>
      </w:r>
      <w:r w:rsidR="00317669">
        <w:t xml:space="preserve"> to be specified in UI. </w:t>
      </w:r>
      <w:r w:rsidR="00153E28">
        <w:t>However</w:t>
      </w:r>
      <w:r w:rsidR="00317669">
        <w:t xml:space="preserve"> there are 2 fundamental differences</w:t>
      </w:r>
      <w:r w:rsidR="00153E28">
        <w:t xml:space="preserve"> between UI and API use</w:t>
      </w:r>
      <w:r w:rsidR="00317669">
        <w:t xml:space="preserve">: </w:t>
      </w:r>
    </w:p>
    <w:p w14:paraId="0A262A98" w14:textId="62ABDB9C" w:rsidR="00D940A9" w:rsidRDefault="000B2EE7" w:rsidP="00482D53">
      <w:pPr>
        <w:pStyle w:val="ListParagraph"/>
        <w:numPr>
          <w:ilvl w:val="0"/>
          <w:numId w:val="20"/>
        </w:numPr>
      </w:pPr>
      <w:r>
        <w:t xml:space="preserve">In the UI, the user selects from the available opportunities returned by the search. </w:t>
      </w:r>
      <w:r w:rsidR="004E34C1" w:rsidRPr="004E34C1">
        <w:t xml:space="preserve">In the API request, </w:t>
      </w:r>
      <w:r w:rsidR="004E34C1">
        <w:t>the</w:t>
      </w:r>
      <w:r w:rsidR="004E34C1" w:rsidRPr="004E34C1">
        <w:t xml:space="preserve"> </w:t>
      </w:r>
      <w:proofErr w:type="spellStart"/>
      <w:r w:rsidR="004E34C1" w:rsidRPr="004E34C1">
        <w:t>oppKey</w:t>
      </w:r>
      <w:proofErr w:type="spellEnd"/>
      <w:r w:rsidR="004E34C1" w:rsidRPr="004E34C1">
        <w:t xml:space="preserve"> used to identify </w:t>
      </w:r>
      <w:r w:rsidR="004E34C1">
        <w:t xml:space="preserve">an </w:t>
      </w:r>
      <w:r w:rsidR="004E34C1" w:rsidRPr="004E34C1">
        <w:t>opportunity for execution is an internal representation of the opportunity identifier available in the U</w:t>
      </w:r>
      <w:r w:rsidR="004E34C1">
        <w:t>I</w:t>
      </w:r>
      <w:r>
        <w:t>.</w:t>
      </w:r>
    </w:p>
    <w:p w14:paraId="3CF77B5F" w14:textId="169BC8E7" w:rsidR="00711BA9" w:rsidRDefault="00482D53" w:rsidP="00711BA9">
      <w:pPr>
        <w:pStyle w:val="ListParagraph"/>
        <w:numPr>
          <w:ilvl w:val="0"/>
          <w:numId w:val="20"/>
        </w:numPr>
      </w:pPr>
      <w:r>
        <w:t xml:space="preserve">There are parameters which some APIs require </w:t>
      </w:r>
      <w:r w:rsidR="00711BA9">
        <w:t>as user input but UI do</w:t>
      </w:r>
      <w:r w:rsidR="000B2EE7">
        <w:t>es no</w:t>
      </w:r>
      <w:r w:rsidR="00711BA9">
        <w:t>t. For example “Set Opportunity Permeability” requires user to input segment ID and</w:t>
      </w:r>
      <w:bookmarkStart w:id="9" w:name="_GoBack"/>
      <w:bookmarkEnd w:id="9"/>
      <w:r w:rsidR="00711BA9">
        <w:t xml:space="preserve"> segment position. UI on the other hand ask</w:t>
      </w:r>
      <w:r w:rsidR="000B2EE7">
        <w:t>s</w:t>
      </w:r>
      <w:r w:rsidR="00711BA9">
        <w:t xml:space="preserve"> for only segment position and extract</w:t>
      </w:r>
      <w:r w:rsidR="000B2EE7">
        <w:t>s</w:t>
      </w:r>
      <w:r w:rsidR="00711BA9">
        <w:t xml:space="preserve"> segment ID </w:t>
      </w:r>
      <w:r w:rsidR="000B2EE7">
        <w:t>on its own</w:t>
      </w:r>
      <w:r w:rsidR="00711BA9">
        <w:t xml:space="preserve">. Since APIs are </w:t>
      </w:r>
      <w:r w:rsidR="00711BA9">
        <w:lastRenderedPageBreak/>
        <w:t xml:space="preserve">supposed to be used in component to component communications, having extra parameters to input </w:t>
      </w:r>
      <w:r w:rsidR="00153E28">
        <w:t>is not considered as an issue.</w:t>
      </w:r>
    </w:p>
    <w:p w14:paraId="2C75F1EA" w14:textId="77777777" w:rsidR="00711BA9" w:rsidRDefault="00711BA9" w:rsidP="00711BA9">
      <w:pPr>
        <w:ind w:left="360"/>
      </w:pPr>
    </w:p>
    <w:p w14:paraId="33239478" w14:textId="7E2793E4" w:rsidR="00E37BAB" w:rsidRDefault="00131BA9" w:rsidP="00B10B2D">
      <w:r>
        <w:t xml:space="preserve">Stored procedures have several restrictions </w:t>
      </w:r>
      <w:r w:rsidR="000B2EE7">
        <w:t xml:space="preserve">as </w:t>
      </w:r>
      <w:r>
        <w:t xml:space="preserve">to which type of opportunities they can be applied as well as rules for </w:t>
      </w:r>
      <w:r w:rsidR="00AF1560">
        <w:t xml:space="preserve">procedure </w:t>
      </w:r>
      <w:r>
        <w:t>parameters.</w:t>
      </w:r>
      <w:r w:rsidR="00E37BAB">
        <w:t xml:space="preserve"> </w:t>
      </w:r>
      <w:r w:rsidR="00AF1560">
        <w:t xml:space="preserve">The </w:t>
      </w:r>
      <w:r w:rsidR="00E37BAB">
        <w:t>QA team should verify that</w:t>
      </w:r>
      <w:r w:rsidR="00AF1560">
        <w:t xml:space="preserve"> the</w:t>
      </w:r>
      <w:r w:rsidR="00E37BAB">
        <w:t xml:space="preserve"> application do</w:t>
      </w:r>
      <w:r w:rsidR="00AF1560">
        <w:t>es</w:t>
      </w:r>
      <w:r w:rsidR="00E37BAB">
        <w:t>n’t allow users to break these rules and restrictions.</w:t>
      </w:r>
      <w:r w:rsidR="00A94D7F">
        <w:t xml:space="preserve"> Rules are specific </w:t>
      </w:r>
      <w:r w:rsidR="00AF1560">
        <w:t>to each</w:t>
      </w:r>
      <w:r w:rsidR="00A94D7F">
        <w:t xml:space="preserve"> procedure and </w:t>
      </w:r>
      <w:r w:rsidR="00AF1560">
        <w:t>are</w:t>
      </w:r>
      <w:r w:rsidR="00A94D7F">
        <w:t xml:space="preserve"> described in </w:t>
      </w:r>
      <w:r w:rsidR="009A6F4D">
        <w:t xml:space="preserve">designated </w:t>
      </w:r>
      <w:r w:rsidR="00A94D7F">
        <w:t>test cases.</w:t>
      </w:r>
      <w:r w:rsidR="00630D0C">
        <w:t xml:space="preserve"> </w:t>
      </w:r>
      <w:r w:rsidR="00AF1560">
        <w:t xml:space="preserve">Additionally, </w:t>
      </w:r>
      <w:r w:rsidR="00630D0C">
        <w:t>test cases will provide information about which test opportunities QA team should create in advance to test various scenarios for specific stored procedures.</w:t>
      </w:r>
      <w:r w:rsidR="00D940A9">
        <w:t xml:space="preserve"> </w:t>
      </w:r>
      <w:r w:rsidR="00804BEF">
        <w:t>UI of TDSA by itself protect</w:t>
      </w:r>
      <w:r w:rsidR="00DF30D0">
        <w:t>s the</w:t>
      </w:r>
      <w:r w:rsidR="00804BEF">
        <w:t xml:space="preserve"> user from many mistakes, for example not allowing to input “selected sitting” outside of allowed range. But there are many rules that can be verified only before procedure execution, in that case application will return status of execution as fail </w:t>
      </w:r>
      <w:r w:rsidR="00153E28">
        <w:t xml:space="preserve">if rule is violated </w:t>
      </w:r>
      <w:r w:rsidR="00804BEF">
        <w:t xml:space="preserve">and provide information about </w:t>
      </w:r>
      <w:r w:rsidR="00153E28">
        <w:t>what is violated</w:t>
      </w:r>
      <w:r w:rsidR="00804BEF">
        <w:t xml:space="preserve">. For APIs there is no way to prevent input of wrong data prior procedure execution, and when for many mistakes APIs will return proper error explanation, there are cases which are not covered and API will return </w:t>
      </w:r>
      <w:r w:rsidR="000450A1">
        <w:t xml:space="preserve">generic </w:t>
      </w:r>
      <w:r w:rsidR="00804BEF">
        <w:t xml:space="preserve">400 </w:t>
      </w:r>
      <w:r w:rsidR="000450A1">
        <w:rPr>
          <w:rStyle w:val="messagebody"/>
        </w:rPr>
        <w:t>syntactic</w:t>
      </w:r>
      <w:r w:rsidR="000450A1">
        <w:t xml:space="preserve"> </w:t>
      </w:r>
      <w:proofErr w:type="gramStart"/>
      <w:r w:rsidR="000450A1">
        <w:t>error</w:t>
      </w:r>
      <w:proofErr w:type="gramEnd"/>
      <w:r w:rsidR="00690E86">
        <w:t xml:space="preserve">. </w:t>
      </w:r>
      <w:r w:rsidR="00DF30D0">
        <w:t>Additionally, the</w:t>
      </w:r>
      <w:r w:rsidR="00690E86">
        <w:t xml:space="preserve"> UI do</w:t>
      </w:r>
      <w:r w:rsidR="00DF30D0">
        <w:t xml:space="preserve">esn’t allow </w:t>
      </w:r>
      <w:r w:rsidR="00690E86">
        <w:t>select</w:t>
      </w:r>
      <w:r w:rsidR="00DF30D0">
        <w:t>ing</w:t>
      </w:r>
      <w:r w:rsidR="00690E86">
        <w:t xml:space="preserve"> and </w:t>
      </w:r>
      <w:r w:rsidR="00DF30D0">
        <w:rPr>
          <w:rStyle w:val="gt-baf-word-clickable"/>
        </w:rPr>
        <w:t>thus executing a</w:t>
      </w:r>
      <w:r w:rsidR="00690E86">
        <w:rPr>
          <w:rStyle w:val="gt-baf-word-clickable"/>
        </w:rPr>
        <w:t xml:space="preserve"> procedure for </w:t>
      </w:r>
      <w:r w:rsidR="00DF30D0">
        <w:rPr>
          <w:rStyle w:val="gt-baf-word-clickable"/>
        </w:rPr>
        <w:t xml:space="preserve">an </w:t>
      </w:r>
      <w:r w:rsidR="00690E86">
        <w:rPr>
          <w:rStyle w:val="gt-baf-word-clickable"/>
        </w:rPr>
        <w:t>opportunity which is not in proper st</w:t>
      </w:r>
      <w:r w:rsidR="00DF30D0">
        <w:rPr>
          <w:rStyle w:val="gt-baf-word-clickable"/>
        </w:rPr>
        <w:t>atus;</w:t>
      </w:r>
      <w:r w:rsidR="00690E86">
        <w:rPr>
          <w:rStyle w:val="gt-baf-word-clickable"/>
        </w:rPr>
        <w:t xml:space="preserve"> for </w:t>
      </w:r>
      <w:r w:rsidR="00B16506">
        <w:rPr>
          <w:rStyle w:val="gt-baf-word-clickable"/>
        </w:rPr>
        <w:t>instance,</w:t>
      </w:r>
      <w:r w:rsidR="00690E86">
        <w:rPr>
          <w:rStyle w:val="gt-baf-word-clickable"/>
        </w:rPr>
        <w:t xml:space="preserve"> </w:t>
      </w:r>
      <w:r w:rsidR="00690E86" w:rsidRPr="0011443B">
        <w:rPr>
          <w:rStyle w:val="gt-baf-word-clickable"/>
          <w:i/>
        </w:rPr>
        <w:t>reset</w:t>
      </w:r>
      <w:r w:rsidR="00690E86">
        <w:rPr>
          <w:rStyle w:val="gt-baf-word-clickable"/>
        </w:rPr>
        <w:t xml:space="preserve"> cannot be </w:t>
      </w:r>
      <w:r w:rsidR="00DF30D0">
        <w:rPr>
          <w:rStyle w:val="gt-baf-word-clickable"/>
        </w:rPr>
        <w:t>performed on</w:t>
      </w:r>
      <w:r w:rsidR="00690E86">
        <w:rPr>
          <w:rStyle w:val="gt-baf-word-clickable"/>
        </w:rPr>
        <w:t xml:space="preserve"> paused opportunities. </w:t>
      </w:r>
      <w:r w:rsidR="00DF30D0">
        <w:rPr>
          <w:rStyle w:val="gt-baf-word-clickable"/>
        </w:rPr>
        <w:t xml:space="preserve">The </w:t>
      </w:r>
      <w:r w:rsidR="00690E86">
        <w:rPr>
          <w:rStyle w:val="gt-baf-word-clickable"/>
        </w:rPr>
        <w:t>API do</w:t>
      </w:r>
      <w:r w:rsidR="00DF30D0">
        <w:rPr>
          <w:rStyle w:val="gt-baf-word-clickable"/>
        </w:rPr>
        <w:t>es</w:t>
      </w:r>
      <w:r w:rsidR="00690E86">
        <w:rPr>
          <w:rStyle w:val="gt-baf-word-clickable"/>
        </w:rPr>
        <w:t xml:space="preserve">n’t check this, so it is </w:t>
      </w:r>
      <w:r w:rsidR="00DF30D0">
        <w:rPr>
          <w:rStyle w:val="gt-baf-word-clickable"/>
        </w:rPr>
        <w:t xml:space="preserve">the </w:t>
      </w:r>
      <w:r w:rsidR="00690E86">
        <w:rPr>
          <w:rStyle w:val="gt-baf-word-clickable"/>
        </w:rPr>
        <w:t>API caller</w:t>
      </w:r>
      <w:r w:rsidR="00DF30D0">
        <w:rPr>
          <w:rStyle w:val="gt-baf-word-clickable"/>
        </w:rPr>
        <w:t>'s</w:t>
      </w:r>
      <w:r w:rsidR="00690E86">
        <w:rPr>
          <w:rStyle w:val="gt-baf-word-clickable"/>
        </w:rPr>
        <w:t xml:space="preserve"> responsibility to verify in advance that selected procedure for specific opportunity is appropriate. Testing of results for running procedures with wrong opportunities is out of scope.</w:t>
      </w:r>
    </w:p>
    <w:p w14:paraId="067A1EE3" w14:textId="0C9144C5" w:rsidR="001C40CB" w:rsidRDefault="00131BA9" w:rsidP="00E96244">
      <w:r>
        <w:t xml:space="preserve">All procedures modify database information for opportunities, which in general will change TDS Student application behavior. </w:t>
      </w:r>
      <w:r w:rsidR="00C61C73">
        <w:t xml:space="preserve">These stored procedures </w:t>
      </w:r>
      <w:r w:rsidR="00583F9F">
        <w:t>were</w:t>
      </w:r>
      <w:r w:rsidR="00C61C73">
        <w:t xml:space="preserve"> developed </w:t>
      </w:r>
      <w:r w:rsidR="00583F9F">
        <w:t>prior to the TDS Admin application</w:t>
      </w:r>
      <w:r w:rsidR="00C61C73">
        <w:t>. TDS</w:t>
      </w:r>
      <w:r w:rsidR="00583F9F">
        <w:t xml:space="preserve"> </w:t>
      </w:r>
      <w:r w:rsidR="00C61C73">
        <w:t xml:space="preserve">Admin is a </w:t>
      </w:r>
      <w:r w:rsidR="00583F9F">
        <w:t>user interface</w:t>
      </w:r>
      <w:r w:rsidR="00C61C73">
        <w:t xml:space="preserve"> </w:t>
      </w:r>
      <w:r w:rsidR="000450A1">
        <w:t xml:space="preserve">and API handler </w:t>
      </w:r>
      <w:r w:rsidR="00C61C73">
        <w:t>which allow</w:t>
      </w:r>
      <w:r w:rsidR="00583F9F">
        <w:t>s</w:t>
      </w:r>
      <w:r w:rsidR="00C61C73">
        <w:t xml:space="preserve"> administrators </w:t>
      </w:r>
      <w:r w:rsidR="000058FF">
        <w:t xml:space="preserve">and components </w:t>
      </w:r>
      <w:r w:rsidR="00C61C73">
        <w:t>to execute the</w:t>
      </w:r>
      <w:r w:rsidR="00583F9F">
        <w:t>se procedures</w:t>
      </w:r>
      <w:r w:rsidR="00C61C73">
        <w:t xml:space="preserve"> without logging </w:t>
      </w:r>
      <w:r w:rsidR="00583F9F">
        <w:t>directly in</w:t>
      </w:r>
      <w:r w:rsidR="00C61C73">
        <w:t xml:space="preserve">to </w:t>
      </w:r>
      <w:r w:rsidR="00583F9F">
        <w:t xml:space="preserve">the </w:t>
      </w:r>
      <w:r w:rsidR="00C61C73">
        <w:t>database. Because of that</w:t>
      </w:r>
      <w:r w:rsidR="00583F9F">
        <w:t>,</w:t>
      </w:r>
      <w:r w:rsidR="00C61C73">
        <w:t xml:space="preserve"> </w:t>
      </w:r>
      <w:r w:rsidR="00583F9F">
        <w:t xml:space="preserve">the </w:t>
      </w:r>
      <w:r w:rsidR="00C61C73">
        <w:t>QA team can make an assumption that</w:t>
      </w:r>
      <w:r w:rsidR="00583F9F">
        <w:t xml:space="preserve"> the</w:t>
      </w:r>
      <w:r w:rsidR="00C61C73">
        <w:t xml:space="preserve"> stored procedures are working as expected and </w:t>
      </w:r>
      <w:r w:rsidR="00583F9F">
        <w:t xml:space="preserve">the </w:t>
      </w:r>
      <w:r w:rsidR="00C61C73">
        <w:t xml:space="preserve">main focus of testing should be to verify not only </w:t>
      </w:r>
      <w:r w:rsidR="009A6F4D">
        <w:t xml:space="preserve">that </w:t>
      </w:r>
      <w:r w:rsidR="00583F9F">
        <w:t xml:space="preserve">the </w:t>
      </w:r>
      <w:r w:rsidR="00C61C73">
        <w:t xml:space="preserve">UI </w:t>
      </w:r>
      <w:r w:rsidR="000058FF">
        <w:t xml:space="preserve">or API execution results </w:t>
      </w:r>
      <w:r w:rsidR="00C61C73">
        <w:t>show</w:t>
      </w:r>
      <w:r w:rsidR="00583F9F">
        <w:t>s</w:t>
      </w:r>
      <w:r w:rsidR="00C61C73">
        <w:t xml:space="preserve"> conf</w:t>
      </w:r>
      <w:r w:rsidR="00583F9F">
        <w:t>i</w:t>
      </w:r>
      <w:r w:rsidR="00C61C73">
        <w:t>rmation of</w:t>
      </w:r>
      <w:r w:rsidR="00583F9F">
        <w:t xml:space="preserve"> a</w:t>
      </w:r>
      <w:r w:rsidR="00C61C73">
        <w:t xml:space="preserve"> procedure</w:t>
      </w:r>
      <w:r w:rsidR="00583F9F">
        <w:t>'s</w:t>
      </w:r>
      <w:r w:rsidR="00C61C73">
        <w:t xml:space="preserve"> </w:t>
      </w:r>
      <w:r w:rsidR="009A6F4D">
        <w:t xml:space="preserve">successful </w:t>
      </w:r>
      <w:r w:rsidR="00C61C73">
        <w:t>completion</w:t>
      </w:r>
      <w:r w:rsidR="00583F9F">
        <w:t>,</w:t>
      </w:r>
      <w:r w:rsidR="00C61C73">
        <w:t xml:space="preserve"> but also that</w:t>
      </w:r>
      <w:r w:rsidR="00583F9F">
        <w:t xml:space="preserve"> the</w:t>
      </w:r>
      <w:r w:rsidR="00C61C73">
        <w:t xml:space="preserve"> procedure was executed. </w:t>
      </w:r>
      <w:r w:rsidR="00BD078F">
        <w:t xml:space="preserve">It is </w:t>
      </w:r>
      <w:r w:rsidR="00E37BAB">
        <w:t>unnecessary</w:t>
      </w:r>
      <w:r w:rsidR="00BD078F">
        <w:t xml:space="preserve"> to verify each change made by procedure to check that it was applied, so testing scope is limited to verifying parameters from “</w:t>
      </w:r>
      <w:proofErr w:type="spellStart"/>
      <w:r w:rsidR="00BD078F" w:rsidRPr="00BD078F">
        <w:t>session.testopportunity</w:t>
      </w:r>
      <w:proofErr w:type="spellEnd"/>
      <w:r w:rsidR="00BD078F">
        <w:t xml:space="preserve">” table </w:t>
      </w:r>
      <w:r w:rsidR="009A6F4D">
        <w:t xml:space="preserve">in TDS DB </w:t>
      </w:r>
      <w:r w:rsidR="00BD078F">
        <w:t>and also verifying changes for proctor and student</w:t>
      </w:r>
      <w:r w:rsidR="009A6F4D">
        <w:t xml:space="preserve"> UI</w:t>
      </w:r>
      <w:r w:rsidR="00BD078F">
        <w:t xml:space="preserve"> where applicable.</w:t>
      </w:r>
      <w:r w:rsidR="00E37BAB">
        <w:t xml:space="preserve"> </w:t>
      </w:r>
    </w:p>
    <w:p w14:paraId="10C39E06" w14:textId="4F619806" w:rsidR="008D35C9" w:rsidRDefault="008D35C9" w:rsidP="00E96244">
      <w:r>
        <w:t xml:space="preserve">Depending on test environment and configuration testing may require modifying opportunities directly in database to make them suitable for procedure execution. For instance several opportunities with expired status are required for testing. QA team can configure some tests to have very small expiration period, but it cannot be smaller than 1 day, so testers will have to wait for </w:t>
      </w:r>
      <w:r w:rsidR="000058FF">
        <w:t>24 hours</w:t>
      </w:r>
      <w:r>
        <w:t xml:space="preserve"> to get expired opportunities. </w:t>
      </w:r>
      <w:r w:rsidR="00F60D8D">
        <w:t xml:space="preserve">Other option is to execute specific query in DB which will make opportunity expired, but in that case QA should be careful and update several other fields which in normal workflow will be updated by </w:t>
      </w:r>
      <w:r w:rsidR="000058FF">
        <w:t>system</w:t>
      </w:r>
      <w:r w:rsidR="00F60D8D">
        <w:t>. Also if test environment do</w:t>
      </w:r>
      <w:r w:rsidR="00B96C62">
        <w:t>es</w:t>
      </w:r>
      <w:r w:rsidR="00F60D8D">
        <w:t xml:space="preserve"> not have </w:t>
      </w:r>
      <w:r w:rsidR="00B96C62">
        <w:t>downstream</w:t>
      </w:r>
      <w:r w:rsidR="00B96C62">
        <w:t xml:space="preserve"> </w:t>
      </w:r>
      <w:r w:rsidR="00F60D8D">
        <w:t>components running</w:t>
      </w:r>
      <w:r w:rsidR="00B96C62">
        <w:t>,</w:t>
      </w:r>
      <w:r w:rsidR="00F60D8D">
        <w:t xml:space="preserve"> getting some </w:t>
      </w:r>
      <w:r w:rsidR="00B96C62">
        <w:t xml:space="preserve">cases </w:t>
      </w:r>
      <w:r w:rsidR="00F60D8D">
        <w:t>required for testing opportunities</w:t>
      </w:r>
      <w:r w:rsidR="000058FF">
        <w:t xml:space="preserve"> </w:t>
      </w:r>
      <w:r w:rsidR="00F60D8D">
        <w:t xml:space="preserve">will not be possible without </w:t>
      </w:r>
      <w:r w:rsidR="00B96C62">
        <w:t xml:space="preserve">direct </w:t>
      </w:r>
      <w:r w:rsidR="00F60D8D">
        <w:t>DB data modifications.</w:t>
      </w:r>
    </w:p>
    <w:sectPr w:rsidR="008D35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188CE" w14:textId="77777777" w:rsidR="00D472D4" w:rsidRDefault="00D472D4" w:rsidP="007B6955">
      <w:pPr>
        <w:spacing w:after="0" w:line="240" w:lineRule="auto"/>
      </w:pPr>
      <w:r>
        <w:separator/>
      </w:r>
    </w:p>
  </w:endnote>
  <w:endnote w:type="continuationSeparator" w:id="0">
    <w:p w14:paraId="171BEA6C" w14:textId="77777777" w:rsidR="00D472D4" w:rsidRDefault="00D472D4" w:rsidP="007B6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473250"/>
      <w:docPartObj>
        <w:docPartGallery w:val="Page Numbers (Bottom of Page)"/>
        <w:docPartUnique/>
      </w:docPartObj>
    </w:sdtPr>
    <w:sdtEndPr>
      <w:rPr>
        <w:noProof/>
      </w:rPr>
    </w:sdtEndPr>
    <w:sdtContent>
      <w:p w14:paraId="13F9D8C9" w14:textId="77777777" w:rsidR="001B62CD" w:rsidRDefault="001B62CD" w:rsidP="007B6955">
        <w:pPr>
          <w:pStyle w:val="Footer"/>
          <w:pBdr>
            <w:top w:val="single" w:sz="4" w:space="1" w:color="auto"/>
          </w:pBdr>
          <w:jc w:val="center"/>
        </w:pPr>
        <w:r>
          <w:fldChar w:fldCharType="begin"/>
        </w:r>
        <w:r>
          <w:instrText xml:space="preserve"> PAGE   \* MERGEFORMAT </w:instrText>
        </w:r>
        <w:r>
          <w:fldChar w:fldCharType="separate"/>
        </w:r>
        <w:r w:rsidR="004E34C1">
          <w:rPr>
            <w:noProof/>
          </w:rPr>
          <w:t>3</w:t>
        </w:r>
        <w:r>
          <w:rPr>
            <w:noProof/>
          </w:rPr>
          <w:fldChar w:fldCharType="end"/>
        </w:r>
      </w:p>
    </w:sdtContent>
  </w:sdt>
  <w:p w14:paraId="72FE4E2A" w14:textId="77777777" w:rsidR="001B62CD" w:rsidRDefault="001B62CD">
    <w:pPr>
      <w:pStyle w:val="Footer"/>
    </w:pPr>
  </w:p>
  <w:p w14:paraId="21099579" w14:textId="77777777" w:rsidR="001B62CD" w:rsidRDefault="001B62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C42B3" w14:textId="77777777" w:rsidR="00D472D4" w:rsidRDefault="00D472D4" w:rsidP="007B6955">
      <w:pPr>
        <w:spacing w:after="0" w:line="240" w:lineRule="auto"/>
      </w:pPr>
      <w:r>
        <w:separator/>
      </w:r>
    </w:p>
  </w:footnote>
  <w:footnote w:type="continuationSeparator" w:id="0">
    <w:p w14:paraId="2E9730AB" w14:textId="77777777" w:rsidR="00D472D4" w:rsidRDefault="00D472D4" w:rsidP="007B69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59720" w14:textId="3D5A5C6C" w:rsidR="001B62CD" w:rsidRDefault="001B62CD" w:rsidP="00122806">
    <w:pPr>
      <w:pStyle w:val="Header"/>
      <w:pBdr>
        <w:bottom w:val="single" w:sz="4" w:space="18" w:color="auto"/>
      </w:pBdr>
      <w:jc w:val="center"/>
    </w:pPr>
    <w:r>
      <w:t>Smarter Balanced Test Delivery System – Task Order 15 Test plan</w:t>
    </w:r>
  </w:p>
  <w:p w14:paraId="2B53876F" w14:textId="77777777" w:rsidR="001B62CD" w:rsidRDefault="001B62CD">
    <w:pPr>
      <w:pStyle w:val="Header"/>
    </w:pPr>
  </w:p>
  <w:p w14:paraId="3E7F7AE0" w14:textId="77777777" w:rsidR="001B62CD" w:rsidRDefault="001B62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711B8"/>
    <w:multiLevelType w:val="hybridMultilevel"/>
    <w:tmpl w:val="D8E2F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10C98"/>
    <w:multiLevelType w:val="hybridMultilevel"/>
    <w:tmpl w:val="84D66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24865"/>
    <w:multiLevelType w:val="hybridMultilevel"/>
    <w:tmpl w:val="70D89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B0469"/>
    <w:multiLevelType w:val="multilevel"/>
    <w:tmpl w:val="9D7885D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
    <w:nsid w:val="2A622267"/>
    <w:multiLevelType w:val="hybridMultilevel"/>
    <w:tmpl w:val="448070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4C385C"/>
    <w:multiLevelType w:val="multilevel"/>
    <w:tmpl w:val="86BC68E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47D6306"/>
    <w:multiLevelType w:val="multilevel"/>
    <w:tmpl w:val="6CDCA0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8A374AE"/>
    <w:multiLevelType w:val="hybridMultilevel"/>
    <w:tmpl w:val="448070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F6BE1"/>
    <w:multiLevelType w:val="hybridMultilevel"/>
    <w:tmpl w:val="91F2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FD1E36"/>
    <w:multiLevelType w:val="hybridMultilevel"/>
    <w:tmpl w:val="9C9EE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6D135E"/>
    <w:multiLevelType w:val="hybridMultilevel"/>
    <w:tmpl w:val="7B5C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6E1B87"/>
    <w:multiLevelType w:val="multilevel"/>
    <w:tmpl w:val="9DF8D9A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330F7"/>
    <w:multiLevelType w:val="hybridMultilevel"/>
    <w:tmpl w:val="2460045C"/>
    <w:lvl w:ilvl="0" w:tplc="BEFC753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720FB6"/>
    <w:multiLevelType w:val="hybridMultilevel"/>
    <w:tmpl w:val="533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C620D4"/>
    <w:multiLevelType w:val="hybridMultilevel"/>
    <w:tmpl w:val="A902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3"/>
  </w:num>
  <w:num w:numId="5">
    <w:abstractNumId w:val="11"/>
  </w:num>
  <w:num w:numId="6">
    <w:abstractNumId w:val="5"/>
  </w:num>
  <w:num w:numId="7">
    <w:abstractNumId w:val="5"/>
  </w:num>
  <w:num w:numId="8">
    <w:abstractNumId w:val="5"/>
  </w:num>
  <w:num w:numId="9">
    <w:abstractNumId w:val="5"/>
  </w:num>
  <w:num w:numId="10">
    <w:abstractNumId w:val="9"/>
  </w:num>
  <w:num w:numId="11">
    <w:abstractNumId w:val="1"/>
  </w:num>
  <w:num w:numId="12">
    <w:abstractNumId w:val="15"/>
  </w:num>
  <w:num w:numId="13">
    <w:abstractNumId w:val="8"/>
  </w:num>
  <w:num w:numId="14">
    <w:abstractNumId w:val="13"/>
  </w:num>
  <w:num w:numId="15">
    <w:abstractNumId w:val="5"/>
  </w:num>
  <w:num w:numId="16">
    <w:abstractNumId w:val="12"/>
  </w:num>
  <w:num w:numId="17">
    <w:abstractNumId w:val="14"/>
  </w:num>
  <w:num w:numId="18">
    <w:abstractNumId w:val="10"/>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BBA"/>
    <w:rsid w:val="000058FF"/>
    <w:rsid w:val="00007D2A"/>
    <w:rsid w:val="00042956"/>
    <w:rsid w:val="000450A1"/>
    <w:rsid w:val="00047F73"/>
    <w:rsid w:val="000527B4"/>
    <w:rsid w:val="00064BFB"/>
    <w:rsid w:val="000666E1"/>
    <w:rsid w:val="0008030B"/>
    <w:rsid w:val="00083EA0"/>
    <w:rsid w:val="000B2EE7"/>
    <w:rsid w:val="000B7516"/>
    <w:rsid w:val="000D3AF2"/>
    <w:rsid w:val="000E325B"/>
    <w:rsid w:val="000E4D75"/>
    <w:rsid w:val="0011443B"/>
    <w:rsid w:val="00122806"/>
    <w:rsid w:val="001313EB"/>
    <w:rsid w:val="00131BA9"/>
    <w:rsid w:val="00143695"/>
    <w:rsid w:val="00153E28"/>
    <w:rsid w:val="001770C0"/>
    <w:rsid w:val="001A7E93"/>
    <w:rsid w:val="001B62CD"/>
    <w:rsid w:val="001C40CB"/>
    <w:rsid w:val="001F5ACE"/>
    <w:rsid w:val="00200C82"/>
    <w:rsid w:val="00202359"/>
    <w:rsid w:val="00202424"/>
    <w:rsid w:val="00213069"/>
    <w:rsid w:val="002255F2"/>
    <w:rsid w:val="00252CBF"/>
    <w:rsid w:val="00257D35"/>
    <w:rsid w:val="00281AB6"/>
    <w:rsid w:val="002B56D0"/>
    <w:rsid w:val="002B64F4"/>
    <w:rsid w:val="002C081B"/>
    <w:rsid w:val="002D1ECA"/>
    <w:rsid w:val="00317669"/>
    <w:rsid w:val="00327242"/>
    <w:rsid w:val="00344352"/>
    <w:rsid w:val="00370D1A"/>
    <w:rsid w:val="00370E67"/>
    <w:rsid w:val="00372C22"/>
    <w:rsid w:val="0038594D"/>
    <w:rsid w:val="00394C87"/>
    <w:rsid w:val="003A6BAC"/>
    <w:rsid w:val="003A6CFE"/>
    <w:rsid w:val="003B42BC"/>
    <w:rsid w:val="003B5B01"/>
    <w:rsid w:val="003C147C"/>
    <w:rsid w:val="003C4F30"/>
    <w:rsid w:val="003D3EC1"/>
    <w:rsid w:val="003E303E"/>
    <w:rsid w:val="003E557A"/>
    <w:rsid w:val="003E6A78"/>
    <w:rsid w:val="003F1673"/>
    <w:rsid w:val="004045B8"/>
    <w:rsid w:val="00425069"/>
    <w:rsid w:val="004657CE"/>
    <w:rsid w:val="004668C0"/>
    <w:rsid w:val="00482D53"/>
    <w:rsid w:val="0048609D"/>
    <w:rsid w:val="004C33C7"/>
    <w:rsid w:val="004E25C9"/>
    <w:rsid w:val="004E34C1"/>
    <w:rsid w:val="004E7B11"/>
    <w:rsid w:val="00511904"/>
    <w:rsid w:val="00525A39"/>
    <w:rsid w:val="005326C1"/>
    <w:rsid w:val="00540E68"/>
    <w:rsid w:val="00550CB1"/>
    <w:rsid w:val="005832D9"/>
    <w:rsid w:val="00583F9F"/>
    <w:rsid w:val="0058456D"/>
    <w:rsid w:val="00587C6A"/>
    <w:rsid w:val="005936AB"/>
    <w:rsid w:val="005B1C9D"/>
    <w:rsid w:val="005D09B9"/>
    <w:rsid w:val="005F5005"/>
    <w:rsid w:val="006044C6"/>
    <w:rsid w:val="00630D0C"/>
    <w:rsid w:val="006476C0"/>
    <w:rsid w:val="0067056A"/>
    <w:rsid w:val="00671D76"/>
    <w:rsid w:val="0068050C"/>
    <w:rsid w:val="00690E86"/>
    <w:rsid w:val="006912ED"/>
    <w:rsid w:val="006C00FB"/>
    <w:rsid w:val="006D78A8"/>
    <w:rsid w:val="006E4542"/>
    <w:rsid w:val="006F4A2B"/>
    <w:rsid w:val="00711BA9"/>
    <w:rsid w:val="007232E6"/>
    <w:rsid w:val="007273BE"/>
    <w:rsid w:val="00776A08"/>
    <w:rsid w:val="00795658"/>
    <w:rsid w:val="007B6955"/>
    <w:rsid w:val="007D5446"/>
    <w:rsid w:val="007F0CF2"/>
    <w:rsid w:val="007F2F2B"/>
    <w:rsid w:val="00804BEF"/>
    <w:rsid w:val="008255D4"/>
    <w:rsid w:val="00827DC8"/>
    <w:rsid w:val="00855A10"/>
    <w:rsid w:val="00872DC4"/>
    <w:rsid w:val="00881915"/>
    <w:rsid w:val="008A5D57"/>
    <w:rsid w:val="008D35C9"/>
    <w:rsid w:val="00904246"/>
    <w:rsid w:val="00917C6A"/>
    <w:rsid w:val="0095434E"/>
    <w:rsid w:val="009568DF"/>
    <w:rsid w:val="00963FB6"/>
    <w:rsid w:val="0096578B"/>
    <w:rsid w:val="00990205"/>
    <w:rsid w:val="00991E74"/>
    <w:rsid w:val="00993707"/>
    <w:rsid w:val="009A6F4D"/>
    <w:rsid w:val="009B7E39"/>
    <w:rsid w:val="009D0CDC"/>
    <w:rsid w:val="009E36A6"/>
    <w:rsid w:val="009F7262"/>
    <w:rsid w:val="00A22DCD"/>
    <w:rsid w:val="00A23195"/>
    <w:rsid w:val="00A36C8D"/>
    <w:rsid w:val="00A407DA"/>
    <w:rsid w:val="00A67ABE"/>
    <w:rsid w:val="00A76F06"/>
    <w:rsid w:val="00A829F6"/>
    <w:rsid w:val="00A8403F"/>
    <w:rsid w:val="00A94D7F"/>
    <w:rsid w:val="00AC00FF"/>
    <w:rsid w:val="00AF1560"/>
    <w:rsid w:val="00AF4863"/>
    <w:rsid w:val="00B1036C"/>
    <w:rsid w:val="00B10B2D"/>
    <w:rsid w:val="00B14BB4"/>
    <w:rsid w:val="00B14BBA"/>
    <w:rsid w:val="00B15282"/>
    <w:rsid w:val="00B16506"/>
    <w:rsid w:val="00B22C10"/>
    <w:rsid w:val="00B26AC0"/>
    <w:rsid w:val="00B613E9"/>
    <w:rsid w:val="00B90D5E"/>
    <w:rsid w:val="00B96C62"/>
    <w:rsid w:val="00BD078F"/>
    <w:rsid w:val="00BF2B26"/>
    <w:rsid w:val="00C1055F"/>
    <w:rsid w:val="00C11147"/>
    <w:rsid w:val="00C22047"/>
    <w:rsid w:val="00C33277"/>
    <w:rsid w:val="00C51085"/>
    <w:rsid w:val="00C61C73"/>
    <w:rsid w:val="00C67421"/>
    <w:rsid w:val="00C8287E"/>
    <w:rsid w:val="00CA608E"/>
    <w:rsid w:val="00CF1D2C"/>
    <w:rsid w:val="00CF674B"/>
    <w:rsid w:val="00D06277"/>
    <w:rsid w:val="00D07E28"/>
    <w:rsid w:val="00D11087"/>
    <w:rsid w:val="00D35C8E"/>
    <w:rsid w:val="00D472D4"/>
    <w:rsid w:val="00D62875"/>
    <w:rsid w:val="00D7532E"/>
    <w:rsid w:val="00D84B35"/>
    <w:rsid w:val="00D940A9"/>
    <w:rsid w:val="00DA77D9"/>
    <w:rsid w:val="00DC1B00"/>
    <w:rsid w:val="00DE1049"/>
    <w:rsid w:val="00DE1CDD"/>
    <w:rsid w:val="00DE5BE5"/>
    <w:rsid w:val="00DF30D0"/>
    <w:rsid w:val="00E24D74"/>
    <w:rsid w:val="00E37BAB"/>
    <w:rsid w:val="00E51738"/>
    <w:rsid w:val="00E63DC1"/>
    <w:rsid w:val="00E873EC"/>
    <w:rsid w:val="00E96244"/>
    <w:rsid w:val="00EF0C55"/>
    <w:rsid w:val="00EF3F6C"/>
    <w:rsid w:val="00F20511"/>
    <w:rsid w:val="00F235F0"/>
    <w:rsid w:val="00F25215"/>
    <w:rsid w:val="00F32153"/>
    <w:rsid w:val="00F371AE"/>
    <w:rsid w:val="00F60D8D"/>
    <w:rsid w:val="00F63196"/>
    <w:rsid w:val="00F76262"/>
    <w:rsid w:val="00F917D8"/>
    <w:rsid w:val="00F95B0B"/>
    <w:rsid w:val="00FB08C6"/>
    <w:rsid w:val="00FC266B"/>
    <w:rsid w:val="00FC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D6F5"/>
  <w15:docId w15:val="{E54431D0-AFE2-4F94-8BB2-48700298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67ABE"/>
    <w:pPr>
      <w:keepNext/>
      <w:numPr>
        <w:numId w:val="6"/>
      </w:numPr>
      <w:spacing w:before="240" w:after="60" w:line="240" w:lineRule="auto"/>
      <w:outlineLvl w:val="0"/>
    </w:pPr>
    <w:rPr>
      <w:rFonts w:ascii="Calibri" w:eastAsia="Times New Roman" w:hAnsi="Calibri" w:cs="Arial"/>
      <w:b/>
      <w:bCs/>
      <w:kern w:val="32"/>
      <w:sz w:val="32"/>
      <w:szCs w:val="32"/>
    </w:rPr>
  </w:style>
  <w:style w:type="paragraph" w:styleId="Heading2">
    <w:name w:val="heading 2"/>
    <w:basedOn w:val="Normal"/>
    <w:next w:val="Normal"/>
    <w:link w:val="Heading2Char"/>
    <w:unhideWhenUsed/>
    <w:qFormat/>
    <w:rsid w:val="00A67ABE"/>
    <w:pPr>
      <w:keepNext/>
      <w:keepLines/>
      <w:spacing w:before="200"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A67ABE"/>
    <w:pPr>
      <w:keepNext/>
      <w:keepLines/>
      <w:numPr>
        <w:ilvl w:val="2"/>
        <w:numId w:val="6"/>
      </w:numPr>
      <w:spacing w:before="200" w:after="120" w:line="240" w:lineRule="auto"/>
      <w:outlineLvl w:val="2"/>
    </w:pPr>
    <w:rPr>
      <w:rFonts w:asciiTheme="majorHAnsi" w:eastAsiaTheme="majorEastAsia" w:hAnsiTheme="majorHAnsi" w:cstheme="majorBidi"/>
      <w:b/>
      <w:bCs/>
      <w:color w:val="4F81BD" w:themeColor="accent1"/>
      <w:szCs w:val="24"/>
    </w:rPr>
  </w:style>
  <w:style w:type="paragraph" w:styleId="Heading4">
    <w:name w:val="heading 4"/>
    <w:basedOn w:val="Normal"/>
    <w:next w:val="Normal"/>
    <w:link w:val="Heading4Char"/>
    <w:uiPriority w:val="9"/>
    <w:semiHidden/>
    <w:unhideWhenUsed/>
    <w:qFormat/>
    <w:rsid w:val="00A67ABE"/>
    <w:pPr>
      <w:keepNext/>
      <w:keepLines/>
      <w:numPr>
        <w:ilvl w:val="3"/>
        <w:numId w:val="6"/>
      </w:numPr>
      <w:spacing w:before="200" w:after="120" w:line="240" w:lineRule="auto"/>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uiPriority w:val="9"/>
    <w:semiHidden/>
    <w:unhideWhenUsed/>
    <w:qFormat/>
    <w:rsid w:val="00A67ABE"/>
    <w:pPr>
      <w:keepNext/>
      <w:keepLines/>
      <w:numPr>
        <w:ilvl w:val="4"/>
        <w:numId w:val="6"/>
      </w:numPr>
      <w:spacing w:before="200" w:after="120" w:line="240" w:lineRule="auto"/>
      <w:outlineLvl w:val="4"/>
    </w:pPr>
    <w:rPr>
      <w:rFonts w:asciiTheme="majorHAnsi" w:eastAsiaTheme="majorEastAsia" w:hAnsiTheme="majorHAnsi" w:cstheme="majorBidi"/>
      <w:color w:val="243F60" w:themeColor="accent1" w:themeShade="7F"/>
      <w:szCs w:val="24"/>
    </w:rPr>
  </w:style>
  <w:style w:type="paragraph" w:styleId="Heading6">
    <w:name w:val="heading 6"/>
    <w:basedOn w:val="Normal"/>
    <w:next w:val="Normal"/>
    <w:link w:val="Heading6Char"/>
    <w:uiPriority w:val="9"/>
    <w:semiHidden/>
    <w:unhideWhenUsed/>
    <w:qFormat/>
    <w:rsid w:val="00A67ABE"/>
    <w:pPr>
      <w:keepNext/>
      <w:keepLines/>
      <w:numPr>
        <w:ilvl w:val="5"/>
        <w:numId w:val="6"/>
      </w:numPr>
      <w:spacing w:before="200" w:after="120" w:line="240" w:lineRule="auto"/>
      <w:outlineLvl w:val="5"/>
    </w:pPr>
    <w:rPr>
      <w:rFonts w:asciiTheme="majorHAnsi" w:eastAsiaTheme="majorEastAsia" w:hAnsiTheme="majorHAnsi" w:cstheme="majorBidi"/>
      <w:i/>
      <w:iCs/>
      <w:color w:val="243F60" w:themeColor="accent1" w:themeShade="7F"/>
      <w:szCs w:val="24"/>
    </w:rPr>
  </w:style>
  <w:style w:type="paragraph" w:styleId="Heading7">
    <w:name w:val="heading 7"/>
    <w:basedOn w:val="Normal"/>
    <w:next w:val="Normal"/>
    <w:link w:val="Heading7Char"/>
    <w:uiPriority w:val="9"/>
    <w:semiHidden/>
    <w:unhideWhenUsed/>
    <w:qFormat/>
    <w:rsid w:val="00A67ABE"/>
    <w:pPr>
      <w:keepNext/>
      <w:keepLines/>
      <w:numPr>
        <w:ilvl w:val="6"/>
        <w:numId w:val="6"/>
      </w:numPr>
      <w:spacing w:before="200" w:after="120" w:line="240" w:lineRule="auto"/>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A67ABE"/>
    <w:pPr>
      <w:keepNext/>
      <w:keepLines/>
      <w:numPr>
        <w:ilvl w:val="7"/>
        <w:numId w:val="6"/>
      </w:numPr>
      <w:spacing w:before="200" w:after="12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7ABE"/>
    <w:pPr>
      <w:keepNext/>
      <w:keepLines/>
      <w:numPr>
        <w:ilvl w:val="8"/>
        <w:numId w:val="6"/>
      </w:numPr>
      <w:spacing w:before="200" w:after="12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B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4352"/>
    <w:pPr>
      <w:spacing w:before="120" w:after="0"/>
      <w:ind w:left="720"/>
      <w:contextualSpacing/>
    </w:pPr>
  </w:style>
  <w:style w:type="character" w:customStyle="1" w:styleId="Heading1Char">
    <w:name w:val="Heading 1 Char"/>
    <w:basedOn w:val="DefaultParagraphFont"/>
    <w:link w:val="Heading1"/>
    <w:rsid w:val="00A67ABE"/>
    <w:rPr>
      <w:rFonts w:ascii="Calibri" w:eastAsia="Times New Roman" w:hAnsi="Calibri" w:cs="Arial"/>
      <w:b/>
      <w:bCs/>
      <w:kern w:val="32"/>
      <w:sz w:val="32"/>
      <w:szCs w:val="32"/>
    </w:rPr>
  </w:style>
  <w:style w:type="character" w:customStyle="1" w:styleId="Heading2Char">
    <w:name w:val="Heading 2 Char"/>
    <w:basedOn w:val="DefaultParagraphFont"/>
    <w:link w:val="Heading2"/>
    <w:rsid w:val="00A67AB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A67ABE"/>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A67ABE"/>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A67ABE"/>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A67ABE"/>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A67ABE"/>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67A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7AB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B6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955"/>
  </w:style>
  <w:style w:type="paragraph" w:styleId="Footer">
    <w:name w:val="footer"/>
    <w:basedOn w:val="Normal"/>
    <w:link w:val="FooterChar"/>
    <w:uiPriority w:val="99"/>
    <w:unhideWhenUsed/>
    <w:rsid w:val="007B6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955"/>
  </w:style>
  <w:style w:type="paragraph" w:styleId="BalloonText">
    <w:name w:val="Balloon Text"/>
    <w:basedOn w:val="Normal"/>
    <w:link w:val="BalloonTextChar"/>
    <w:uiPriority w:val="99"/>
    <w:semiHidden/>
    <w:unhideWhenUsed/>
    <w:rsid w:val="007B69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955"/>
    <w:rPr>
      <w:rFonts w:ascii="Tahoma" w:hAnsi="Tahoma" w:cs="Tahoma"/>
      <w:sz w:val="16"/>
      <w:szCs w:val="16"/>
    </w:rPr>
  </w:style>
  <w:style w:type="paragraph" w:styleId="Caption">
    <w:name w:val="caption"/>
    <w:basedOn w:val="Normal"/>
    <w:next w:val="Normal"/>
    <w:uiPriority w:val="35"/>
    <w:unhideWhenUsed/>
    <w:qFormat/>
    <w:rsid w:val="00D07E28"/>
    <w:pPr>
      <w:spacing w:line="240" w:lineRule="auto"/>
      <w:jc w:val="center"/>
    </w:pPr>
    <w:rPr>
      <w:rFonts w:ascii="Calibri" w:eastAsia="Times New Roman" w:hAnsi="Calibri" w:cs="Times New Roman"/>
      <w:bCs/>
      <w:u w:val="single"/>
    </w:rPr>
  </w:style>
  <w:style w:type="character" w:styleId="Hyperlink">
    <w:name w:val="Hyperlink"/>
    <w:basedOn w:val="DefaultParagraphFont"/>
    <w:uiPriority w:val="99"/>
    <w:unhideWhenUsed/>
    <w:rsid w:val="00370D1A"/>
    <w:rPr>
      <w:color w:val="0000FF" w:themeColor="hyperlink"/>
      <w:u w:val="single"/>
    </w:rPr>
  </w:style>
  <w:style w:type="paragraph" w:styleId="TOC1">
    <w:name w:val="toc 1"/>
    <w:basedOn w:val="Normal"/>
    <w:next w:val="Normal"/>
    <w:autoRedefine/>
    <w:uiPriority w:val="39"/>
    <w:unhideWhenUsed/>
    <w:rsid w:val="00370D1A"/>
    <w:pPr>
      <w:spacing w:before="120" w:after="100"/>
    </w:pPr>
  </w:style>
  <w:style w:type="paragraph" w:styleId="TOC2">
    <w:name w:val="toc 2"/>
    <w:basedOn w:val="Normal"/>
    <w:next w:val="Normal"/>
    <w:autoRedefine/>
    <w:uiPriority w:val="39"/>
    <w:unhideWhenUsed/>
    <w:rsid w:val="00370D1A"/>
    <w:pPr>
      <w:spacing w:before="120" w:after="100"/>
      <w:ind w:left="220"/>
    </w:pPr>
  </w:style>
  <w:style w:type="paragraph" w:styleId="TOC3">
    <w:name w:val="toc 3"/>
    <w:basedOn w:val="Normal"/>
    <w:next w:val="Normal"/>
    <w:autoRedefine/>
    <w:uiPriority w:val="39"/>
    <w:unhideWhenUsed/>
    <w:rsid w:val="00370D1A"/>
    <w:pPr>
      <w:spacing w:before="120" w:after="100"/>
      <w:ind w:left="440"/>
    </w:pPr>
  </w:style>
  <w:style w:type="paragraph" w:styleId="TableofFigures">
    <w:name w:val="table of figures"/>
    <w:basedOn w:val="Normal"/>
    <w:next w:val="Normal"/>
    <w:uiPriority w:val="99"/>
    <w:unhideWhenUsed/>
    <w:rsid w:val="00370D1A"/>
    <w:pPr>
      <w:spacing w:before="120" w:after="0"/>
    </w:pPr>
  </w:style>
  <w:style w:type="character" w:styleId="CommentReference">
    <w:name w:val="annotation reference"/>
    <w:basedOn w:val="DefaultParagraphFont"/>
    <w:uiPriority w:val="99"/>
    <w:semiHidden/>
    <w:unhideWhenUsed/>
    <w:rsid w:val="00FC5BD0"/>
    <w:rPr>
      <w:sz w:val="18"/>
      <w:szCs w:val="18"/>
    </w:rPr>
  </w:style>
  <w:style w:type="paragraph" w:styleId="CommentText">
    <w:name w:val="annotation text"/>
    <w:basedOn w:val="Normal"/>
    <w:link w:val="CommentTextChar"/>
    <w:uiPriority w:val="99"/>
    <w:semiHidden/>
    <w:unhideWhenUsed/>
    <w:rsid w:val="00FC5BD0"/>
    <w:pPr>
      <w:spacing w:line="240" w:lineRule="auto"/>
    </w:pPr>
    <w:rPr>
      <w:sz w:val="24"/>
      <w:szCs w:val="24"/>
    </w:rPr>
  </w:style>
  <w:style w:type="character" w:customStyle="1" w:styleId="CommentTextChar">
    <w:name w:val="Comment Text Char"/>
    <w:basedOn w:val="DefaultParagraphFont"/>
    <w:link w:val="CommentText"/>
    <w:uiPriority w:val="99"/>
    <w:semiHidden/>
    <w:rsid w:val="00FC5BD0"/>
    <w:rPr>
      <w:sz w:val="24"/>
      <w:szCs w:val="24"/>
    </w:rPr>
  </w:style>
  <w:style w:type="paragraph" w:styleId="CommentSubject">
    <w:name w:val="annotation subject"/>
    <w:basedOn w:val="CommentText"/>
    <w:next w:val="CommentText"/>
    <w:link w:val="CommentSubjectChar"/>
    <w:uiPriority w:val="99"/>
    <w:semiHidden/>
    <w:unhideWhenUsed/>
    <w:rsid w:val="00FC5BD0"/>
    <w:rPr>
      <w:b/>
      <w:bCs/>
      <w:sz w:val="20"/>
      <w:szCs w:val="20"/>
    </w:rPr>
  </w:style>
  <w:style w:type="character" w:customStyle="1" w:styleId="CommentSubjectChar">
    <w:name w:val="Comment Subject Char"/>
    <w:basedOn w:val="CommentTextChar"/>
    <w:link w:val="CommentSubject"/>
    <w:uiPriority w:val="99"/>
    <w:semiHidden/>
    <w:rsid w:val="00FC5BD0"/>
    <w:rPr>
      <w:b/>
      <w:bCs/>
      <w:sz w:val="20"/>
      <w:szCs w:val="20"/>
    </w:rPr>
  </w:style>
  <w:style w:type="paragraph" w:styleId="FootnoteText">
    <w:name w:val="footnote text"/>
    <w:basedOn w:val="Normal"/>
    <w:link w:val="FootnoteTextChar"/>
    <w:uiPriority w:val="99"/>
    <w:unhideWhenUsed/>
    <w:rsid w:val="00E63DC1"/>
    <w:pPr>
      <w:spacing w:after="0" w:line="240" w:lineRule="auto"/>
    </w:pPr>
    <w:rPr>
      <w:sz w:val="24"/>
      <w:szCs w:val="24"/>
    </w:rPr>
  </w:style>
  <w:style w:type="character" w:customStyle="1" w:styleId="FootnoteTextChar">
    <w:name w:val="Footnote Text Char"/>
    <w:basedOn w:val="DefaultParagraphFont"/>
    <w:link w:val="FootnoteText"/>
    <w:uiPriority w:val="99"/>
    <w:rsid w:val="00E63DC1"/>
    <w:rPr>
      <w:sz w:val="24"/>
      <w:szCs w:val="24"/>
    </w:rPr>
  </w:style>
  <w:style w:type="character" w:styleId="FootnoteReference">
    <w:name w:val="footnote reference"/>
    <w:basedOn w:val="DefaultParagraphFont"/>
    <w:uiPriority w:val="99"/>
    <w:unhideWhenUsed/>
    <w:rsid w:val="00E63DC1"/>
    <w:rPr>
      <w:vertAlign w:val="superscript"/>
    </w:rPr>
  </w:style>
  <w:style w:type="character" w:customStyle="1" w:styleId="messagebody">
    <w:name w:val="message_body"/>
    <w:basedOn w:val="DefaultParagraphFont"/>
    <w:rsid w:val="002255F2"/>
  </w:style>
  <w:style w:type="character" w:customStyle="1" w:styleId="hps">
    <w:name w:val="hps"/>
    <w:basedOn w:val="DefaultParagraphFont"/>
    <w:rsid w:val="00990205"/>
  </w:style>
  <w:style w:type="paragraph" w:styleId="NormalWeb">
    <w:name w:val="Normal (Web)"/>
    <w:basedOn w:val="Normal"/>
    <w:uiPriority w:val="99"/>
    <w:unhideWhenUsed/>
    <w:rsid w:val="003B5B0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gt-baf-word-clickable">
    <w:name w:val="gt-baf-word-clickable"/>
    <w:basedOn w:val="DefaultParagraphFont"/>
    <w:rsid w:val="0069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54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272502-5B7D-864D-9D6F-57F0FD07D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973</Words>
  <Characters>5550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Tereshchenko</dc:creator>
  <cp:lastModifiedBy>Rami Levy</cp:lastModifiedBy>
  <cp:revision>23</cp:revision>
  <dcterms:created xsi:type="dcterms:W3CDTF">2016-03-31T22:27:00Z</dcterms:created>
  <dcterms:modified xsi:type="dcterms:W3CDTF">2016-05-10T21:21:00Z</dcterms:modified>
</cp:coreProperties>
</file>