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49C9F" w14:textId="77777777" w:rsidR="000666E1" w:rsidRPr="00B14BBA" w:rsidRDefault="00B14BBA" w:rsidP="00B14BBA">
      <w:pPr>
        <w:jc w:val="center"/>
        <w:rPr>
          <w:rFonts w:asciiTheme="majorHAnsi" w:hAnsiTheme="majorHAnsi" w:cstheme="minorHAnsi"/>
          <w:sz w:val="72"/>
          <w:szCs w:val="72"/>
        </w:rPr>
      </w:pPr>
      <w:r w:rsidRPr="00B14BBA">
        <w:rPr>
          <w:rFonts w:asciiTheme="majorHAnsi" w:hAnsiTheme="majorHAnsi" w:cstheme="minorHAnsi"/>
          <w:sz w:val="72"/>
          <w:szCs w:val="72"/>
        </w:rPr>
        <w:t>Test plan</w:t>
      </w:r>
    </w:p>
    <w:p w14:paraId="3AC94B5D" w14:textId="77777777" w:rsidR="00B14BBA" w:rsidRPr="003E7B83" w:rsidRDefault="00B14BBA" w:rsidP="00B14BBA">
      <w:pPr>
        <w:jc w:val="center"/>
        <w:rPr>
          <w:rFonts w:asciiTheme="majorHAnsi" w:hAnsiTheme="majorHAnsi" w:cstheme="minorHAnsi"/>
          <w:sz w:val="48"/>
          <w:szCs w:val="48"/>
        </w:rPr>
      </w:pPr>
      <w:bookmarkStart w:id="0" w:name="_Toc333586745"/>
      <w:r w:rsidRPr="003E7B83">
        <w:rPr>
          <w:rFonts w:asciiTheme="majorHAnsi" w:hAnsiTheme="majorHAnsi" w:cstheme="minorHAnsi"/>
          <w:sz w:val="48"/>
          <w:szCs w:val="48"/>
        </w:rPr>
        <w:t>Smarter Balanced Assessment Consortium Test Delivery System</w:t>
      </w:r>
      <w:bookmarkEnd w:id="0"/>
    </w:p>
    <w:p w14:paraId="575D1330" w14:textId="77777777" w:rsidR="00B14BBA" w:rsidRPr="003E7B83" w:rsidRDefault="00B14BBA" w:rsidP="00B14BBA">
      <w:pPr>
        <w:jc w:val="center"/>
        <w:rPr>
          <w:rFonts w:asciiTheme="majorHAnsi" w:hAnsiTheme="majorHAnsi" w:cstheme="minorHAnsi"/>
        </w:rPr>
      </w:pPr>
    </w:p>
    <w:p w14:paraId="28B60190" w14:textId="77777777" w:rsidR="00B14BBA" w:rsidRPr="003E7B83" w:rsidRDefault="00B14BBA" w:rsidP="00B14BBA">
      <w:pPr>
        <w:jc w:val="center"/>
        <w:rPr>
          <w:rFonts w:asciiTheme="majorHAnsi" w:hAnsiTheme="majorHAnsi" w:cstheme="minorHAnsi"/>
        </w:rPr>
      </w:pPr>
    </w:p>
    <w:p w14:paraId="6966C515" w14:textId="2AC3BD8E" w:rsidR="00B14BBA" w:rsidRDefault="00B14BBA" w:rsidP="00D62875">
      <w:pPr>
        <w:jc w:val="center"/>
        <w:rPr>
          <w:rFonts w:asciiTheme="majorHAnsi" w:hAnsiTheme="majorHAnsi" w:cstheme="minorHAnsi"/>
          <w:sz w:val="44"/>
          <w:szCs w:val="44"/>
        </w:rPr>
      </w:pPr>
      <w:bookmarkStart w:id="1" w:name="_Toc333586746"/>
      <w:r w:rsidRPr="003E7B83">
        <w:rPr>
          <w:rFonts w:asciiTheme="majorHAnsi" w:hAnsiTheme="majorHAnsi" w:cstheme="minorHAnsi"/>
          <w:sz w:val="44"/>
          <w:szCs w:val="44"/>
        </w:rPr>
        <w:t>Component</w:t>
      </w:r>
      <w:r>
        <w:rPr>
          <w:rFonts w:asciiTheme="majorHAnsi" w:hAnsiTheme="majorHAnsi" w:cstheme="minorHAnsi"/>
          <w:sz w:val="44"/>
          <w:szCs w:val="44"/>
        </w:rPr>
        <w:t>s</w:t>
      </w:r>
      <w:r w:rsidRPr="003E7B83">
        <w:rPr>
          <w:rFonts w:asciiTheme="majorHAnsi" w:hAnsiTheme="majorHAnsi" w:cstheme="minorHAnsi"/>
          <w:sz w:val="44"/>
          <w:szCs w:val="44"/>
        </w:rPr>
        <w:t>:</w:t>
      </w:r>
      <w:bookmarkEnd w:id="1"/>
      <w:r w:rsidR="00D62875">
        <w:rPr>
          <w:rFonts w:asciiTheme="majorHAnsi" w:hAnsiTheme="majorHAnsi" w:cstheme="minorHAnsi"/>
          <w:sz w:val="44"/>
          <w:szCs w:val="44"/>
        </w:rPr>
        <w:t xml:space="preserve"> </w:t>
      </w:r>
      <w:r w:rsidR="00D62875">
        <w:rPr>
          <w:rFonts w:asciiTheme="majorHAnsi" w:hAnsiTheme="majorHAnsi" w:cstheme="minorHAnsi"/>
          <w:sz w:val="44"/>
          <w:szCs w:val="44"/>
        </w:rPr>
        <w:br/>
      </w:r>
      <w:r w:rsidR="00A23195">
        <w:rPr>
          <w:rFonts w:asciiTheme="majorHAnsi" w:hAnsiTheme="majorHAnsi" w:cstheme="minorHAnsi"/>
          <w:sz w:val="44"/>
          <w:szCs w:val="44"/>
        </w:rPr>
        <w:t>Test Delivery System Administration</w:t>
      </w:r>
    </w:p>
    <w:p w14:paraId="26A39351" w14:textId="324BAC61" w:rsidR="00B14BBA" w:rsidRPr="003E7B83" w:rsidRDefault="00D62875" w:rsidP="00B14BBA">
      <w:pPr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44"/>
          <w:szCs w:val="44"/>
        </w:rPr>
        <w:t>Smarter Balanced Task Order</w:t>
      </w:r>
      <w:r w:rsidR="00B14BBA">
        <w:rPr>
          <w:rFonts w:asciiTheme="majorHAnsi" w:hAnsiTheme="majorHAnsi" w:cstheme="minorHAnsi"/>
          <w:sz w:val="44"/>
          <w:szCs w:val="44"/>
        </w:rPr>
        <w:t xml:space="preserve"> </w:t>
      </w:r>
      <w:r>
        <w:rPr>
          <w:rFonts w:asciiTheme="majorHAnsi" w:hAnsiTheme="majorHAnsi" w:cstheme="minorHAnsi"/>
          <w:sz w:val="44"/>
          <w:szCs w:val="44"/>
        </w:rPr>
        <w:t>1</w:t>
      </w:r>
      <w:r w:rsidR="00A23195">
        <w:rPr>
          <w:rFonts w:asciiTheme="majorHAnsi" w:hAnsiTheme="majorHAnsi" w:cstheme="minorHAnsi"/>
          <w:sz w:val="44"/>
          <w:szCs w:val="44"/>
        </w:rPr>
        <w:t>7</w:t>
      </w:r>
    </w:p>
    <w:p w14:paraId="6C575859" w14:textId="77777777" w:rsidR="00B14BBA" w:rsidRDefault="00B14BBA" w:rsidP="00B14BBA">
      <w:pPr>
        <w:jc w:val="center"/>
      </w:pPr>
    </w:p>
    <w:p w14:paraId="6DE54AEF" w14:textId="77777777" w:rsidR="00B14BBA" w:rsidRDefault="00B14BBA" w:rsidP="00B14BBA">
      <w:pPr>
        <w:jc w:val="center"/>
      </w:pPr>
    </w:p>
    <w:p w14:paraId="6A280EB7" w14:textId="77777777" w:rsidR="00C8287E" w:rsidRDefault="00C8287E" w:rsidP="00C8287E"/>
    <w:p w14:paraId="01E060A3" w14:textId="77777777" w:rsidR="00B14BBA" w:rsidRPr="001C3C3B" w:rsidRDefault="00B14BBA" w:rsidP="00B14BBA">
      <w:r w:rsidRPr="001C3C3B"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6"/>
        <w:gridCol w:w="2646"/>
        <w:gridCol w:w="2646"/>
        <w:gridCol w:w="1412"/>
      </w:tblGrid>
      <w:tr w:rsidR="007273BE" w14:paraId="6EC98EC8" w14:textId="77777777" w:rsidTr="00E96244">
        <w:trPr>
          <w:trHeight w:val="251"/>
        </w:trPr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17E80C4F" w14:textId="77777777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Revision Description</w:t>
            </w:r>
          </w:p>
        </w:tc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3C2CE3EE" w14:textId="77777777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1415" w:type="pct"/>
            <w:shd w:val="clear" w:color="auto" w:fill="D9D9D9" w:themeFill="background1" w:themeFillShade="D9"/>
          </w:tcPr>
          <w:p w14:paraId="1D49A494" w14:textId="56711EA4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Reviewer</w:t>
            </w:r>
          </w:p>
        </w:tc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2130F8E8" w14:textId="7B8E4DBF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Date</w:t>
            </w:r>
          </w:p>
        </w:tc>
      </w:tr>
      <w:tr w:rsidR="007273BE" w14:paraId="4D15342D" w14:textId="77777777" w:rsidTr="00E96244">
        <w:tc>
          <w:tcPr>
            <w:tcW w:w="1415" w:type="pct"/>
            <w:vAlign w:val="center"/>
          </w:tcPr>
          <w:p w14:paraId="457778D4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 – </w:t>
            </w:r>
            <w:r w:rsidRPr="00311D52">
              <w:rPr>
                <w:sz w:val="18"/>
                <w:szCs w:val="18"/>
              </w:rPr>
              <w:t xml:space="preserve">First </w:t>
            </w:r>
            <w:r>
              <w:rPr>
                <w:sz w:val="18"/>
                <w:szCs w:val="18"/>
              </w:rPr>
              <w:t>Draft</w:t>
            </w:r>
          </w:p>
        </w:tc>
        <w:tc>
          <w:tcPr>
            <w:tcW w:w="1415" w:type="pct"/>
            <w:vAlign w:val="center"/>
          </w:tcPr>
          <w:p w14:paraId="136345B2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61F2E4CF" w14:textId="4133E90E" w:rsidR="007273BE" w:rsidRDefault="007273BE" w:rsidP="00F76262">
            <w:pPr>
              <w:rPr>
                <w:sz w:val="18"/>
                <w:szCs w:val="18"/>
              </w:rPr>
            </w:pPr>
          </w:p>
        </w:tc>
        <w:tc>
          <w:tcPr>
            <w:tcW w:w="1415" w:type="pct"/>
            <w:vAlign w:val="center"/>
          </w:tcPr>
          <w:p w14:paraId="6275679F" w14:textId="1C20DD22" w:rsidR="007273BE" w:rsidRPr="00311D52" w:rsidRDefault="00D62875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Mar. </w:t>
            </w:r>
            <w:r w:rsidR="00A23195">
              <w:rPr>
                <w:sz w:val="18"/>
                <w:szCs w:val="18"/>
              </w:rPr>
              <w:t>31</w:t>
            </w:r>
            <w:r w:rsidR="007273BE">
              <w:rPr>
                <w:sz w:val="18"/>
                <w:szCs w:val="18"/>
              </w:rPr>
              <w:t>, 2016</w:t>
            </w:r>
          </w:p>
        </w:tc>
      </w:tr>
      <w:tr w:rsidR="007273BE" w14:paraId="62E8F237" w14:textId="77777777" w:rsidTr="00E96244">
        <w:tc>
          <w:tcPr>
            <w:tcW w:w="1415" w:type="pct"/>
            <w:vAlign w:val="center"/>
          </w:tcPr>
          <w:p w14:paraId="417F6E07" w14:textId="77777777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 – Second Draft</w:t>
            </w:r>
          </w:p>
        </w:tc>
        <w:tc>
          <w:tcPr>
            <w:tcW w:w="1415" w:type="pct"/>
            <w:vAlign w:val="center"/>
          </w:tcPr>
          <w:p w14:paraId="50ACC78D" w14:textId="77777777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54018E37" w14:textId="0564188C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0F70513B" w14:textId="6888DAA7" w:rsidR="007273BE" w:rsidRDefault="00047F73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</w:t>
            </w:r>
            <w:bookmarkStart w:id="2" w:name="_GoBack"/>
            <w:bookmarkEnd w:id="2"/>
            <w:r w:rsidR="00C33277">
              <w:rPr>
                <w:sz w:val="18"/>
                <w:szCs w:val="18"/>
              </w:rPr>
              <w:t>. 14, 2016</w:t>
            </w:r>
          </w:p>
        </w:tc>
      </w:tr>
      <w:tr w:rsidR="007273BE" w14:paraId="6E2582E0" w14:textId="77777777" w:rsidTr="00E96244">
        <w:trPr>
          <w:trHeight w:val="197"/>
        </w:trPr>
        <w:tc>
          <w:tcPr>
            <w:tcW w:w="1415" w:type="pct"/>
            <w:vAlign w:val="center"/>
          </w:tcPr>
          <w:p w14:paraId="1DA10126" w14:textId="77777777" w:rsidR="007273BE" w:rsidRPr="00311D52" w:rsidRDefault="007273BE" w:rsidP="007B6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– Final version</w:t>
            </w:r>
          </w:p>
        </w:tc>
        <w:tc>
          <w:tcPr>
            <w:tcW w:w="1415" w:type="pct"/>
            <w:vAlign w:val="center"/>
          </w:tcPr>
          <w:p w14:paraId="44B5C820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23CEFA9D" w14:textId="6C0E65E2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0CCB4BBE" w14:textId="4545549A" w:rsidR="007273BE" w:rsidRPr="00311D52" w:rsidRDefault="00FB08C6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Apr. 24, 2016</w:t>
            </w:r>
          </w:p>
        </w:tc>
      </w:tr>
    </w:tbl>
    <w:p w14:paraId="301AB6D3" w14:textId="77777777" w:rsidR="00B14BBA" w:rsidRDefault="00B14BBA" w:rsidP="00B14BBA">
      <w:pPr>
        <w:jc w:val="center"/>
      </w:pPr>
    </w:p>
    <w:p w14:paraId="0BE4826A" w14:textId="77777777" w:rsidR="00B14BBA" w:rsidRDefault="00B14BBA" w:rsidP="00B14BBA">
      <w:pPr>
        <w:jc w:val="center"/>
      </w:pPr>
    </w:p>
    <w:p w14:paraId="586BD41A" w14:textId="77777777" w:rsidR="00B14BBA" w:rsidRDefault="00B14BBA" w:rsidP="00B14BBA">
      <w:pPr>
        <w:jc w:val="center"/>
      </w:pPr>
    </w:p>
    <w:p w14:paraId="3BB4E11B" w14:textId="77777777" w:rsidR="00B14BBA" w:rsidRDefault="00B14BBA" w:rsidP="00B14BBA">
      <w:pPr>
        <w:jc w:val="center"/>
      </w:pPr>
    </w:p>
    <w:p w14:paraId="252CA5B9" w14:textId="77777777" w:rsidR="00B14BBA" w:rsidRDefault="00B14BBA" w:rsidP="00B14BBA">
      <w:pPr>
        <w:jc w:val="center"/>
      </w:pPr>
    </w:p>
    <w:p w14:paraId="3CDE66AD" w14:textId="77777777" w:rsidR="00B14BBA" w:rsidRDefault="00B14BBA" w:rsidP="00B14BBA">
      <w:pPr>
        <w:jc w:val="center"/>
      </w:pPr>
    </w:p>
    <w:p w14:paraId="3B15C4BA" w14:textId="77777777" w:rsidR="00B14BBA" w:rsidRDefault="00B14BBA" w:rsidP="00B14BBA">
      <w:pPr>
        <w:jc w:val="center"/>
      </w:pPr>
    </w:p>
    <w:sdt>
      <w:sdtPr>
        <w:id w:val="29220531"/>
        <w:docPartObj>
          <w:docPartGallery w:val="Table of Contents"/>
          <w:docPartUnique/>
        </w:docPartObj>
      </w:sdtPr>
      <w:sdtEndPr/>
      <w:sdtContent>
        <w:p w14:paraId="4D28F128" w14:textId="0484F67C" w:rsidR="00370D1A" w:rsidRDefault="00BF2B26" w:rsidP="00370D1A">
          <w:r>
            <w:rPr>
              <w:rFonts w:asciiTheme="majorHAnsi" w:hAnsiTheme="majorHAnsi"/>
              <w:sz w:val="40"/>
              <w:szCs w:val="40"/>
            </w:rPr>
            <w:t>Table of C</w:t>
          </w:r>
          <w:r w:rsidR="00370D1A" w:rsidRPr="003E7B83">
            <w:rPr>
              <w:rFonts w:asciiTheme="majorHAnsi" w:hAnsiTheme="majorHAnsi"/>
              <w:sz w:val="40"/>
              <w:szCs w:val="40"/>
            </w:rPr>
            <w:t>ontents</w:t>
          </w:r>
        </w:p>
        <w:p w14:paraId="1F53BB48" w14:textId="77777777" w:rsidR="009A6F4D" w:rsidRDefault="00370D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55334" w:history="1">
            <w:r w:rsidR="009A6F4D" w:rsidRPr="009036FE">
              <w:rPr>
                <w:rStyle w:val="Hyperlink"/>
                <w:rFonts w:asciiTheme="majorHAnsi" w:eastAsiaTheme="majorEastAsia" w:hAnsiTheme="majorHAnsi" w:cstheme="majorBidi"/>
                <w:noProof/>
              </w:rPr>
              <w:t>1</w:t>
            </w:r>
            <w:r w:rsidR="009A6F4D">
              <w:rPr>
                <w:rFonts w:eastAsiaTheme="minorEastAsia"/>
                <w:noProof/>
              </w:rPr>
              <w:tab/>
            </w:r>
            <w:r w:rsidR="009A6F4D" w:rsidRPr="009036FE">
              <w:rPr>
                <w:rStyle w:val="Hyperlink"/>
                <w:rFonts w:asciiTheme="majorHAnsi" w:eastAsiaTheme="majorEastAsia" w:hAnsiTheme="majorHAnsi" w:cstheme="majorBidi"/>
                <w:noProof/>
              </w:rPr>
              <w:t>Introduction and Background of System</w:t>
            </w:r>
            <w:r w:rsidR="009A6F4D">
              <w:rPr>
                <w:noProof/>
                <w:webHidden/>
              </w:rPr>
              <w:tab/>
            </w:r>
            <w:r w:rsidR="009A6F4D">
              <w:rPr>
                <w:noProof/>
                <w:webHidden/>
              </w:rPr>
              <w:fldChar w:fldCharType="begin"/>
            </w:r>
            <w:r w:rsidR="009A6F4D">
              <w:rPr>
                <w:noProof/>
                <w:webHidden/>
              </w:rPr>
              <w:instrText xml:space="preserve"> PAGEREF _Toc447555334 \h </w:instrText>
            </w:r>
            <w:r w:rsidR="009A6F4D">
              <w:rPr>
                <w:noProof/>
                <w:webHidden/>
              </w:rPr>
            </w:r>
            <w:r w:rsidR="009A6F4D">
              <w:rPr>
                <w:noProof/>
                <w:webHidden/>
              </w:rPr>
              <w:fldChar w:fldCharType="separate"/>
            </w:r>
            <w:r w:rsidR="009A6F4D">
              <w:rPr>
                <w:noProof/>
                <w:webHidden/>
              </w:rPr>
              <w:t>3</w:t>
            </w:r>
            <w:r w:rsidR="009A6F4D">
              <w:rPr>
                <w:noProof/>
                <w:webHidden/>
              </w:rPr>
              <w:fldChar w:fldCharType="end"/>
            </w:r>
          </w:hyperlink>
        </w:p>
        <w:p w14:paraId="6A4475B2" w14:textId="77777777" w:rsidR="009A6F4D" w:rsidRDefault="00671D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555335" w:history="1">
            <w:r w:rsidR="009A6F4D" w:rsidRPr="009036FE">
              <w:rPr>
                <w:rStyle w:val="Hyperlink"/>
                <w:rFonts w:asciiTheme="majorHAnsi" w:eastAsiaTheme="majorEastAsia" w:hAnsiTheme="majorHAnsi" w:cstheme="majorBidi"/>
                <w:noProof/>
              </w:rPr>
              <w:t>2</w:t>
            </w:r>
            <w:r w:rsidR="009A6F4D">
              <w:rPr>
                <w:rFonts w:eastAsiaTheme="minorEastAsia"/>
                <w:noProof/>
              </w:rPr>
              <w:tab/>
            </w:r>
            <w:r w:rsidR="009A6F4D" w:rsidRPr="009036FE">
              <w:rPr>
                <w:rStyle w:val="Hyperlink"/>
                <w:rFonts w:asciiTheme="majorHAnsi" w:eastAsiaTheme="majorEastAsia" w:hAnsiTheme="majorHAnsi" w:cstheme="majorBidi"/>
                <w:noProof/>
              </w:rPr>
              <w:t>References</w:t>
            </w:r>
            <w:r w:rsidR="009A6F4D">
              <w:rPr>
                <w:noProof/>
                <w:webHidden/>
              </w:rPr>
              <w:tab/>
            </w:r>
            <w:r w:rsidR="009A6F4D">
              <w:rPr>
                <w:noProof/>
                <w:webHidden/>
              </w:rPr>
              <w:fldChar w:fldCharType="begin"/>
            </w:r>
            <w:r w:rsidR="009A6F4D">
              <w:rPr>
                <w:noProof/>
                <w:webHidden/>
              </w:rPr>
              <w:instrText xml:space="preserve"> PAGEREF _Toc447555335 \h </w:instrText>
            </w:r>
            <w:r w:rsidR="009A6F4D">
              <w:rPr>
                <w:noProof/>
                <w:webHidden/>
              </w:rPr>
            </w:r>
            <w:r w:rsidR="009A6F4D">
              <w:rPr>
                <w:noProof/>
                <w:webHidden/>
              </w:rPr>
              <w:fldChar w:fldCharType="separate"/>
            </w:r>
            <w:r w:rsidR="009A6F4D">
              <w:rPr>
                <w:noProof/>
                <w:webHidden/>
              </w:rPr>
              <w:t>3</w:t>
            </w:r>
            <w:r w:rsidR="009A6F4D">
              <w:rPr>
                <w:noProof/>
                <w:webHidden/>
              </w:rPr>
              <w:fldChar w:fldCharType="end"/>
            </w:r>
          </w:hyperlink>
        </w:p>
        <w:p w14:paraId="5F6424E0" w14:textId="77777777" w:rsidR="009A6F4D" w:rsidRDefault="00671D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555336" w:history="1">
            <w:r w:rsidR="009A6F4D" w:rsidRPr="009036FE">
              <w:rPr>
                <w:rStyle w:val="Hyperlink"/>
                <w:rFonts w:asciiTheme="majorHAnsi" w:eastAsiaTheme="majorEastAsia" w:hAnsiTheme="majorHAnsi" w:cstheme="majorBidi"/>
                <w:noProof/>
              </w:rPr>
              <w:t>3</w:t>
            </w:r>
            <w:r w:rsidR="009A6F4D">
              <w:rPr>
                <w:rFonts w:eastAsiaTheme="minorEastAsia"/>
                <w:noProof/>
              </w:rPr>
              <w:tab/>
            </w:r>
            <w:r w:rsidR="009A6F4D" w:rsidRPr="009036FE">
              <w:rPr>
                <w:rStyle w:val="Hyperlink"/>
                <w:rFonts w:asciiTheme="majorHAnsi" w:eastAsiaTheme="majorEastAsia" w:hAnsiTheme="majorHAnsi" w:cstheme="majorBidi"/>
                <w:noProof/>
              </w:rPr>
              <w:t>Scope of testing</w:t>
            </w:r>
            <w:r w:rsidR="009A6F4D">
              <w:rPr>
                <w:noProof/>
                <w:webHidden/>
              </w:rPr>
              <w:tab/>
            </w:r>
            <w:r w:rsidR="009A6F4D">
              <w:rPr>
                <w:noProof/>
                <w:webHidden/>
              </w:rPr>
              <w:fldChar w:fldCharType="begin"/>
            </w:r>
            <w:r w:rsidR="009A6F4D">
              <w:rPr>
                <w:noProof/>
                <w:webHidden/>
              </w:rPr>
              <w:instrText xml:space="preserve"> PAGEREF _Toc447555336 \h </w:instrText>
            </w:r>
            <w:r w:rsidR="009A6F4D">
              <w:rPr>
                <w:noProof/>
                <w:webHidden/>
              </w:rPr>
            </w:r>
            <w:r w:rsidR="009A6F4D">
              <w:rPr>
                <w:noProof/>
                <w:webHidden/>
              </w:rPr>
              <w:fldChar w:fldCharType="separate"/>
            </w:r>
            <w:r w:rsidR="009A6F4D">
              <w:rPr>
                <w:noProof/>
                <w:webHidden/>
              </w:rPr>
              <w:t>3</w:t>
            </w:r>
            <w:r w:rsidR="009A6F4D">
              <w:rPr>
                <w:noProof/>
                <w:webHidden/>
              </w:rPr>
              <w:fldChar w:fldCharType="end"/>
            </w:r>
          </w:hyperlink>
        </w:p>
        <w:p w14:paraId="4C419FB8" w14:textId="77777777" w:rsidR="00370D1A" w:rsidRDefault="00370D1A" w:rsidP="00370D1A">
          <w:pPr>
            <w:spacing w:before="120" w:after="0"/>
          </w:pPr>
          <w:r>
            <w:fldChar w:fldCharType="end"/>
          </w:r>
        </w:p>
      </w:sdtContent>
    </w:sdt>
    <w:p w14:paraId="0C993096" w14:textId="77777777" w:rsidR="00370D1A" w:rsidRDefault="00370D1A" w:rsidP="00370D1A">
      <w:pPr>
        <w:rPr>
          <w:rFonts w:asciiTheme="majorHAnsi" w:hAnsiTheme="majorHAnsi"/>
          <w:sz w:val="40"/>
          <w:szCs w:val="40"/>
        </w:rPr>
      </w:pPr>
    </w:p>
    <w:p w14:paraId="6BE99CB1" w14:textId="77777777" w:rsidR="00370D1A" w:rsidRDefault="00370D1A" w:rsidP="00370D1A">
      <w:pPr>
        <w:rPr>
          <w:rFonts w:asciiTheme="majorHAnsi" w:hAnsiTheme="majorHAnsi"/>
          <w:sz w:val="40"/>
          <w:szCs w:val="40"/>
        </w:rPr>
      </w:pPr>
    </w:p>
    <w:p w14:paraId="09FDDADC" w14:textId="77777777" w:rsidR="005326C1" w:rsidRDefault="005326C1" w:rsidP="005326C1">
      <w:pPr>
        <w:rPr>
          <w:rFonts w:eastAsiaTheme="minorEastAsia"/>
          <w:noProof/>
          <w:sz w:val="24"/>
          <w:szCs w:val="24"/>
        </w:rPr>
      </w:pPr>
      <w:r>
        <w:rPr>
          <w:rFonts w:asciiTheme="majorHAnsi" w:hAnsiTheme="majorHAnsi"/>
          <w:sz w:val="40"/>
          <w:szCs w:val="40"/>
        </w:rPr>
        <w:t>Tables</w:t>
      </w:r>
    </w:p>
    <w:p w14:paraId="75CC3282" w14:textId="77777777" w:rsidR="00370E67" w:rsidRDefault="005326C1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TOC \c "Table"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370E67">
        <w:rPr>
          <w:noProof/>
        </w:rPr>
        <w:t>Table 1: References</w:t>
      </w:r>
      <w:r w:rsidR="00370E67">
        <w:rPr>
          <w:noProof/>
        </w:rPr>
        <w:tab/>
      </w:r>
      <w:r w:rsidR="00370E67">
        <w:rPr>
          <w:noProof/>
        </w:rPr>
        <w:fldChar w:fldCharType="begin"/>
      </w:r>
      <w:r w:rsidR="00370E67">
        <w:rPr>
          <w:noProof/>
        </w:rPr>
        <w:instrText xml:space="preserve"> PAGEREF _Toc445763999 \h </w:instrText>
      </w:r>
      <w:r w:rsidR="00370E67">
        <w:rPr>
          <w:noProof/>
        </w:rPr>
      </w:r>
      <w:r w:rsidR="00370E67">
        <w:rPr>
          <w:noProof/>
        </w:rPr>
        <w:fldChar w:fldCharType="separate"/>
      </w:r>
      <w:r w:rsidR="00370E67">
        <w:rPr>
          <w:noProof/>
        </w:rPr>
        <w:t>3</w:t>
      </w:r>
      <w:r w:rsidR="00370E67">
        <w:rPr>
          <w:noProof/>
        </w:rPr>
        <w:fldChar w:fldCharType="end"/>
      </w:r>
    </w:p>
    <w:p w14:paraId="6B3CA486" w14:textId="77777777" w:rsidR="00370D1A" w:rsidRDefault="005326C1" w:rsidP="00370D1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end"/>
      </w:r>
    </w:p>
    <w:p w14:paraId="306124E3" w14:textId="27AE4750" w:rsidR="005326C1" w:rsidRPr="003614C1" w:rsidRDefault="005326C1" w:rsidP="005326C1">
      <w:pPr>
        <w:rPr>
          <w:rFonts w:asciiTheme="majorHAnsi" w:hAnsiTheme="majorHAnsi"/>
          <w:sz w:val="40"/>
          <w:szCs w:val="40"/>
        </w:rPr>
      </w:pPr>
    </w:p>
    <w:p w14:paraId="3D95D2AC" w14:textId="77777777" w:rsidR="00370D1A" w:rsidRDefault="00370D1A" w:rsidP="00281AB6"/>
    <w:p w14:paraId="37BFE754" w14:textId="77777777" w:rsidR="00370D1A" w:rsidRDefault="00370D1A">
      <w:r>
        <w:br w:type="page"/>
      </w:r>
    </w:p>
    <w:p w14:paraId="036F436B" w14:textId="170740CF" w:rsidR="007B6955" w:rsidRPr="007B6955" w:rsidRDefault="00A67ABE" w:rsidP="007B6955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3" w:name="_Toc447555333"/>
      <w:bookmarkStart w:id="4" w:name="_Toc382557162"/>
      <w:bookmarkStart w:id="5" w:name="_Toc447555334"/>
      <w:bookmarkEnd w:id="3"/>
      <w:r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lastRenderedPageBreak/>
        <w:t>Introduction and Background of System</w:t>
      </w:r>
      <w:bookmarkEnd w:id="4"/>
      <w:bookmarkEnd w:id="5"/>
      <w:r w:rsid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br/>
      </w:r>
    </w:p>
    <w:p w14:paraId="5E7A1F1C" w14:textId="03D87561" w:rsidR="00B10B2D" w:rsidRDefault="00E873EC" w:rsidP="00B14BBA">
      <w:r>
        <w:t xml:space="preserve">The purpose of this document is to define testing scope and approach </w:t>
      </w:r>
      <w:r w:rsidR="00E63DC1">
        <w:t xml:space="preserve">for </w:t>
      </w:r>
      <w:r>
        <w:t>Task Order</w:t>
      </w:r>
      <w:r w:rsidR="00D62875">
        <w:t xml:space="preserve"> 1</w:t>
      </w:r>
      <w:r w:rsidR="00A23195">
        <w:t>7</w:t>
      </w:r>
      <w:r>
        <w:t>.</w:t>
      </w:r>
      <w:r w:rsidR="00A23195">
        <w:t xml:space="preserve"> </w:t>
      </w:r>
      <w:r w:rsidR="005B1C9D">
        <w:t xml:space="preserve">This task order seeks to create and provide a user interface for several stored procedures which have to be used to adjust TDS test opportunity </w:t>
      </w:r>
      <w:r w:rsidR="00131BA9">
        <w:t>parameters like status and expiration date.</w:t>
      </w:r>
      <w:r w:rsidR="005B1C9D">
        <w:t xml:space="preserve"> </w:t>
      </w:r>
      <w:r w:rsidR="00855A10">
        <w:t xml:space="preserve">To avoid </w:t>
      </w:r>
      <w:r w:rsidR="006F4A2B">
        <w:t>administrator’s</w:t>
      </w:r>
      <w:r w:rsidR="00855A10">
        <w:t xml:space="preserve"> extensive access and use of database</w:t>
      </w:r>
      <w:r w:rsidR="00B26AC0">
        <w:t>,</w:t>
      </w:r>
      <w:r w:rsidR="005B1C9D">
        <w:t xml:space="preserve"> </w:t>
      </w:r>
      <w:r w:rsidR="00583F9F">
        <w:t xml:space="preserve">a </w:t>
      </w:r>
      <w:r w:rsidR="005B1C9D">
        <w:t>new component called Test Delivery System Administration (</w:t>
      </w:r>
      <w:proofErr w:type="spellStart"/>
      <w:r w:rsidR="005B1C9D">
        <w:t>TDSAdmin</w:t>
      </w:r>
      <w:proofErr w:type="spellEnd"/>
      <w:r w:rsidR="005B1C9D">
        <w:t xml:space="preserve">) was created. </w:t>
      </w:r>
    </w:p>
    <w:p w14:paraId="3F0509EE" w14:textId="77777777" w:rsidR="00D07E28" w:rsidRPr="00DA77D9" w:rsidRDefault="00D07E28" w:rsidP="00D07E28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6" w:name="_Toc382557164"/>
      <w:bookmarkStart w:id="7" w:name="_Toc447555335"/>
      <w:r w:rsidRPr="00D07E28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References</w:t>
      </w:r>
      <w:bookmarkEnd w:id="6"/>
      <w:bookmarkEnd w:id="7"/>
      <w:r w:rsidR="00DA77D9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br/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398"/>
        <w:gridCol w:w="2590"/>
        <w:gridCol w:w="6030"/>
        <w:gridCol w:w="1170"/>
      </w:tblGrid>
      <w:tr w:rsidR="00FC5BD0" w:rsidRPr="00DB4A5F" w14:paraId="6972385D" w14:textId="77777777" w:rsidTr="00FC5BD0">
        <w:trPr>
          <w:cantSplit/>
          <w:tblHeader/>
        </w:trPr>
        <w:tc>
          <w:tcPr>
            <w:tcW w:w="398" w:type="dxa"/>
            <w:shd w:val="clear" w:color="auto" w:fill="D9D9D9" w:themeFill="background1" w:themeFillShade="D9"/>
          </w:tcPr>
          <w:p w14:paraId="3F5AD1FE" w14:textId="77777777" w:rsidR="00D07E28" w:rsidRPr="00DB4A5F" w:rsidRDefault="00D07E28" w:rsidP="00F76262">
            <w:pPr>
              <w:rPr>
                <w:b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1A36D1A5" w14:textId="77777777" w:rsidR="00D07E28" w:rsidRPr="00DB4A5F" w:rsidRDefault="00D07E28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156EA6" w14:textId="2D70B7F7" w:rsidR="00D07E28" w:rsidRPr="00DB4A5F" w:rsidRDefault="00FC5BD0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Location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2A9A1" w14:textId="77777777" w:rsidR="00D07E28" w:rsidRPr="00DB4A5F" w:rsidRDefault="00D07E28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Version</w:t>
            </w:r>
          </w:p>
        </w:tc>
      </w:tr>
      <w:tr w:rsidR="00FC5BD0" w:rsidRPr="00DB4A5F" w14:paraId="329F34F8" w14:textId="77777777" w:rsidTr="00FC5BD0">
        <w:trPr>
          <w:cantSplit/>
        </w:trPr>
        <w:tc>
          <w:tcPr>
            <w:tcW w:w="398" w:type="dxa"/>
            <w:vAlign w:val="center"/>
          </w:tcPr>
          <w:p w14:paraId="59F04721" w14:textId="5EA6205C" w:rsidR="00D07E28" w:rsidRDefault="00855A10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590" w:type="dxa"/>
            <w:vAlign w:val="center"/>
          </w:tcPr>
          <w:p w14:paraId="71E5AB48" w14:textId="1A476595" w:rsidR="00D07E28" w:rsidRDefault="00795658" w:rsidP="00F76262">
            <w:pPr>
              <w:rPr>
                <w:rFonts w:cstheme="minorHAnsi"/>
                <w:sz w:val="18"/>
                <w:szCs w:val="18"/>
              </w:rPr>
            </w:pPr>
            <w:r w:rsidRPr="00795658">
              <w:rPr>
                <w:rFonts w:cstheme="minorHAnsi"/>
                <w:sz w:val="18"/>
                <w:szCs w:val="18"/>
              </w:rPr>
              <w:t>TDSAdmin-TestCases.xlsx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2E8D162" w14:textId="5E24D15B" w:rsidR="00D07E28" w:rsidRPr="00DB4A5F" w:rsidRDefault="00795658" w:rsidP="00FC5BD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TDS Admin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FC5BD0">
              <w:rPr>
                <w:rFonts w:cstheme="minorHAnsi"/>
                <w:sz w:val="18"/>
                <w:szCs w:val="18"/>
              </w:rPr>
              <w:t>source code repository documentation folder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8B5698E" w14:textId="77777777" w:rsidR="00D07E28" w:rsidRPr="00DB4A5F" w:rsidRDefault="003A6CFE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</w:tr>
      <w:tr w:rsidR="00FC5BD0" w:rsidRPr="00DB4A5F" w14:paraId="588E2E95" w14:textId="77777777" w:rsidTr="00FC5BD0">
        <w:trPr>
          <w:cantSplit/>
          <w:trHeight w:val="161"/>
        </w:trPr>
        <w:tc>
          <w:tcPr>
            <w:tcW w:w="398" w:type="dxa"/>
            <w:vAlign w:val="center"/>
          </w:tcPr>
          <w:p w14:paraId="20BFD368" w14:textId="26345D6A" w:rsidR="00FC5BD0" w:rsidRPr="00DB4A5F" w:rsidRDefault="00855A10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590" w:type="dxa"/>
            <w:vAlign w:val="center"/>
          </w:tcPr>
          <w:p w14:paraId="7A1DF0EE" w14:textId="4B9A8760" w:rsidR="00FC5BD0" w:rsidRPr="00DB4A5F" w:rsidRDefault="00795658" w:rsidP="00F76262">
            <w:pPr>
              <w:rPr>
                <w:rFonts w:cstheme="minorHAnsi"/>
                <w:sz w:val="18"/>
                <w:szCs w:val="18"/>
              </w:rPr>
            </w:pPr>
            <w:r w:rsidRPr="00795658">
              <w:rPr>
                <w:rFonts w:cstheme="minorHAnsi"/>
                <w:sz w:val="18"/>
                <w:szCs w:val="18"/>
              </w:rPr>
              <w:t>TDSAdmin-Requirements.docx</w:t>
            </w:r>
            <w:r>
              <w:rPr>
                <w:rFonts w:cstheme="minorHAnsi"/>
                <w:sz w:val="18"/>
                <w:szCs w:val="18"/>
              </w:rPr>
              <w:t xml:space="preserve"> or pdf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9B0C47B" w14:textId="2BA8F57F" w:rsidR="00FC5BD0" w:rsidRPr="00DB4A5F" w:rsidRDefault="00795658" w:rsidP="0079565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TDS Admin </w:t>
            </w:r>
            <w:r w:rsidR="00FC5BD0">
              <w:rPr>
                <w:rFonts w:cstheme="minorHAnsi"/>
                <w:sz w:val="18"/>
                <w:szCs w:val="18"/>
              </w:rPr>
              <w:t>source code repository documentation folder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D6EA3C9" w14:textId="675B4533" w:rsidR="00FC5BD0" w:rsidRPr="00DB4A5F" w:rsidRDefault="00FC5BD0" w:rsidP="00F76262">
            <w:pPr>
              <w:rPr>
                <w:rFonts w:cstheme="minorHAnsi"/>
                <w:sz w:val="18"/>
                <w:szCs w:val="18"/>
              </w:rPr>
            </w:pPr>
            <w:r w:rsidRPr="00E96244">
              <w:rPr>
                <w:rFonts w:cstheme="minorHAnsi"/>
                <w:sz w:val="18"/>
                <w:szCs w:val="18"/>
              </w:rPr>
              <w:t>1.</w:t>
            </w:r>
            <w:r w:rsidR="001C40CB" w:rsidRPr="00E96244"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p w14:paraId="05448479" w14:textId="5D7819ED" w:rsidR="00B15282" w:rsidRDefault="00872DC4" w:rsidP="00872DC4">
      <w:pPr>
        <w:pStyle w:val="Caption"/>
      </w:pPr>
      <w:bookmarkStart w:id="8" w:name="_Toc445763999"/>
      <w:r>
        <w:t xml:space="preserve">Table </w:t>
      </w:r>
      <w:r w:rsidR="00671D76">
        <w:fldChar w:fldCharType="begin"/>
      </w:r>
      <w:r w:rsidR="00671D76">
        <w:instrText xml:space="preserve"> SEQ Table \* ARABIC </w:instrText>
      </w:r>
      <w:r w:rsidR="00671D76">
        <w:fldChar w:fldCharType="separate"/>
      </w:r>
      <w:r>
        <w:rPr>
          <w:noProof/>
        </w:rPr>
        <w:t>1</w:t>
      </w:r>
      <w:r w:rsidR="00671D76">
        <w:rPr>
          <w:noProof/>
        </w:rPr>
        <w:fldChar w:fldCharType="end"/>
      </w:r>
      <w:r>
        <w:t>: References</w:t>
      </w:r>
      <w:bookmarkEnd w:id="8"/>
    </w:p>
    <w:p w14:paraId="309AB774" w14:textId="395C5245" w:rsidR="007B6955" w:rsidRPr="007B6955" w:rsidRDefault="00B10B2D" w:rsidP="007B6955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9" w:name="_Toc447555336"/>
      <w:r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Scope of testing</w:t>
      </w:r>
      <w:bookmarkEnd w:id="9"/>
      <w:r w:rsidR="00630D0C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 xml:space="preserve"> and preconditions</w:t>
      </w:r>
      <w:r w:rsid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br/>
      </w:r>
    </w:p>
    <w:p w14:paraId="31755E4A" w14:textId="60054914" w:rsidR="005B1C9D" w:rsidRDefault="005B1C9D" w:rsidP="006F4A2B">
      <w:r>
        <w:t xml:space="preserve">There are 17 requirements for TO17, which can be divided in </w:t>
      </w:r>
      <w:r w:rsidR="00B26AC0">
        <w:t xml:space="preserve">to </w:t>
      </w:r>
      <w:r>
        <w:t>2 categories:</w:t>
      </w:r>
    </w:p>
    <w:p w14:paraId="66E058E1" w14:textId="68DE98A5" w:rsidR="005B1C9D" w:rsidRDefault="005B1C9D" w:rsidP="006F4A2B">
      <w:pPr>
        <w:pStyle w:val="ListParagraph"/>
        <w:numPr>
          <w:ilvl w:val="0"/>
          <w:numId w:val="19"/>
        </w:numPr>
      </w:pPr>
      <w:r>
        <w:t>Requirements describing user interface and behavior of</w:t>
      </w:r>
      <w:r w:rsidR="00AF1560">
        <w:t xml:space="preserve"> the</w:t>
      </w:r>
      <w:r>
        <w:t xml:space="preserve"> </w:t>
      </w:r>
      <w:proofErr w:type="spellStart"/>
      <w:r>
        <w:t>TDSAdmin</w:t>
      </w:r>
      <w:proofErr w:type="spellEnd"/>
      <w:r>
        <w:t xml:space="preserve"> component</w:t>
      </w:r>
      <w:r w:rsidR="00855A10">
        <w:t xml:space="preserve"> </w:t>
      </w:r>
      <w:r w:rsidR="00855A10" w:rsidRPr="006F4A2B">
        <w:t>(1-</w:t>
      </w:r>
      <w:r w:rsidR="006E4542" w:rsidRPr="006F4A2B">
        <w:t>7</w:t>
      </w:r>
      <w:r w:rsidR="00E37BAB" w:rsidRPr="006F4A2B">
        <w:t>, 15-17)</w:t>
      </w:r>
    </w:p>
    <w:p w14:paraId="2D183BCC" w14:textId="3B58F27F" w:rsidR="00252CBF" w:rsidRDefault="005B1C9D" w:rsidP="006F4A2B">
      <w:pPr>
        <w:pStyle w:val="ListParagraph"/>
        <w:numPr>
          <w:ilvl w:val="0"/>
          <w:numId w:val="19"/>
        </w:numPr>
      </w:pPr>
      <w:r>
        <w:t xml:space="preserve">Requirements describing </w:t>
      </w:r>
      <w:r w:rsidR="00AF1560">
        <w:t xml:space="preserve">the </w:t>
      </w:r>
      <w:r>
        <w:t>stored procedure</w:t>
      </w:r>
      <w:r w:rsidR="00AF4863">
        <w:t>s which</w:t>
      </w:r>
      <w:r w:rsidR="00AF1560">
        <w:t xml:space="preserve"> the</w:t>
      </w:r>
      <w:r w:rsidR="00AF4863">
        <w:t xml:space="preserve"> </w:t>
      </w:r>
      <w:proofErr w:type="spellStart"/>
      <w:r w:rsidR="00AF4863">
        <w:t>TDSAdmin</w:t>
      </w:r>
      <w:proofErr w:type="spellEnd"/>
      <w:r w:rsidR="00AF4863">
        <w:t xml:space="preserve"> component request</w:t>
      </w:r>
      <w:r w:rsidR="00AF1560">
        <w:t>s</w:t>
      </w:r>
      <w:r w:rsidR="00AF4863">
        <w:t xml:space="preserve"> to execute in Test Delivery System</w:t>
      </w:r>
      <w:r w:rsidR="00E37BAB">
        <w:t xml:space="preserve"> </w:t>
      </w:r>
      <w:r w:rsidR="00E37BAB" w:rsidRPr="006F4A2B">
        <w:t>(8-14)</w:t>
      </w:r>
    </w:p>
    <w:p w14:paraId="00299355" w14:textId="240C80D8" w:rsidR="00C67421" w:rsidRDefault="00C67421" w:rsidP="00252CBF">
      <w:pPr>
        <w:pStyle w:val="ListParagraph"/>
      </w:pPr>
    </w:p>
    <w:p w14:paraId="5605D0FC" w14:textId="0BDED5F2" w:rsidR="00C67421" w:rsidRDefault="00AF1560" w:rsidP="00B10B2D">
      <w:r>
        <w:t xml:space="preserve">The </w:t>
      </w:r>
      <w:proofErr w:type="spellStart"/>
      <w:r w:rsidR="00131BA9">
        <w:t>TDSAdmin</w:t>
      </w:r>
      <w:proofErr w:type="spellEnd"/>
      <w:r w:rsidR="00131BA9">
        <w:t xml:space="preserve"> interface and behavior is relatively simple and do</w:t>
      </w:r>
      <w:r w:rsidR="00583F9F">
        <w:t>es</w:t>
      </w:r>
      <w:r w:rsidR="00131BA9">
        <w:t xml:space="preserve">n’t require specific information and preconditions </w:t>
      </w:r>
      <w:r>
        <w:t>other</w:t>
      </w:r>
      <w:r>
        <w:t xml:space="preserve"> </w:t>
      </w:r>
      <w:r w:rsidR="00131BA9">
        <w:t xml:space="preserve">than </w:t>
      </w:r>
      <w:r>
        <w:t xml:space="preserve">those </w:t>
      </w:r>
      <w:r w:rsidR="00131BA9">
        <w:t xml:space="preserve">already described in test cases. </w:t>
      </w:r>
    </w:p>
    <w:p w14:paraId="33239478" w14:textId="3653418B" w:rsidR="00E37BAB" w:rsidRDefault="00131BA9" w:rsidP="00B10B2D">
      <w:r>
        <w:t xml:space="preserve">Stored procedures have several restrictions to which type of opportunities they can be applied as well as rules for </w:t>
      </w:r>
      <w:r w:rsidR="00AF1560">
        <w:t>procedure</w:t>
      </w:r>
      <w:r w:rsidR="00AF1560">
        <w:t xml:space="preserve"> </w:t>
      </w:r>
      <w:r>
        <w:t>parameters.</w:t>
      </w:r>
      <w:r w:rsidR="00E37BAB">
        <w:t xml:space="preserve"> </w:t>
      </w:r>
      <w:r w:rsidR="00AF1560">
        <w:t xml:space="preserve">The </w:t>
      </w:r>
      <w:r w:rsidR="00E37BAB">
        <w:t>QA team should verify that</w:t>
      </w:r>
      <w:r w:rsidR="00AF1560">
        <w:t xml:space="preserve"> the</w:t>
      </w:r>
      <w:r w:rsidR="00E37BAB">
        <w:t xml:space="preserve"> application do</w:t>
      </w:r>
      <w:r w:rsidR="00AF1560">
        <w:t>es</w:t>
      </w:r>
      <w:r w:rsidR="00E37BAB">
        <w:t>n’t allow users to break these rules and restrictions.</w:t>
      </w:r>
      <w:r w:rsidR="00A94D7F">
        <w:t xml:space="preserve"> Rules are specific </w:t>
      </w:r>
      <w:r w:rsidR="00AF1560">
        <w:t>to each</w:t>
      </w:r>
      <w:r w:rsidR="00A94D7F">
        <w:t xml:space="preserve"> procedure and </w:t>
      </w:r>
      <w:r w:rsidR="00AF1560">
        <w:t>are</w:t>
      </w:r>
      <w:r w:rsidR="00A94D7F">
        <w:t xml:space="preserve"> described in </w:t>
      </w:r>
      <w:r w:rsidR="009A6F4D">
        <w:t xml:space="preserve">designated </w:t>
      </w:r>
      <w:r w:rsidR="00A94D7F">
        <w:t>test cases.</w:t>
      </w:r>
      <w:r w:rsidR="00630D0C">
        <w:t xml:space="preserve"> </w:t>
      </w:r>
      <w:r w:rsidR="00AF1560">
        <w:t>Additionally,</w:t>
      </w:r>
      <w:r w:rsidR="00AF1560">
        <w:t xml:space="preserve"> </w:t>
      </w:r>
      <w:r w:rsidR="00630D0C">
        <w:t>test cases will provide information about which test opportunities QA team should create in advance to test various scenarios for specific stored procedures.</w:t>
      </w:r>
    </w:p>
    <w:p w14:paraId="067A1EE3" w14:textId="0F4A377B" w:rsidR="001C40CB" w:rsidRDefault="00131BA9" w:rsidP="00E96244">
      <w:r>
        <w:t xml:space="preserve">All procedures modify database information for opportunities, which in general will change TDS Student application behavior. </w:t>
      </w:r>
      <w:r w:rsidR="00C61C73">
        <w:t xml:space="preserve">These stored procedures </w:t>
      </w:r>
      <w:r w:rsidR="00583F9F">
        <w:t>were</w:t>
      </w:r>
      <w:r w:rsidR="00C61C73">
        <w:t xml:space="preserve"> developed </w:t>
      </w:r>
      <w:r w:rsidR="00583F9F">
        <w:t>prior to the TDS Admin application</w:t>
      </w:r>
      <w:r w:rsidR="00C61C73">
        <w:t>. TDS</w:t>
      </w:r>
      <w:r w:rsidR="00583F9F">
        <w:t xml:space="preserve"> </w:t>
      </w:r>
      <w:r w:rsidR="00C61C73">
        <w:t xml:space="preserve">Admin is a </w:t>
      </w:r>
      <w:r w:rsidR="00583F9F">
        <w:t>user interface</w:t>
      </w:r>
      <w:r w:rsidR="00C61C73">
        <w:t xml:space="preserve"> which allow</w:t>
      </w:r>
      <w:r w:rsidR="00583F9F">
        <w:t>s</w:t>
      </w:r>
      <w:r w:rsidR="00C61C73">
        <w:t xml:space="preserve"> administrators to execute the</w:t>
      </w:r>
      <w:r w:rsidR="00583F9F">
        <w:t>se procedures</w:t>
      </w:r>
      <w:r w:rsidR="00C61C73">
        <w:t xml:space="preserve"> without logging </w:t>
      </w:r>
      <w:r w:rsidR="00583F9F">
        <w:t>directly in</w:t>
      </w:r>
      <w:r w:rsidR="00C61C73">
        <w:t xml:space="preserve">to </w:t>
      </w:r>
      <w:r w:rsidR="00583F9F">
        <w:t xml:space="preserve">the </w:t>
      </w:r>
      <w:r w:rsidR="00C61C73">
        <w:t>database. Because of that</w:t>
      </w:r>
      <w:r w:rsidR="00583F9F">
        <w:t>,</w:t>
      </w:r>
      <w:r w:rsidR="00C61C73">
        <w:t xml:space="preserve"> </w:t>
      </w:r>
      <w:r w:rsidR="00583F9F">
        <w:t xml:space="preserve">the </w:t>
      </w:r>
      <w:r w:rsidR="00C61C73">
        <w:t>QA team can make an assumption that</w:t>
      </w:r>
      <w:r w:rsidR="00583F9F">
        <w:t xml:space="preserve"> the</w:t>
      </w:r>
      <w:r w:rsidR="00C61C73">
        <w:t xml:space="preserve"> stored procedures are working as expected and </w:t>
      </w:r>
      <w:r w:rsidR="00583F9F">
        <w:t xml:space="preserve">the </w:t>
      </w:r>
      <w:r w:rsidR="00C61C73">
        <w:t xml:space="preserve">main focus of testing should be to verify not only </w:t>
      </w:r>
      <w:r w:rsidR="009A6F4D">
        <w:t xml:space="preserve">that </w:t>
      </w:r>
      <w:r w:rsidR="00583F9F">
        <w:t xml:space="preserve">the </w:t>
      </w:r>
      <w:r w:rsidR="00C61C73">
        <w:t>UI show</w:t>
      </w:r>
      <w:r w:rsidR="00583F9F">
        <w:t>s</w:t>
      </w:r>
      <w:r w:rsidR="00C61C73">
        <w:t xml:space="preserve"> conf</w:t>
      </w:r>
      <w:r w:rsidR="00583F9F">
        <w:t>i</w:t>
      </w:r>
      <w:r w:rsidR="00C61C73">
        <w:t>rmation of</w:t>
      </w:r>
      <w:r w:rsidR="00583F9F">
        <w:t xml:space="preserve"> a</w:t>
      </w:r>
      <w:r w:rsidR="00C61C73">
        <w:t xml:space="preserve"> procedure</w:t>
      </w:r>
      <w:r w:rsidR="00583F9F">
        <w:t>'s</w:t>
      </w:r>
      <w:r w:rsidR="00C61C73">
        <w:t xml:space="preserve"> </w:t>
      </w:r>
      <w:r w:rsidR="009A6F4D">
        <w:t xml:space="preserve">successful </w:t>
      </w:r>
      <w:r w:rsidR="00C61C73">
        <w:t>completion</w:t>
      </w:r>
      <w:r w:rsidR="00583F9F">
        <w:t>,</w:t>
      </w:r>
      <w:r w:rsidR="00C61C73">
        <w:t xml:space="preserve"> but also that</w:t>
      </w:r>
      <w:r w:rsidR="00583F9F">
        <w:t xml:space="preserve"> the</w:t>
      </w:r>
      <w:r w:rsidR="00C61C73">
        <w:t xml:space="preserve"> procedure was executed. </w:t>
      </w:r>
      <w:r w:rsidR="00BD078F">
        <w:t xml:space="preserve">It is </w:t>
      </w:r>
      <w:r w:rsidR="00E37BAB">
        <w:t>unnecessary</w:t>
      </w:r>
      <w:r w:rsidR="00BD078F">
        <w:t xml:space="preserve"> to verify each change made by procedure to check that it was applied, so </w:t>
      </w:r>
      <w:r w:rsidR="00BD078F">
        <w:lastRenderedPageBreak/>
        <w:t>testing scope is limited to verifying parameters from “</w:t>
      </w:r>
      <w:proofErr w:type="spellStart"/>
      <w:proofErr w:type="gramStart"/>
      <w:r w:rsidR="00BD078F" w:rsidRPr="00BD078F">
        <w:t>session.testopportunity</w:t>
      </w:r>
      <w:proofErr w:type="spellEnd"/>
      <w:proofErr w:type="gramEnd"/>
      <w:r w:rsidR="00BD078F">
        <w:t xml:space="preserve">” table </w:t>
      </w:r>
      <w:r w:rsidR="009A6F4D">
        <w:t xml:space="preserve">in TDS DB </w:t>
      </w:r>
      <w:r w:rsidR="00BD078F">
        <w:t>and also verifying changes for proctor and student</w:t>
      </w:r>
      <w:r w:rsidR="009A6F4D">
        <w:t xml:space="preserve"> UI</w:t>
      </w:r>
      <w:r w:rsidR="00BD078F">
        <w:t xml:space="preserve"> where applicable.</w:t>
      </w:r>
      <w:r w:rsidR="00E37BAB">
        <w:t xml:space="preserve"> </w:t>
      </w:r>
    </w:p>
    <w:sectPr w:rsidR="001C40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3165F" w14:textId="77777777" w:rsidR="00671D76" w:rsidRDefault="00671D76" w:rsidP="007B6955">
      <w:pPr>
        <w:spacing w:after="0" w:line="240" w:lineRule="auto"/>
      </w:pPr>
      <w:r>
        <w:separator/>
      </w:r>
    </w:p>
  </w:endnote>
  <w:endnote w:type="continuationSeparator" w:id="0">
    <w:p w14:paraId="0A84EA8A" w14:textId="77777777" w:rsidR="00671D76" w:rsidRDefault="00671D76" w:rsidP="007B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647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9D8C9" w14:textId="77777777" w:rsidR="001B62CD" w:rsidRDefault="001B62CD" w:rsidP="007B695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A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E4E2A" w14:textId="77777777" w:rsidR="001B62CD" w:rsidRDefault="001B62CD">
    <w:pPr>
      <w:pStyle w:val="Footer"/>
    </w:pPr>
  </w:p>
  <w:p w14:paraId="21099579" w14:textId="77777777" w:rsidR="001B62CD" w:rsidRDefault="001B62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CE2C7" w14:textId="77777777" w:rsidR="00671D76" w:rsidRDefault="00671D76" w:rsidP="007B6955">
      <w:pPr>
        <w:spacing w:after="0" w:line="240" w:lineRule="auto"/>
      </w:pPr>
      <w:r>
        <w:separator/>
      </w:r>
    </w:p>
  </w:footnote>
  <w:footnote w:type="continuationSeparator" w:id="0">
    <w:p w14:paraId="39CFE05C" w14:textId="77777777" w:rsidR="00671D76" w:rsidRDefault="00671D76" w:rsidP="007B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59720" w14:textId="3D5A5C6C" w:rsidR="001B62CD" w:rsidRDefault="001B62CD" w:rsidP="00122806">
    <w:pPr>
      <w:pStyle w:val="Header"/>
      <w:pBdr>
        <w:bottom w:val="single" w:sz="4" w:space="18" w:color="auto"/>
      </w:pBdr>
      <w:jc w:val="center"/>
    </w:pPr>
    <w:r>
      <w:t>Smarter Balanced Test Delivery System – Task Order 15 Test plan</w:t>
    </w:r>
  </w:p>
  <w:p w14:paraId="2B53876F" w14:textId="77777777" w:rsidR="001B62CD" w:rsidRDefault="001B62CD">
    <w:pPr>
      <w:pStyle w:val="Header"/>
    </w:pPr>
  </w:p>
  <w:p w14:paraId="3E7F7AE0" w14:textId="77777777" w:rsidR="001B62CD" w:rsidRDefault="001B62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711B8"/>
    <w:multiLevelType w:val="hybridMultilevel"/>
    <w:tmpl w:val="D8E2F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C98"/>
    <w:multiLevelType w:val="hybridMultilevel"/>
    <w:tmpl w:val="84D6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0469"/>
    <w:multiLevelType w:val="multilevel"/>
    <w:tmpl w:val="9D788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2A622267"/>
    <w:multiLevelType w:val="hybridMultilevel"/>
    <w:tmpl w:val="448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C385C"/>
    <w:multiLevelType w:val="multilevel"/>
    <w:tmpl w:val="86BC68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47D6306"/>
    <w:multiLevelType w:val="multilevel"/>
    <w:tmpl w:val="6CDCA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8A374AE"/>
    <w:multiLevelType w:val="hybridMultilevel"/>
    <w:tmpl w:val="448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F6BE1"/>
    <w:multiLevelType w:val="hybridMultilevel"/>
    <w:tmpl w:val="91F2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D1E36"/>
    <w:multiLevelType w:val="hybridMultilevel"/>
    <w:tmpl w:val="9C9E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D135E"/>
    <w:multiLevelType w:val="hybridMultilevel"/>
    <w:tmpl w:val="7B5C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E1B87"/>
    <w:multiLevelType w:val="multilevel"/>
    <w:tmpl w:val="9DF8D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>
    <w:nsid w:val="626347DB"/>
    <w:multiLevelType w:val="hybridMultilevel"/>
    <w:tmpl w:val="D8E6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330F7"/>
    <w:multiLevelType w:val="hybridMultilevel"/>
    <w:tmpl w:val="2460045C"/>
    <w:lvl w:ilvl="0" w:tplc="BEFC753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20FB6"/>
    <w:multiLevelType w:val="hybridMultilevel"/>
    <w:tmpl w:val="5330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620D4"/>
    <w:multiLevelType w:val="hybridMultilevel"/>
    <w:tmpl w:val="A902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1"/>
  </w:num>
  <w:num w:numId="12">
    <w:abstractNumId w:val="14"/>
  </w:num>
  <w:num w:numId="13">
    <w:abstractNumId w:val="7"/>
  </w:num>
  <w:num w:numId="14">
    <w:abstractNumId w:val="12"/>
  </w:num>
  <w:num w:numId="15">
    <w:abstractNumId w:val="4"/>
  </w:num>
  <w:num w:numId="16">
    <w:abstractNumId w:val="11"/>
  </w:num>
  <w:num w:numId="17">
    <w:abstractNumId w:val="13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BA"/>
    <w:rsid w:val="00007D2A"/>
    <w:rsid w:val="00042956"/>
    <w:rsid w:val="00047F73"/>
    <w:rsid w:val="000527B4"/>
    <w:rsid w:val="00064BFB"/>
    <w:rsid w:val="000666E1"/>
    <w:rsid w:val="0008030B"/>
    <w:rsid w:val="00083EA0"/>
    <w:rsid w:val="000B7516"/>
    <w:rsid w:val="000D3AF2"/>
    <w:rsid w:val="000E4D75"/>
    <w:rsid w:val="00122806"/>
    <w:rsid w:val="001313EB"/>
    <w:rsid w:val="00131BA9"/>
    <w:rsid w:val="00143695"/>
    <w:rsid w:val="001770C0"/>
    <w:rsid w:val="001A7E93"/>
    <w:rsid w:val="001B62CD"/>
    <w:rsid w:val="001C40CB"/>
    <w:rsid w:val="001F5ACE"/>
    <w:rsid w:val="00200C82"/>
    <w:rsid w:val="00202359"/>
    <w:rsid w:val="00202424"/>
    <w:rsid w:val="00213069"/>
    <w:rsid w:val="002255F2"/>
    <w:rsid w:val="00252CBF"/>
    <w:rsid w:val="00257D35"/>
    <w:rsid w:val="00281AB6"/>
    <w:rsid w:val="002B56D0"/>
    <w:rsid w:val="002B64F4"/>
    <w:rsid w:val="002C081B"/>
    <w:rsid w:val="002D1ECA"/>
    <w:rsid w:val="00327242"/>
    <w:rsid w:val="00344352"/>
    <w:rsid w:val="00370D1A"/>
    <w:rsid w:val="00370E67"/>
    <w:rsid w:val="00372C22"/>
    <w:rsid w:val="00394C87"/>
    <w:rsid w:val="003A6CFE"/>
    <w:rsid w:val="003B42BC"/>
    <w:rsid w:val="003B5B01"/>
    <w:rsid w:val="003C147C"/>
    <w:rsid w:val="003C4F30"/>
    <w:rsid w:val="003D3EC1"/>
    <w:rsid w:val="003E303E"/>
    <w:rsid w:val="003E557A"/>
    <w:rsid w:val="003E6A78"/>
    <w:rsid w:val="003F1673"/>
    <w:rsid w:val="004045B8"/>
    <w:rsid w:val="00425069"/>
    <w:rsid w:val="004657CE"/>
    <w:rsid w:val="004668C0"/>
    <w:rsid w:val="004C33C7"/>
    <w:rsid w:val="004E25C9"/>
    <w:rsid w:val="004E7B11"/>
    <w:rsid w:val="00525A39"/>
    <w:rsid w:val="005326C1"/>
    <w:rsid w:val="00540E68"/>
    <w:rsid w:val="00550CB1"/>
    <w:rsid w:val="005832D9"/>
    <w:rsid w:val="00583F9F"/>
    <w:rsid w:val="0058456D"/>
    <w:rsid w:val="00587C6A"/>
    <w:rsid w:val="005B1C9D"/>
    <w:rsid w:val="005D09B9"/>
    <w:rsid w:val="005F5005"/>
    <w:rsid w:val="00630D0C"/>
    <w:rsid w:val="006476C0"/>
    <w:rsid w:val="0067056A"/>
    <w:rsid w:val="00671D76"/>
    <w:rsid w:val="0068050C"/>
    <w:rsid w:val="006912ED"/>
    <w:rsid w:val="006C00FB"/>
    <w:rsid w:val="006D78A8"/>
    <w:rsid w:val="006E4542"/>
    <w:rsid w:val="006F4A2B"/>
    <w:rsid w:val="007232E6"/>
    <w:rsid w:val="007273BE"/>
    <w:rsid w:val="00776A08"/>
    <w:rsid w:val="00795658"/>
    <w:rsid w:val="007B6955"/>
    <w:rsid w:val="007D5446"/>
    <w:rsid w:val="007F0CF2"/>
    <w:rsid w:val="007F2F2B"/>
    <w:rsid w:val="008255D4"/>
    <w:rsid w:val="00827DC8"/>
    <w:rsid w:val="00855A10"/>
    <w:rsid w:val="00872DC4"/>
    <w:rsid w:val="00881915"/>
    <w:rsid w:val="008A5D57"/>
    <w:rsid w:val="00904246"/>
    <w:rsid w:val="00917C6A"/>
    <w:rsid w:val="0095434E"/>
    <w:rsid w:val="009568DF"/>
    <w:rsid w:val="00963FB6"/>
    <w:rsid w:val="0096578B"/>
    <w:rsid w:val="00990205"/>
    <w:rsid w:val="00991E74"/>
    <w:rsid w:val="00993707"/>
    <w:rsid w:val="009A6F4D"/>
    <w:rsid w:val="009B7E39"/>
    <w:rsid w:val="009D0CDC"/>
    <w:rsid w:val="009E36A6"/>
    <w:rsid w:val="009F7262"/>
    <w:rsid w:val="00A22DCD"/>
    <w:rsid w:val="00A23195"/>
    <w:rsid w:val="00A36C8D"/>
    <w:rsid w:val="00A407DA"/>
    <w:rsid w:val="00A67ABE"/>
    <w:rsid w:val="00A76F06"/>
    <w:rsid w:val="00A829F6"/>
    <w:rsid w:val="00A8403F"/>
    <w:rsid w:val="00A94D7F"/>
    <w:rsid w:val="00AC00FF"/>
    <w:rsid w:val="00AF1560"/>
    <w:rsid w:val="00AF4863"/>
    <w:rsid w:val="00B1036C"/>
    <w:rsid w:val="00B10B2D"/>
    <w:rsid w:val="00B14BB4"/>
    <w:rsid w:val="00B14BBA"/>
    <w:rsid w:val="00B15282"/>
    <w:rsid w:val="00B22C10"/>
    <w:rsid w:val="00B26AC0"/>
    <w:rsid w:val="00B613E9"/>
    <w:rsid w:val="00B90D5E"/>
    <w:rsid w:val="00BD078F"/>
    <w:rsid w:val="00BF2B26"/>
    <w:rsid w:val="00C1055F"/>
    <w:rsid w:val="00C11147"/>
    <w:rsid w:val="00C22047"/>
    <w:rsid w:val="00C33277"/>
    <w:rsid w:val="00C61C73"/>
    <w:rsid w:val="00C67421"/>
    <w:rsid w:val="00C8287E"/>
    <w:rsid w:val="00CA608E"/>
    <w:rsid w:val="00CF1D2C"/>
    <w:rsid w:val="00CF674B"/>
    <w:rsid w:val="00D06277"/>
    <w:rsid w:val="00D07E28"/>
    <w:rsid w:val="00D35C8E"/>
    <w:rsid w:val="00D62875"/>
    <w:rsid w:val="00D7532E"/>
    <w:rsid w:val="00D84B35"/>
    <w:rsid w:val="00DA77D9"/>
    <w:rsid w:val="00DC1B00"/>
    <w:rsid w:val="00DE1049"/>
    <w:rsid w:val="00DE1CDD"/>
    <w:rsid w:val="00DE5BE5"/>
    <w:rsid w:val="00E24D74"/>
    <w:rsid w:val="00E37BAB"/>
    <w:rsid w:val="00E51738"/>
    <w:rsid w:val="00E63DC1"/>
    <w:rsid w:val="00E873EC"/>
    <w:rsid w:val="00E96244"/>
    <w:rsid w:val="00EF0C55"/>
    <w:rsid w:val="00EF3F6C"/>
    <w:rsid w:val="00F235F0"/>
    <w:rsid w:val="00F25215"/>
    <w:rsid w:val="00F32153"/>
    <w:rsid w:val="00F371AE"/>
    <w:rsid w:val="00F63196"/>
    <w:rsid w:val="00F76262"/>
    <w:rsid w:val="00F917D8"/>
    <w:rsid w:val="00F95B0B"/>
    <w:rsid w:val="00FB08C6"/>
    <w:rsid w:val="00FC266B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D6F5"/>
  <w15:docId w15:val="{E54431D0-AFE2-4F94-8BB2-48700298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7ABE"/>
    <w:pPr>
      <w:keepNext/>
      <w:numPr>
        <w:numId w:val="6"/>
      </w:numPr>
      <w:spacing w:before="240" w:after="60" w:line="240" w:lineRule="auto"/>
      <w:outlineLvl w:val="0"/>
    </w:pPr>
    <w:rPr>
      <w:rFonts w:ascii="Calibri" w:eastAsia="Times New Roman" w:hAnsi="Calibr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7ABE"/>
    <w:pPr>
      <w:keepNext/>
      <w:keepLines/>
      <w:spacing w:before="200"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BE"/>
    <w:pPr>
      <w:keepNext/>
      <w:keepLines/>
      <w:numPr>
        <w:ilvl w:val="2"/>
        <w:numId w:val="6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BE"/>
    <w:pPr>
      <w:keepNext/>
      <w:keepLines/>
      <w:numPr>
        <w:ilvl w:val="3"/>
        <w:numId w:val="6"/>
      </w:numPr>
      <w:spacing w:before="20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BE"/>
    <w:pPr>
      <w:keepNext/>
      <w:keepLines/>
      <w:numPr>
        <w:ilvl w:val="4"/>
        <w:numId w:val="6"/>
      </w:numPr>
      <w:spacing w:before="200" w:after="12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BE"/>
    <w:pPr>
      <w:keepNext/>
      <w:keepLines/>
      <w:numPr>
        <w:ilvl w:val="5"/>
        <w:numId w:val="6"/>
      </w:numPr>
      <w:spacing w:before="200" w:after="12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BE"/>
    <w:pPr>
      <w:keepNext/>
      <w:keepLines/>
      <w:numPr>
        <w:ilvl w:val="6"/>
        <w:numId w:val="6"/>
      </w:numPr>
      <w:spacing w:before="20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BE"/>
    <w:pPr>
      <w:keepNext/>
      <w:keepLines/>
      <w:numPr>
        <w:ilvl w:val="7"/>
        <w:numId w:val="6"/>
      </w:numPr>
      <w:spacing w:before="200" w:after="12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BE"/>
    <w:pPr>
      <w:keepNext/>
      <w:keepLines/>
      <w:numPr>
        <w:ilvl w:val="8"/>
        <w:numId w:val="6"/>
      </w:numPr>
      <w:spacing w:before="20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352"/>
    <w:pPr>
      <w:spacing w:before="120" w:after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7ABE"/>
    <w:rPr>
      <w:rFonts w:ascii="Calibri" w:eastAsia="Times New Roman" w:hAnsi="Calibr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A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BE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B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B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BE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55"/>
  </w:style>
  <w:style w:type="paragraph" w:styleId="Footer">
    <w:name w:val="footer"/>
    <w:basedOn w:val="Normal"/>
    <w:link w:val="Foot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55"/>
  </w:style>
  <w:style w:type="paragraph" w:styleId="BalloonText">
    <w:name w:val="Balloon Text"/>
    <w:basedOn w:val="Normal"/>
    <w:link w:val="BalloonTextChar"/>
    <w:uiPriority w:val="99"/>
    <w:semiHidden/>
    <w:unhideWhenUsed/>
    <w:rsid w:val="007B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7E28"/>
    <w:pPr>
      <w:spacing w:line="240" w:lineRule="auto"/>
      <w:jc w:val="center"/>
    </w:pPr>
    <w:rPr>
      <w:rFonts w:ascii="Calibri" w:eastAsia="Times New Roman" w:hAnsi="Calibri" w:cs="Times New Roman"/>
      <w:bCs/>
      <w:u w:val="single"/>
    </w:rPr>
  </w:style>
  <w:style w:type="character" w:styleId="Hyperlink">
    <w:name w:val="Hyperlink"/>
    <w:basedOn w:val="DefaultParagraphFont"/>
    <w:uiPriority w:val="99"/>
    <w:unhideWhenUsed/>
    <w:rsid w:val="00370D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70D1A"/>
    <w:pPr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D1A"/>
    <w:pPr>
      <w:spacing w:before="120"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D1A"/>
    <w:pPr>
      <w:spacing w:before="120"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370D1A"/>
    <w:pPr>
      <w:spacing w:before="12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C5B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B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B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B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B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63DC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3DC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63DC1"/>
    <w:rPr>
      <w:vertAlign w:val="superscript"/>
    </w:rPr>
  </w:style>
  <w:style w:type="character" w:customStyle="1" w:styleId="messagebody">
    <w:name w:val="message_body"/>
    <w:basedOn w:val="DefaultParagraphFont"/>
    <w:rsid w:val="002255F2"/>
  </w:style>
  <w:style w:type="character" w:customStyle="1" w:styleId="hps">
    <w:name w:val="hps"/>
    <w:basedOn w:val="DefaultParagraphFont"/>
    <w:rsid w:val="00990205"/>
  </w:style>
  <w:style w:type="paragraph" w:styleId="NormalWeb">
    <w:name w:val="Normal (Web)"/>
    <w:basedOn w:val="Normal"/>
    <w:uiPriority w:val="99"/>
    <w:unhideWhenUsed/>
    <w:rsid w:val="003B5B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8EFCBC-1366-AD46-A0A8-598837DA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505</Words>
  <Characters>2883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Tereshchenko</dc:creator>
  <cp:lastModifiedBy>Rami Levy</cp:lastModifiedBy>
  <cp:revision>14</cp:revision>
  <dcterms:created xsi:type="dcterms:W3CDTF">2016-03-31T22:27:00Z</dcterms:created>
  <dcterms:modified xsi:type="dcterms:W3CDTF">2016-04-24T22:45:00Z</dcterms:modified>
</cp:coreProperties>
</file>