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b w:val="1"/>
          <w:i w:val="1"/>
          <w:sz w:val="48"/>
          <w:szCs w:val="48"/>
          <w:u w:val="single"/>
          <w:rtl w:val="0"/>
        </w:rPr>
        <w:t xml:space="preserve">TDS Admin 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605588" cy="420259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4202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Figure 1: Sequence diagram for fetching opportunities and execute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Components: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TDS Admin UI : This will be one jsf page providing the interface to user for fetching opportunities, select database operations and modify opportunities.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TDS Admin Backing Bean: This is the java code working behind the UI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TDS REST API: These are the rest web service called from TDS Admin Backing Bean to interact with the database layer. TDS Admin can’t call the database layer directly.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TDS DLL: This component provides the api to execute database operation in raw level.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SSO: This manages user authentication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MNA: This manages logging of all sorts of activities within the TDS Admin application. (Not available in the diagram yet)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