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sz w:val="38"/>
        </w:rPr>
        <w:t>Amazon Break-Even Controls</w:t>
      </w:r>
    </w:p>
    <w:p>
      <w:pPr>
        <w:spacing w:after="80"/>
      </w:pPr>
      <w:r>
        <w:rPr>
          <w:rFonts w:ascii="Arial" w:hAnsi="Arial"/>
          <w:b w:val="0"/>
          <w:color w:val="66605A"/>
          <w:sz w:val="18"/>
        </w:rPr>
        <w:t>Amazon US, 6 July to 21 September 2026 (12 weeks), 158 SKUs. Refreshes monthly.</w:t>
      </w:r>
    </w:p>
    <w:p>
      <w:pPr>
        <w:pStyle w:val="Heading1"/>
        <w:spacing w:before="260" w:after="60"/>
      </w:pPr>
      <w:r>
        <w:rPr>
          <w:rFonts w:ascii="Arial" w:hAnsi="Arial"/>
          <w:sz w:val="26"/>
        </w:rPr>
        <w:t>Headline: ads run at a quarter of what the economics support</w:t>
      </w:r>
    </w:p>
    <w:p>
      <w:pPr>
        <w:spacing w:after="80"/>
      </w:pPr>
      <w:r>
        <w:rPr>
          <w:rFonts w:ascii="Arial" w:hAnsi="Arial"/>
          <w:b/>
          <w:sz w:val="19"/>
        </w:rPr>
        <w:t>Across the 52 SKUs with reliable costing, advertising could absorb $127,728 before any hit break-even. Actual spend was $32,215.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84"/>
          </w:tcPr>
          <w:p>
            <w:r/>
            <w:r>
              <w:rPr>
                <w:rFonts w:ascii="Arial" w:hAnsi="Arial"/>
                <w:b/>
                <w:sz w:val="16"/>
              </w:rPr>
              <w:t>52 SKUs with reliable costing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b/>
                <w:sz w:val="16"/>
              </w:rPr>
              <w:t>Amount</w:t>
            </w:r>
          </w:p>
        </w:tc>
      </w:tr>
      <w:tr>
        <w:tc>
          <w:tcPr>
            <w:tcW w:type="dxa" w:w="5184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Net sales</w:t>
            </w:r>
          </w:p>
        </w:tc>
        <w:tc>
          <w:tcPr>
            <w:tcW w:type="dxa" w:w="273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$292,150</w:t>
            </w:r>
          </w:p>
        </w:tc>
      </w:tr>
      <w:tr>
        <w:tc>
          <w:tcPr>
            <w:tcW w:type="dxa" w:w="5184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Actual ad spend</w:t>
            </w:r>
          </w:p>
        </w:tc>
        <w:tc>
          <w:tcPr>
            <w:tcW w:type="dxa" w:w="273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$32,215</w:t>
            </w:r>
          </w:p>
        </w:tc>
      </w:tr>
      <w:tr>
        <w:tc>
          <w:tcPr>
            <w:tcW w:type="dxa" w:w="5184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Blended ACOS</w:t>
            </w:r>
          </w:p>
        </w:tc>
        <w:tc>
          <w:tcPr>
            <w:tcW w:type="dxa" w:w="273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11.0%</w:t>
            </w:r>
          </w:p>
        </w:tc>
      </w:tr>
      <w:tr>
        <w:tc>
          <w:tcPr>
            <w:tcW w:type="dxa" w:w="5184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Median break-even ACOS</w:t>
            </w:r>
          </w:p>
        </w:tc>
        <w:tc>
          <w:tcPr>
            <w:tcW w:type="dxa" w:w="273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46.8%</w:t>
            </w:r>
          </w:p>
        </w:tc>
      </w:tr>
      <w:tr>
        <w:tc>
          <w:tcPr>
            <w:tcW w:type="dxa" w:w="5184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Spend at break-even ceiling</w:t>
            </w:r>
          </w:p>
        </w:tc>
        <w:tc>
          <w:tcPr>
            <w:tcW w:type="dxa" w:w="273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$127,728</w:t>
            </w:r>
          </w:p>
        </w:tc>
      </w:tr>
      <w:tr>
        <w:tc>
          <w:tcPr>
            <w:tcW w:type="dxa" w:w="5184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Unused headroom</w:t>
            </w:r>
          </w:p>
        </w:tc>
        <w:tc>
          <w:tcPr>
            <w:tcW w:type="dxa" w:w="273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$95,513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rial" w:hAnsi="Arial"/>
          <w:b w:val="0"/>
          <w:color w:val="66605A"/>
          <w:sz w:val="18"/>
        </w:rPr>
        <w:t>That is a ceiling, not a target: spending to break-even returns zero profit. The practical target sits below it.</w:t>
      </w:r>
    </w:p>
    <w:p>
      <w:pPr>
        <w:pStyle w:val="Heading2"/>
        <w:spacing w:before="180" w:after="60"/>
      </w:pPr>
      <w:r>
        <w:rPr>
          <w:rFonts w:ascii="Arial" w:hAnsi="Arial"/>
          <w:sz w:val="22"/>
        </w:rPr>
        <w:t>Where the headroom sits</w:t>
      </w:r>
    </w:p>
    <w:p>
      <w:pPr>
        <w:spacing w:after="80"/>
      </w:pPr>
      <w:r>
        <w:rPr>
          <w:rFonts w:ascii="Arial" w:hAnsi="Arial"/>
          <w:b w:val="0"/>
          <w:sz w:val="19"/>
        </w:rPr>
        <w:t>Three SKUs take 70% of current spend and carry most of the unused capacity.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152"/>
          </w:tcPr>
          <w:p>
            <w:r/>
            <w:r>
              <w:rPr>
                <w:rFonts w:ascii="Arial" w:hAnsi="Arial"/>
                <w:b/>
                <w:sz w:val="16"/>
              </w:rPr>
              <w:t>SKU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b/>
                <w:sz w:val="16"/>
              </w:rPr>
              <w:t>Product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/>
                <w:sz w:val="16"/>
              </w:rPr>
              <w:t>Break-even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/>
                <w:sz w:val="16"/>
              </w:rPr>
              <w:t>Actual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/>
                <w:sz w:val="16"/>
              </w:rPr>
              <w:t>Ad spend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/>
                <w:sz w:val="16"/>
              </w:rPr>
              <w:t>Headroom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CF312</w:t>
            </w:r>
          </w:p>
        </w:tc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Catnip Spray 3 oz</w:t>
            </w:r>
          </w:p>
        </w:tc>
        <w:tc>
          <w:tcPr>
            <w:tcW w:type="dxa" w:w="129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45.8%</w:t>
            </w:r>
          </w:p>
        </w:tc>
        <w:tc>
          <w:tcPr>
            <w:tcW w:type="dxa" w:w="100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15.6%</w:t>
            </w:r>
          </w:p>
        </w:tc>
        <w:tc>
          <w:tcPr>
            <w:tcW w:type="dxa" w:w="122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$9,012</w:t>
            </w:r>
          </w:p>
        </w:tc>
        <w:tc>
          <w:tcPr>
            <w:tcW w:type="dxa" w:w="129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$17,466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CF103</w:t>
            </w:r>
          </w:p>
        </w:tc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Jar of Catnibas Pawty Mix</w:t>
            </w:r>
          </w:p>
        </w:tc>
        <w:tc>
          <w:tcPr>
            <w:tcW w:type="dxa" w:w="129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43.1%</w:t>
            </w:r>
          </w:p>
        </w:tc>
        <w:tc>
          <w:tcPr>
            <w:tcW w:type="dxa" w:w="100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15.7%</w:t>
            </w:r>
          </w:p>
        </w:tc>
        <w:tc>
          <w:tcPr>
            <w:tcW w:type="dxa" w:w="122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$8,968</w:t>
            </w:r>
          </w:p>
        </w:tc>
        <w:tc>
          <w:tcPr>
            <w:tcW w:type="dxa" w:w="129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$15,681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CF007</w:t>
            </w:r>
          </w:p>
        </w:tc>
        <w:tc>
          <w:tcPr>
            <w:tcW w:type="dxa" w:w="302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Meowi-Waui</w:t>
            </w:r>
          </w:p>
        </w:tc>
        <w:tc>
          <w:tcPr>
            <w:tcW w:type="dxa" w:w="129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45.5%</w:t>
            </w:r>
          </w:p>
        </w:tc>
        <w:tc>
          <w:tcPr>
            <w:tcW w:type="dxa" w:w="100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18.6%</w:t>
            </w:r>
          </w:p>
        </w:tc>
        <w:tc>
          <w:tcPr>
            <w:tcW w:type="dxa" w:w="122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$6,091</w:t>
            </w:r>
          </w:p>
        </w:tc>
        <w:tc>
          <w:tcPr>
            <w:tcW w:type="dxa" w:w="129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$8,831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CB2583</w:t>
            </w:r>
          </w:p>
        </w:tc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Purr-Effect Trio Pack</w:t>
            </w:r>
          </w:p>
        </w:tc>
        <w:tc>
          <w:tcPr>
            <w:tcW w:type="dxa" w:w="129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50.6%</w:t>
            </w:r>
          </w:p>
        </w:tc>
        <w:tc>
          <w:tcPr>
            <w:tcW w:type="dxa" w:w="100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0.2%</w:t>
            </w:r>
          </w:p>
        </w:tc>
        <w:tc>
          <w:tcPr>
            <w:tcW w:type="dxa" w:w="122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$20</w:t>
            </w:r>
          </w:p>
        </w:tc>
        <w:tc>
          <w:tcPr>
            <w:tcW w:type="dxa" w:w="129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$5,359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CF102</w:t>
            </w:r>
          </w:p>
        </w:tc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Jar Catnibas Catnip Buds</w:t>
            </w:r>
          </w:p>
        </w:tc>
        <w:tc>
          <w:tcPr>
            <w:tcW w:type="dxa" w:w="129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50.5%</w:t>
            </w:r>
          </w:p>
        </w:tc>
        <w:tc>
          <w:tcPr>
            <w:tcW w:type="dxa" w:w="100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13.6%</w:t>
            </w:r>
          </w:p>
        </w:tc>
        <w:tc>
          <w:tcPr>
            <w:tcW w:type="dxa" w:w="122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$1,707</w:t>
            </w:r>
          </w:p>
        </w:tc>
        <w:tc>
          <w:tcPr>
            <w:tcW w:type="dxa" w:w="129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$4,641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CF316</w:t>
            </w:r>
          </w:p>
        </w:tc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3oz Catnip and Silvervine Spray</w:t>
            </w:r>
          </w:p>
        </w:tc>
        <w:tc>
          <w:tcPr>
            <w:tcW w:type="dxa" w:w="129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45.7%</w:t>
            </w:r>
          </w:p>
        </w:tc>
        <w:tc>
          <w:tcPr>
            <w:tcW w:type="dxa" w:w="100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0.0%</w:t>
            </w:r>
          </w:p>
        </w:tc>
        <w:tc>
          <w:tcPr>
            <w:tcW w:type="dxa" w:w="122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$0</w:t>
            </w:r>
          </w:p>
        </w:tc>
        <w:tc>
          <w:tcPr>
            <w:tcW w:type="dxa" w:w="129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$4,129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MTCM012</w:t>
            </w:r>
          </w:p>
        </w:tc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Purrfect Pairings Spray Trio</w:t>
            </w:r>
          </w:p>
        </w:tc>
        <w:tc>
          <w:tcPr>
            <w:tcW w:type="dxa" w:w="129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57.0%</w:t>
            </w:r>
          </w:p>
        </w:tc>
        <w:tc>
          <w:tcPr>
            <w:tcW w:type="dxa" w:w="100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0.0%</w:t>
            </w:r>
          </w:p>
        </w:tc>
        <w:tc>
          <w:tcPr>
            <w:tcW w:type="dxa" w:w="122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$0</w:t>
            </w:r>
          </w:p>
        </w:tc>
        <w:tc>
          <w:tcPr>
            <w:tcW w:type="dxa" w:w="129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$3,958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CF001</w:t>
            </w:r>
          </w:p>
        </w:tc>
        <w:tc>
          <w:tcPr>
            <w:tcW w:type="dxa" w:w="302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Kalico Kush</w:t>
            </w:r>
          </w:p>
        </w:tc>
        <w:tc>
          <w:tcPr>
            <w:tcW w:type="dxa" w:w="129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44.1%</w:t>
            </w:r>
          </w:p>
        </w:tc>
        <w:tc>
          <w:tcPr>
            <w:tcW w:type="dxa" w:w="100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3.1%</w:t>
            </w:r>
          </w:p>
        </w:tc>
        <w:tc>
          <w:tcPr>
            <w:tcW w:type="dxa" w:w="122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$266</w:t>
            </w:r>
          </w:p>
        </w:tc>
        <w:tc>
          <w:tcPr>
            <w:tcW w:type="dxa" w:w="129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$3,528</w:t>
            </w:r>
          </w:p>
        </w:tc>
      </w:tr>
    </w:tbl>
    <w:p>
      <w:pPr>
        <w:spacing w:after="20"/>
      </w:pPr>
    </w:p>
    <w:p>
      <w:pPr>
        <w:pStyle w:val="Heading2"/>
        <w:spacing w:before="180" w:after="60"/>
      </w:pPr>
      <w:r>
        <w:rPr>
          <w:rFonts w:ascii="Arial" w:hAnsi="Arial"/>
          <w:sz w:val="22"/>
        </w:rPr>
        <w:t>$33,861 in sales on zero ad spend</w:t>
      </w:r>
    </w:p>
    <w:p>
      <w:pPr>
        <w:spacing w:after="80"/>
      </w:pPr>
      <w:r>
        <w:rPr>
          <w:rFonts w:ascii="Arial" w:hAnsi="Arial"/>
          <w:b w:val="0"/>
          <w:sz w:val="19"/>
        </w:rPr>
        <w:t>Nine SKUs with proven organic demand and untested headroom.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224"/>
          </w:tcPr>
          <w:p>
            <w:r/>
            <w:r>
              <w:rPr>
                <w:rFonts w:ascii="Arial" w:hAnsi="Arial"/>
                <w:b/>
                <w:sz w:val="16"/>
              </w:rPr>
              <w:t>SKU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/>
                <w:sz w:val="16"/>
              </w:rPr>
              <w:t>Product</w:t>
            </w:r>
          </w:p>
        </w:tc>
        <w:tc>
          <w:tcPr>
            <w:tcW w:type="dxa" w:w="1368"/>
          </w:tcPr>
          <w:p>
            <w:r/>
            <w:r>
              <w:rPr>
                <w:rFonts w:ascii="Arial" w:hAnsi="Arial"/>
                <w:b/>
                <w:sz w:val="16"/>
              </w:rPr>
              <w:t>Net sales</w:t>
            </w:r>
          </w:p>
        </w:tc>
        <w:tc>
          <w:tcPr>
            <w:tcW w:type="dxa" w:w="936"/>
          </w:tcPr>
          <w:p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1368"/>
          </w:tcPr>
          <w:p>
            <w:r/>
            <w:r>
              <w:rPr>
                <w:rFonts w:ascii="Arial" w:hAnsi="Arial"/>
                <w:b/>
                <w:sz w:val="16"/>
              </w:rPr>
              <w:t>Break-even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CF316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3oz Catnip and Silvervine Spray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$9,027</w:t>
            </w:r>
          </w:p>
        </w:tc>
        <w:tc>
          <w:tcPr>
            <w:tcW w:type="dxa" w:w="93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902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45.7%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MTCM012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Purrfect Pairings Spray Trio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$6,941</w:t>
            </w:r>
          </w:p>
        </w:tc>
        <w:tc>
          <w:tcPr>
            <w:tcW w:type="dxa" w:w="93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248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57.0%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KF314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KKZ Bubbles with Built-In Wand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$5,722</w:t>
            </w:r>
          </w:p>
        </w:tc>
        <w:tc>
          <w:tcPr>
            <w:tcW w:type="dxa" w:w="93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940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8.8%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DF005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Juananip with Chamomile &amp; Passion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$4,862</w:t>
            </w:r>
          </w:p>
        </w:tc>
        <w:tc>
          <w:tcPr>
            <w:tcW w:type="dxa" w:w="93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213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62.2%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(blank)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Catnip Sampler Bundle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$2,109</w:t>
            </w:r>
          </w:p>
        </w:tc>
        <w:tc>
          <w:tcPr>
            <w:tcW w:type="dxa" w:w="93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208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72.0%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rial" w:hAnsi="Arial"/>
          <w:b w:val="0"/>
          <w:color w:val="66605A"/>
          <w:sz w:val="18"/>
        </w:rPr>
        <w:t>KF314 is the exception at 8.8% break-even and should stay at zero.</w:t>
      </w:r>
    </w:p>
    <w:p>
      <w:pPr>
        <w:pStyle w:val="Heading1"/>
        <w:spacing w:before="260" w:after="60"/>
      </w:pPr>
      <w:r>
        <w:rPr>
          <w:rFonts w:ascii="Arial" w:hAnsi="Arial"/>
          <w:sz w:val="26"/>
        </w:rPr>
        <w:t>Exception: Kitty Ka-Zoom needs its own ceiling</w:t>
      </w:r>
    </w:p>
    <w:p>
      <w:pPr>
        <w:spacing w:after="80"/>
      </w:pPr>
      <w:r>
        <w:rPr>
          <w:rFonts w:ascii="Arial" w:hAnsi="Arial"/>
          <w:b w:val="0"/>
          <w:sz w:val="19"/>
        </w:rPr>
        <w:t>KKZ pays the same fulfillment fee in dollars as Meowijuana but sells for a third less, so the fee eats 40% of the sale instead of 24%. A blended ACOS target would over-spend it.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312"/>
          </w:tcPr>
          <w:p>
            <w:r/>
            <w:r>
              <w:rPr>
                <w:rFonts w:ascii="Arial" w:hAnsi="Arial"/>
                <w:b/>
                <w:sz w:val="16"/>
              </w:rPr>
              <w:t>Median, by brand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16"/>
              </w:rPr>
              <w:t>Meowijuana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16"/>
              </w:rPr>
              <w:t>Doggijuana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b/>
                <w:sz w:val="16"/>
              </w:rPr>
              <w:t>Kitty Ka-Zoom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Price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$12.12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$15.97</w:t>
            </w:r>
          </w:p>
        </w:tc>
        <w:tc>
          <w:tcPr>
            <w:tcW w:type="dxa" w:w="201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$9.59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FBA fee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$3.14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$3.88</w:t>
            </w:r>
          </w:p>
        </w:tc>
        <w:tc>
          <w:tcPr>
            <w:tcW w:type="dxa" w:w="201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$3.44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FBA fee as % of price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24.1%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23.8%</w:t>
            </w:r>
          </w:p>
        </w:tc>
        <w:tc>
          <w:tcPr>
            <w:tcW w:type="dxa" w:w="201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39.8%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COGS+ship+storage as % of price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14.3%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18.4%</w:t>
            </w:r>
          </w:p>
        </w:tc>
        <w:tc>
          <w:tcPr>
            <w:tcW w:type="dxa" w:w="201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32.7%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Total cost as % of price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53%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55%</w:t>
            </w:r>
          </w:p>
        </w:tc>
        <w:tc>
          <w:tcPr>
            <w:tcW w:type="dxa" w:w="201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78%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Break-even ACOS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46.8%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45.1%</w:t>
            </w:r>
          </w:p>
        </w:tc>
        <w:tc>
          <w:tcPr>
            <w:tcW w:type="dxa" w:w="201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22.3%</w:t>
            </w:r>
          </w:p>
        </w:tc>
      </w:tr>
    </w:tbl>
    <w:p>
      <w:pPr>
        <w:spacing w:after="20"/>
      </w:pPr>
    </w:p>
    <w:p>
      <w:pPr>
        <w:pStyle w:val="Heading1"/>
        <w:spacing w:before="260" w:after="60"/>
      </w:pPr>
      <w:r>
        <w:rPr>
          <w:rFonts w:ascii="Arial" w:hAnsi="Arial"/>
          <w:sz w:val="26"/>
        </w:rPr>
        <w:t>Constraints</w:t>
      </w:r>
    </w:p>
    <w:p>
      <w:pPr>
        <w:pStyle w:val="Heading2"/>
        <w:spacing w:before="180" w:after="60"/>
      </w:pPr>
      <w:r>
        <w:rPr>
          <w:rFonts w:ascii="Arial" w:hAnsi="Arial"/>
          <w:sz w:val="22"/>
        </w:rPr>
        <w:t>32 SKUs at zero stock; $1,000 spent advertising them</w:t>
      </w:r>
    </w:p>
    <w:p>
      <w:pPr>
        <w:spacing w:after="80"/>
      </w:pPr>
      <w:r>
        <w:rPr>
          <w:rFonts w:ascii="Arial" w:hAnsi="Arial"/>
          <w:b w:val="0"/>
          <w:sz w:val="19"/>
        </w:rPr>
        <w:t>Twelve of the zero-stock SKUs are Tuffer Chewer refills, which reads as a line-wide stockout.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224"/>
          </w:tcPr>
          <w:p>
            <w:r/>
            <w:r>
              <w:rPr>
                <w:rFonts w:ascii="Arial" w:hAnsi="Arial"/>
                <w:b/>
                <w:sz w:val="16"/>
              </w:rPr>
              <w:t>SKU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/>
                <w:sz w:val="16"/>
              </w:rPr>
              <w:t>Product</w:t>
            </w:r>
          </w:p>
        </w:tc>
        <w:tc>
          <w:tcPr>
            <w:tcW w:type="dxa" w:w="1368"/>
          </w:tcPr>
          <w:p>
            <w:r/>
            <w:r>
              <w:rPr>
                <w:rFonts w:ascii="Arial" w:hAnsi="Arial"/>
                <w:b/>
                <w:sz w:val="16"/>
              </w:rPr>
              <w:t>Ad spend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sz w:val="16"/>
              </w:rPr>
              <w:t>SOH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/>
                <w:sz w:val="16"/>
              </w:rPr>
              <w:t>ACOS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DF213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Tuffer Chewer Twisted Pretzel Refill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$378</w:t>
            </w:r>
          </w:p>
        </w:tc>
        <w:tc>
          <w:tcPr>
            <w:tcW w:type="dxa" w:w="86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22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24.7%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CF418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Crunchie Munchies Salmon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$108</w:t>
            </w:r>
          </w:p>
        </w:tc>
        <w:tc>
          <w:tcPr>
            <w:tcW w:type="dxa" w:w="86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22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71.7%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CB2572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Get a Rise Bundle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$88</w:t>
            </w:r>
          </w:p>
        </w:tc>
        <w:tc>
          <w:tcPr>
            <w:tcW w:type="dxa" w:w="86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22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464.5%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DTC032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Tuffer Chewer Howl-ween Bundle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$51</w:t>
            </w:r>
          </w:p>
        </w:tc>
        <w:tc>
          <w:tcPr>
            <w:tcW w:type="dxa" w:w="86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22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47.3%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CB2584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Rainbow Bundle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$41</w:t>
            </w:r>
          </w:p>
        </w:tc>
        <w:tc>
          <w:tcPr>
            <w:tcW w:type="dxa" w:w="86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22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86.2%</w:t>
            </w:r>
          </w:p>
        </w:tc>
      </w:tr>
    </w:tbl>
    <w:p>
      <w:pPr>
        <w:spacing w:after="20"/>
      </w:pPr>
    </w:p>
    <w:p>
      <w:pPr>
        <w:pStyle w:val="Heading2"/>
        <w:spacing w:before="180" w:after="60"/>
      </w:pPr>
      <w:r>
        <w:rPr>
          <w:rFonts w:ascii="Arial" w:hAnsi="Arial"/>
          <w:sz w:val="22"/>
        </w:rPr>
        <w:t>6,467 excess units against a 2.0 month target</w:t>
      </w:r>
    </w:p>
    <w:p>
      <w:pPr>
        <w:spacing w:after="80"/>
      </w:pPr>
      <w:r>
        <w:rPr>
          <w:rFonts w:ascii="Arial" w:hAnsi="Arial"/>
          <w:b w:val="0"/>
          <w:sz w:val="19"/>
        </w:rPr>
        <w:t>KF100 Super Zoomies connects to the open Amazon discount decision.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224"/>
          </w:tcPr>
          <w:p>
            <w:r/>
            <w:r>
              <w:rPr>
                <w:rFonts w:ascii="Arial" w:hAnsi="Arial"/>
                <w:b/>
                <w:sz w:val="16"/>
              </w:rPr>
              <w:t>SKU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/>
                <w:sz w:val="16"/>
              </w:rPr>
              <w:t>Product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/>
                <w:sz w:val="16"/>
              </w:rPr>
              <w:t>Cover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/>
                <w:sz w:val="16"/>
              </w:rPr>
              <w:t>Excess units</w:t>
            </w:r>
          </w:p>
        </w:tc>
        <w:tc>
          <w:tcPr>
            <w:tcW w:type="dxa" w:w="1368"/>
          </w:tcPr>
          <w:p>
            <w:r/>
            <w:r>
              <w:rPr>
                <w:rFonts w:ascii="Arial" w:hAnsi="Arial"/>
                <w:b/>
                <w:sz w:val="16"/>
              </w:rPr>
              <w:t>Net sales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CF002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Purrple Passion</w:t>
            </w:r>
          </w:p>
        </w:tc>
        <w:tc>
          <w:tcPr>
            <w:tcW w:type="dxa" w:w="122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18.9 mo</w:t>
            </w:r>
          </w:p>
        </w:tc>
        <w:tc>
          <w:tcPr>
            <w:tcW w:type="dxa" w:w="1512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1,876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$3,335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CF106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Jar of Catnibas Lemongrass</w:t>
            </w:r>
          </w:p>
        </w:tc>
        <w:tc>
          <w:tcPr>
            <w:tcW w:type="dxa" w:w="122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163.6 mo</w:t>
            </w:r>
          </w:p>
        </w:tc>
        <w:tc>
          <w:tcPr>
            <w:tcW w:type="dxa" w:w="1512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808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$135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KF100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KKZ Super Zoomies Mix</w:t>
            </w:r>
          </w:p>
        </w:tc>
        <w:tc>
          <w:tcPr>
            <w:tcW w:type="dxa" w:w="122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15.7 mo</w:t>
            </w:r>
          </w:p>
        </w:tc>
        <w:tc>
          <w:tcPr>
            <w:tcW w:type="dxa" w:w="1512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479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$1,257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DF402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Juananip Bites Chicken</w:t>
            </w:r>
          </w:p>
        </w:tc>
        <w:tc>
          <w:tcPr>
            <w:tcW w:type="dxa" w:w="122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6.6 mo</w:t>
            </w:r>
          </w:p>
        </w:tc>
        <w:tc>
          <w:tcPr>
            <w:tcW w:type="dxa" w:w="1512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453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$3,001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CF019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Winter Lift Catnip Blend</w:t>
            </w:r>
          </w:p>
        </w:tc>
        <w:tc>
          <w:tcPr>
            <w:tcW w:type="dxa" w:w="122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6.4 mo</w:t>
            </w:r>
          </w:p>
        </w:tc>
        <w:tc>
          <w:tcPr>
            <w:tcW w:type="dxa" w:w="1512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276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$1,685</w:t>
            </w:r>
          </w:p>
        </w:tc>
      </w:tr>
    </w:tbl>
    <w:p>
      <w:pPr>
        <w:spacing w:after="20"/>
      </w:pPr>
    </w:p>
    <w:p>
      <w:pPr>
        <w:pStyle w:val="Heading1"/>
        <w:spacing w:before="260" w:after="60"/>
      </w:pPr>
      <w:r>
        <w:rPr>
          <w:rFonts w:ascii="Arial" w:hAnsi="Arial"/>
          <w:sz w:val="26"/>
        </w:rPr>
        <w:t>Confidence checks</w:t>
      </w:r>
    </w:p>
    <w:p>
      <w:pPr>
        <w:spacing w:after="80"/>
      </w:pPr>
      <w:r>
        <w:rPr>
          <w:rFonts w:ascii="Arial" w:hAnsi="Arial"/>
          <w:b w:val="0"/>
          <w:sz w:val="19"/>
        </w:rPr>
        <w:t>Four candidate explanations for the headline being wrong. None hold.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744"/>
          </w:tcPr>
          <w:p>
            <w:r/>
            <w:r>
              <w:rPr>
                <w:rFonts w:ascii="Arial" w:hAnsi="Arial"/>
                <w:b/>
                <w:sz w:val="16"/>
              </w:rPr>
              <w:t>Check</w:t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/>
                <w:b/>
                <w:sz w:val="16"/>
              </w:rPr>
              <w:t>Result</w:t>
            </w:r>
          </w:p>
        </w:tc>
      </w:tr>
      <w:tr>
        <w:tc>
          <w:tcPr>
            <w:tcW w:type="dxa" w:w="3744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Cost model vs Amazon net proceeds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$0.00 median gap per unit; 0.38% dollar-weighted</w:t>
            </w:r>
          </w:p>
        </w:tc>
      </w:tr>
      <w:tr>
        <w:tc>
          <w:tcPr>
            <w:tcW w:type="dxa" w:w="3744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Negative break-even SKUs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All 10 sold under 25 units; allocation artifact, flagged</w:t>
            </w:r>
          </w:p>
        </w:tc>
      </w:tr>
      <w:tr>
        <w:tc>
          <w:tcPr>
            <w:tcW w:type="dxa" w:w="3744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Size-tier mis-assignment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None. All US SKUs standard size; overcharges total $61</w:t>
            </w:r>
          </w:p>
        </w:tc>
      </w:tr>
      <w:tr>
        <w:tc>
          <w:tcPr>
            <w:tcW w:type="dxa" w:w="3744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Refund rate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Two SKUs above 8%; nothing systemic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rial" w:hAnsi="Arial"/>
          <w:b w:val="0"/>
          <w:color w:val="66605A"/>
          <w:sz w:val="18"/>
        </w:rPr>
        <w:t>One caveat the other way: non-SP ad spend registers 4% of total against a historical norm nearer 25%. If that export is stale, headroom is smaller than stated.</w:t>
      </w:r>
    </w:p>
    <w:p>
      <w:r>
        <w:br w:type="page"/>
      </w:r>
    </w:p>
    <w:p>
      <w:pPr>
        <w:pStyle w:val="Heading1"/>
        <w:spacing w:before="260" w:after="60"/>
      </w:pPr>
      <w:r>
        <w:rPr>
          <w:rFonts w:ascii="Arial" w:hAnsi="Arial"/>
          <w:sz w:val="26"/>
        </w:rPr>
        <w:t>Column reference</w:t>
      </w:r>
    </w:p>
    <w:p>
      <w:pPr>
        <w:spacing w:after="80"/>
      </w:pPr>
      <w:r>
        <w:rPr>
          <w:rFonts w:ascii="Arial" w:hAnsi="Arial"/>
          <w:b w:val="0"/>
          <w:color w:val="66605A"/>
          <w:sz w:val="18"/>
        </w:rPr>
        <w:t>All 55 columns in file order. Per-unit figures divide a window total by net units in that window.</w:t>
      </w:r>
    </w:p>
    <w:p>
      <w:pPr>
        <w:pStyle w:val="Heading2"/>
        <w:spacing w:before="180" w:after="60"/>
      </w:pPr>
      <w:r>
        <w:rPr>
          <w:rFonts w:ascii="Arial" w:hAnsi="Arial"/>
          <w:sz w:val="22"/>
        </w:rPr>
        <w:t>Identity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6"/>
              </w:rPr>
              <w:t>Column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b/>
                <w:sz w:val="16"/>
              </w:rPr>
              <w:t>Source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/>
                <w:sz w:val="16"/>
              </w:rPr>
              <w:t>Calculation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SKU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Catalog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products.sp_sku. Six products have none and arrive blank.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ASIN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Catalog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products.asin. Join key to every Amazon source.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Brand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Catalog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products.brand.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Product Title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Catalog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products.title.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MSRP list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Catalog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products.msrp. Reference only. 80 SKUs have none.</w:t>
            </w:r>
          </w:p>
        </w:tc>
      </w:tr>
    </w:tbl>
    <w:p>
      <w:pPr>
        <w:spacing w:after="20"/>
      </w:pPr>
    </w:p>
    <w:p>
      <w:pPr>
        <w:pStyle w:val="Heading2"/>
        <w:spacing w:before="180" w:after="60"/>
      </w:pPr>
      <w:r>
        <w:rPr>
          <w:rFonts w:ascii="Arial" w:hAnsi="Arial"/>
          <w:sz w:val="22"/>
        </w:rPr>
        <w:t>Price and returns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6"/>
              </w:rPr>
              <w:t>Column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b/>
                <w:sz w:val="16"/>
              </w:rPr>
              <w:t>Source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/>
                <w:sz w:val="16"/>
              </w:rPr>
              <w:t>Calculation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Price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SKU Economics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Net sales ÷ net units. Net of promos, coupons, Subscribe &amp; Save and returns.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Refunds pct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SKU Economics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Units returned ÷ units sold × 100.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Refund Cost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SKU Economics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(Referral fee refunds + refund admin fees) ÷ net units.</w:t>
            </w:r>
          </w:p>
        </w:tc>
      </w:tr>
    </w:tbl>
    <w:p>
      <w:pPr>
        <w:spacing w:after="20"/>
      </w:pPr>
    </w:p>
    <w:p>
      <w:pPr>
        <w:pStyle w:val="Heading2"/>
        <w:spacing w:before="180" w:after="60"/>
      </w:pPr>
      <w:r>
        <w:rPr>
          <w:rFonts w:ascii="Arial" w:hAnsi="Arial"/>
          <w:sz w:val="22"/>
        </w:rPr>
        <w:t>Amazon fees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6"/>
              </w:rPr>
              <w:t>Column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b/>
                <w:sz w:val="16"/>
              </w:rPr>
              <w:t>Source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/>
                <w:sz w:val="16"/>
              </w:rPr>
              <w:t>Calculation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AMZN FBA Fee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SKU Economics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FBA fulfillment fees charged ÷ net units.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Should be FBA Fee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Fee Preview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Amazon’s expected-fulfillment-fee-per-unit, latest snapshot per ASIN. Blank where that brand’s export is not uploaded.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FBA Fee Variance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Derived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AMZN FBA Fee − Should be FBA Fee. Positive = charged more.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Referral Fees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SKU Economics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Referral fees ÷ net units.</w:t>
            </w:r>
          </w:p>
        </w:tc>
      </w:tr>
    </w:tbl>
    <w:p>
      <w:pPr>
        <w:spacing w:after="20"/>
      </w:pPr>
    </w:p>
    <w:p>
      <w:pPr>
        <w:pStyle w:val="Heading2"/>
        <w:spacing w:before="180" w:after="60"/>
      </w:pPr>
      <w:r>
        <w:rPr>
          <w:rFonts w:ascii="Arial" w:hAnsi="Arial"/>
          <w:sz w:val="22"/>
        </w:rPr>
        <w:t>Cost stack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6"/>
              </w:rPr>
              <w:t>Column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b/>
                <w:sz w:val="16"/>
              </w:rPr>
              <w:t>Source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/>
                <w:sz w:val="16"/>
              </w:rPr>
              <w:t>Calculation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COGS+Shipping+Storage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Catalog + SKU Econ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amazon_cogs (landed + prep + labor) plus per-unit inbound placement, inbound transport, storage, aged inventory, low inventory, storage surcharge, removal and AWD, less FBA reimbursements.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Finance cost Adjustment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Parameter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Unit COGS × annual rate × (cover months × 30 ÷ 365). Reads zero; no rate set.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Total Cost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Derived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Refund Cost + FBA Fee + Referral + COGS+Ship+Storage + Finance.</w:t>
            </w:r>
          </w:p>
        </w:tc>
      </w:tr>
    </w:tbl>
    <w:p>
      <w:pPr>
        <w:spacing w:after="20"/>
      </w:pPr>
    </w:p>
    <w:p>
      <w:pPr>
        <w:pStyle w:val="Heading2"/>
        <w:spacing w:before="180" w:after="60"/>
      </w:pPr>
      <w:r>
        <w:rPr>
          <w:rFonts w:ascii="Arial" w:hAnsi="Arial"/>
          <w:sz w:val="22"/>
        </w:rPr>
        <w:t>Break-even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6"/>
              </w:rPr>
              <w:t>Column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b/>
                <w:sz w:val="16"/>
              </w:rPr>
              <w:t>Source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/>
                <w:sz w:val="16"/>
              </w:rPr>
              <w:t>Calculation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Non-Ad Profit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Derived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Price − Total Cost. Max spendable on ads per unit.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Break Even ACOS pct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Derived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Non-Ad Profit ÷ Price × 100.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Break Even ROAS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Derived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Price ÷ Non-Ad Profit. Negative = does not cover cost before ads.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Confidence Flag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Derived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Set when net units under 25. Per-unit cost unreliable below that.</w:t>
            </w:r>
          </w:p>
        </w:tc>
      </w:tr>
    </w:tbl>
    <w:p>
      <w:pPr>
        <w:spacing w:after="20"/>
      </w:pPr>
    </w:p>
    <w:p>
      <w:pPr>
        <w:pStyle w:val="Heading2"/>
        <w:spacing w:before="180" w:after="60"/>
      </w:pPr>
      <w:r>
        <w:rPr>
          <w:rFonts w:ascii="Arial" w:hAnsi="Arial"/>
          <w:sz w:val="22"/>
        </w:rPr>
        <w:t>Demand and inventory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6"/>
              </w:rPr>
              <w:t>Column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b/>
                <w:sz w:val="16"/>
              </w:rPr>
              <w:t>Source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/>
                <w:sz w:val="16"/>
              </w:rPr>
              <w:t>Calculation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Daily Sales Velocity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Sales weekly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Amazon US units, trailing 90 days ÷ 90.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Avg Units per Month 3mo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Sales weekly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Trailing 90 days ÷ 3. Runs ~7% low (12-week window).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SOH total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FBA Inventory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Fulfillable + reserved + inbound working + shipped + receiving.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SOH Available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FBA Inventory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Fulfillable only. Sellable today.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SOH Inbound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FBA Inventory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Inbound working + shipped + receiving.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SOH As Of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FBA Inventory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Snapshot date used.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Stock Cover Months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Derived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SOH total ÷ Avg Units per Month. Runs ~7% high.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SOH Target Months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Parameter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2.0, applied uniformly. No policy set.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SOH Target Units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Derived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Avg Units per Month × target months.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Excess Stock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Derived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SOH total − SOH Target Units.</w:t>
            </w:r>
          </w:p>
        </w:tc>
      </w:tr>
    </w:tbl>
    <w:p>
      <w:pPr>
        <w:spacing w:after="20"/>
      </w:pPr>
    </w:p>
    <w:p>
      <w:pPr>
        <w:pStyle w:val="Heading2"/>
        <w:spacing w:before="180" w:after="60"/>
      </w:pPr>
      <w:r>
        <w:rPr>
          <w:rFonts w:ascii="Arial" w:hAnsi="Arial"/>
          <w:sz w:val="22"/>
        </w:rPr>
        <w:t>Advertising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6"/>
              </w:rPr>
              <w:t>Column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b/>
                <w:sz w:val="16"/>
              </w:rPr>
              <w:t>Source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/>
                <w:sz w:val="16"/>
              </w:rPr>
              <w:t>Calculation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Ad Spend SP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SKU Economics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Sponsored Products charges.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Ad Spend non-SP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Amazon Ads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Sponsored Brands + Display attributed to this ASIN. DSP and Sponsored TV carry no ASIN and are excluded rather than allocated.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Actual Ad Spend window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Derived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SP + non-SP.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Actual ACOS pct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Derived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Ad spend ÷ net sales × 100.</w:t>
            </w:r>
          </w:p>
        </w:tc>
      </w:tr>
    </w:tbl>
    <w:p>
      <w:pPr>
        <w:spacing w:after="20"/>
      </w:pPr>
    </w:p>
    <w:p>
      <w:pPr>
        <w:pStyle w:val="Heading2"/>
        <w:spacing w:before="180" w:after="60"/>
      </w:pPr>
      <w:r>
        <w:rPr>
          <w:rFonts w:ascii="Arial" w:hAnsi="Arial"/>
          <w:sz w:val="22"/>
        </w:rPr>
        <w:t>Dimensions and size tier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6"/>
              </w:rPr>
              <w:t>Column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b/>
                <w:sz w:val="16"/>
              </w:rPr>
              <w:t>Source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/>
                <w:sz w:val="16"/>
              </w:rPr>
              <w:t>Calculation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Size Tier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Fee Preview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Amazon’s assigned size tier. Drives the fulfillment fee.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Pkg Weight / Weight Unit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Fee Preview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Package weight as Amazon measured it.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Longest / Median / Shortest Side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Fee Preview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Package dimensions as Amazon measured them.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Dim Unit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Fee Preview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Unit for the side measurements.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Expected Future FBA Fee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Fee Preview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Forward fee ahead of a rate change. Empty in current export.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Expected Referral Fee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Fee Preview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Amazon’s estimated referral fee per unit.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Fee Preview As Of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Fee Preview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Snapshot date of the Fee Preview row used.</w:t>
            </w:r>
          </w:p>
        </w:tc>
      </w:tr>
    </w:tbl>
    <w:p>
      <w:pPr>
        <w:spacing w:after="20"/>
      </w:pPr>
    </w:p>
    <w:p>
      <w:pPr>
        <w:pStyle w:val="Heading2"/>
        <w:spacing w:before="180" w:after="60"/>
      </w:pPr>
      <w:r>
        <w:rPr>
          <w:rFonts w:ascii="Arial" w:hAnsi="Arial"/>
          <w:sz w:val="22"/>
        </w:rPr>
        <w:t>Audit block (verifies the cost stack; not for reporting)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6"/>
              </w:rPr>
              <w:t>Column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b/>
                <w:sz w:val="16"/>
              </w:rPr>
              <w:t>Source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/>
                <w:sz w:val="16"/>
              </w:rPr>
              <w:t>Calculation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aud Inbound per unit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SKU Economics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(Inbound placement + transport) ÷ net units.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aud Storage per unit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SKU Economics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(Storage + aged + surcharge + low inventory) ÷ net units.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aud Removal per unit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SKU Economics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Removal fees ÷ net units.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aud AWD per unit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SKU Economics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(AWD storage + transport) ÷ net units.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aud Reimbursement per unit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SKU Economics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FBA reimbursements ÷ net units. A credit.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aud Amzn Net Proceeds per unit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SKU Economics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Amazon’s stated net proceeds ÷ net units.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aud Derived Net Proceeds per unit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Derived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Price less every captured fee, less SP spend per unit.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aud Recon Delta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Derived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Derived − Amazon. Near zero = complete fee capture.</w:t>
            </w:r>
          </w:p>
        </w:tc>
      </w:tr>
    </w:tbl>
    <w:p>
      <w:pPr>
        <w:spacing w:after="20"/>
      </w:pPr>
    </w:p>
    <w:p>
      <w:pPr>
        <w:pStyle w:val="Heading2"/>
        <w:spacing w:before="180" w:after="60"/>
      </w:pPr>
      <w:r>
        <w:rPr>
          <w:rFonts w:ascii="Arial" w:hAnsi="Arial"/>
          <w:sz w:val="22"/>
        </w:rPr>
        <w:t>Window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6"/>
              </w:rPr>
              <w:t>Column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b/>
                <w:sz w:val="16"/>
              </w:rPr>
              <w:t>Source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/>
                <w:sz w:val="16"/>
              </w:rPr>
              <w:t>Calculation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Net Units window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SKU Economics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Net units sold. Denominator for every per-unit figure.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Net Sales window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SKU Economics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Net sales summed across the window.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Window Start / End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SKU Economics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Earliest and latest week start with data for this ASIN.</w:t>
            </w:r>
          </w:p>
        </w:tc>
      </w:tr>
    </w:tbl>
    <w:p>
      <w:pPr>
        <w:spacing w:after="20"/>
      </w:pPr>
    </w:p>
    <w:p>
      <w:pPr>
        <w:pStyle w:val="Heading1"/>
        <w:spacing w:before="260" w:after="60"/>
      </w:pPr>
      <w:r>
        <w:rPr>
          <w:rFonts w:ascii="Arial" w:hAnsi="Arial"/>
          <w:sz w:val="26"/>
        </w:rPr>
        <w:t>Data quality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4752"/>
          </w:tcPr>
          <w:p>
            <w:r/>
            <w:r>
              <w:rPr>
                <w:rFonts w:ascii="Arial" w:hAnsi="Arial"/>
                <w:b/>
                <w:sz w:val="16"/>
              </w:rPr>
              <w:t>Issue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/>
                <w:sz w:val="16"/>
              </w:rPr>
              <w:t>SKUs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b/>
                <w:sz w:val="16"/>
              </w:rPr>
              <w:t>Net sales</w:t>
            </w:r>
          </w:p>
        </w:tc>
      </w:tr>
      <w:tr>
        <w:tc>
          <w:tcPr>
            <w:tcW w:type="dxa" w:w="475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Flagged low volume (under 25 units)</w:t>
            </w:r>
          </w:p>
        </w:tc>
        <w:tc>
          <w:tcPr>
            <w:tcW w:type="dxa" w:w="1440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106</w:t>
            </w:r>
          </w:p>
        </w:tc>
        <w:tc>
          <w:tcPr>
            <w:tcW w:type="dxa" w:w="273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$13,578</w:t>
            </w:r>
          </w:p>
        </w:tc>
      </w:tr>
      <w:tr>
        <w:tc>
          <w:tcPr>
            <w:tcW w:type="dxa" w:w="475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No MSRP on file</w:t>
            </w:r>
          </w:p>
        </w:tc>
        <w:tc>
          <w:tcPr>
            <w:tcW w:type="dxa" w:w="1440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80</w:t>
            </w:r>
          </w:p>
        </w:tc>
        <w:tc>
          <w:tcPr>
            <w:tcW w:type="dxa" w:w="273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$55,623</w:t>
            </w:r>
          </w:p>
        </w:tc>
      </w:tr>
      <w:tr>
        <w:tc>
          <w:tcPr>
            <w:tcW w:type="dxa" w:w="475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No Fee Preview row</w:t>
            </w:r>
          </w:p>
        </w:tc>
        <w:tc>
          <w:tcPr>
            <w:tcW w:type="dxa" w:w="1440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51</w:t>
            </w:r>
          </w:p>
        </w:tc>
        <w:tc>
          <w:tcPr>
            <w:tcW w:type="dxa" w:w="273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$9,559</w:t>
            </w:r>
          </w:p>
        </w:tc>
      </w:tr>
      <w:tr>
        <w:tc>
          <w:tcPr>
            <w:tcW w:type="dxa" w:w="475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No FBA inventory snapshot</w:t>
            </w:r>
          </w:p>
        </w:tc>
        <w:tc>
          <w:tcPr>
            <w:tcW w:type="dxa" w:w="1440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14</w:t>
            </w:r>
          </w:p>
        </w:tc>
        <w:tc>
          <w:tcPr>
            <w:tcW w:type="dxa" w:w="273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$1,183</w:t>
            </w:r>
          </w:p>
        </w:tc>
      </w:tr>
      <w:tr>
        <w:tc>
          <w:tcPr>
            <w:tcW w:type="dxa" w:w="475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Blank SKU field</w:t>
            </w:r>
          </w:p>
        </w:tc>
        <w:tc>
          <w:tcPr>
            <w:tcW w:type="dxa" w:w="1440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type="dxa" w:w="273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$4,051</w:t>
            </w:r>
          </w:p>
        </w:tc>
      </w:tr>
    </w:tbl>
    <w:p>
      <w:pPr>
        <w:spacing w:after="20"/>
      </w:pPr>
    </w:p>
    <w:p>
      <w:pPr>
        <w:pStyle w:val="Heading1"/>
        <w:spacing w:before="260" w:after="60"/>
      </w:pPr>
      <w:r>
        <w:rPr>
          <w:rFonts w:ascii="Arial" w:hAnsi="Arial"/>
          <w:sz w:val="26"/>
        </w:rPr>
        <w:t>Open items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736"/>
          </w:tcPr>
          <w:p>
            <w:r/>
            <w:r>
              <w:rPr>
                <w:rFonts w:ascii="Arial" w:hAnsi="Arial"/>
                <w:b/>
                <w:sz w:val="16"/>
              </w:rPr>
              <w:t>Item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/>
                <w:sz w:val="16"/>
              </w:rPr>
              <w:t>Needed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/>
                <w:sz w:val="16"/>
              </w:rPr>
              <w:t>Owner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Finance cost adjustment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Annual cost-of-capital rate; column reads zero until set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Finance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SOH target assumption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Cover policy; 2.0 months is a placeholder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Supply chain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Stock forward cover months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Six-month forecast lives in the planning tool, not this extract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SmarterPaw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Blank SKUs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Six products carry no internal SKU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SmarterPaw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Non-SP ad coverage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Confirm the Amazon Ads export is current (4% vs ~25% norm)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SmarterPaw</w:t>
            </w:r>
          </w:p>
        </w:tc>
      </w:tr>
    </w:tbl>
    <w:p>
      <w:pPr>
        <w:spacing w:after="20"/>
      </w:pPr>
    </w:p>
    <w:p>
      <w:pPr>
        <w:pStyle w:val="Heading1"/>
        <w:spacing w:before="260" w:after="60"/>
      </w:pPr>
      <w:r>
        <w:rPr>
          <w:rFonts w:ascii="Arial" w:hAnsi="Arial"/>
          <w:sz w:val="26"/>
        </w:rPr>
        <w:t>Reading notes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6624"/>
          </w:tcPr>
          <w:p>
            <w:r/>
            <w:r>
              <w:rPr>
                <w:rFonts w:ascii="Arial" w:hAnsi="Arial"/>
                <w:b/>
                <w:sz w:val="16"/>
              </w:rPr>
              <w:t>Detail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Minimum volume</w:t>
            </w:r>
          </w:p>
        </w:tc>
        <w:tc>
          <w:tcPr>
            <w:tcW w:type="dxa" w:w="6624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Under ~25 units per quarter, per-unit cost is unreliable. Those rows are flagged.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Stock on hand</w:t>
            </w:r>
          </w:p>
        </w:tc>
        <w:tc>
          <w:tcPr>
            <w:tcW w:type="dxa" w:w="6624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Includes inbound. Available and inbound are broken out separately.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Costing basis</w:t>
            </w:r>
          </w:p>
        </w:tc>
        <w:tc>
          <w:tcPr>
            <w:tcW w:type="dxa" w:w="6624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Contribution margin. General overhead is not allocated.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Break-even vs ads</w:t>
            </w:r>
          </w:p>
        </w:tc>
        <w:tc>
          <w:tcPr>
            <w:tcW w:type="dxa" w:w="6624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Calculated before ad spend, so gaps in ad columns do not affect it.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Velocity divisor</w:t>
            </w:r>
          </w:p>
        </w:tc>
        <w:tc>
          <w:tcPr>
            <w:tcW w:type="dxa" w:w="6624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12-week window divided by 3 months: units/month ~7% low, cover ~7% high.</w:t>
            </w:r>
          </w:p>
        </w:tc>
      </w:tr>
    </w:tbl>
    <w:p>
      <w:pPr>
        <w:spacing w:after="20"/>
      </w:pP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C1A1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C1A1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C1A1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