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right"/>
      </w:pPr>
      <w:r>
        <w:rPr>
          <w:rFonts w:ascii="Calibri" w:cs="Calibri" w:hAnsi="Calibri"/>
          <w:b/>
          <w:bCs/>
          <w:sz w:val="32"/>
          <w:szCs w:val="32"/>
          <w:rtl/>
        </w:rPr>
        <w:t xml:space="preserve">‏طلب الانضمام إلى خدمات ثقة: حالة الاستخدام التجارية ومتطلبات المشروع‏</w:t>
      </w:r>
    </w:p>
    <w:p>
      <w:pPr>
        <w:bidi/>
        <w:spacing w:after="120"/>
        <w:jc w:val="right"/>
      </w:pPr>
      <w:r>
        <w:rPr>
          <w:rFonts w:ascii="Calibri" w:cs="Calibri" w:hAnsi="Calibri"/>
          <w:b/>
          <w:bCs/>
          <w:sz w:val="24"/>
          <w:szCs w:val="24"/>
          <w:rtl/>
        </w:rPr>
        <w:t xml:space="preserve">‏منصة TrustiqLegal لإدارة مكاتب المحاماة، المقدمة من SmarThinkerz‏</w:t>
      </w:r>
    </w:p>
    <w:p>
      <w:pPr>
        <w:bidi/>
        <w:spacing w:after="120"/>
        <w:jc w:val="right"/>
      </w:pPr>
      <w:r>
        <w:rPr>
          <w:rFonts w:ascii="Calibri" w:cs="Calibri" w:hAnsi="Calibri"/>
          <w:sz w:val="20"/>
          <w:szCs w:val="20"/>
          <w:rtl/>
        </w:rPr>
        <w:t xml:space="preserve">‏إلى: مركز التصديق الإلكتروني، المركز الوطني للسلامة المعلوماتية، وزارة النقل والاتصالات وتقنية المعلومات‏</w:t>
      </w:r>
    </w:p>
    <w:p>
      <w:pPr>
        <w:bidi/>
        <w:spacing w:after="120"/>
        <w:jc w:val="right"/>
      </w:pPr>
      <w:r>
        <w:rPr>
          <w:rFonts w:ascii="Calibri" w:cs="Calibri" w:hAnsi="Calibri"/>
          <w:sz w:val="20"/>
          <w:szCs w:val="20"/>
          <w:rtl/>
        </w:rPr>
        <w:t xml:space="preserve">‏البريد: Theqa@mtcit.gov.om و pkisupport@mtcit.gov.om‏</w:t>
      </w:r>
    </w:p>
    <w:p>
      <w:pPr>
        <w:bidi/>
        <w:spacing w:after="120"/>
        <w:jc w:val="right"/>
      </w:pPr>
      <w:r>
        <w:rPr>
          <w:rFonts w:ascii="Calibri" w:cs="Calibri" w:hAnsi="Calibri"/>
          <w:sz w:val="20"/>
          <w:szCs w:val="20"/>
          <w:rtl/>
        </w:rPr>
        <w:t xml:space="preserve">‏التاريخ: [التاريخ]‏</w:t>
      </w:r>
    </w:p>
    <w:p>
      <w:pPr>
        <w:bidi/>
        <w:spacing w:after="120"/>
        <w:jc w:val="right"/>
      </w:pPr>
      <w:r>
        <w:rPr>
          <w:rFonts w:ascii="Calibri" w:cs="Calibri" w:hAnsi="Calibri"/>
          <w:b/>
          <w:bCs/>
          <w:sz w:val="26"/>
          <w:szCs w:val="26"/>
          <w:rtl/>
        </w:rPr>
        <w:t xml:space="preserve">‏1. بيانات مقدم الطلب‏</w:t>
      </w:r>
    </w:p>
    <w:tbl>
      <w:tblPr>
        <w:bidiVisual/>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‏اسم الشركة‏</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‏[الاسم القانوني للشركة كما في السجل التجاري]‏</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‏رقم السجل التجاري‏</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‏[رقم السجل التجاري]‏</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‏اسم المنتج‏</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‏TrustiqLegal‏</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‏الموقع الإلكتروني‏</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‏https://trstiqai.eqence.com‏</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‏المسؤول عن الطلب‏</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‏[الاسم، المسمى الوظيفي]‏</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‏الهاتف والبريد‏</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‏[رقم الهاتف]، [البريد الإلكتروني]‏</w:t>
            </w:r>
          </w:p>
        </w:tc>
      </w:tr>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‏المسؤول الفني‏</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‏[الاسم، البريد الإلكتروني]‏</w:t>
            </w:r>
          </w:p>
        </w:tc>
      </w:tr>
    </w:tbl>
    <w:p>
      <w:pPr>
        <w:bidi/>
        <w:spacing w:after="120"/>
        <w:jc w:val="right"/>
      </w:pPr>
      <w:r>
        <w:rPr>
          <w:rFonts w:ascii="Calibri" w:cs="Calibri" w:hAnsi="Calibri"/>
          <w:sz w:val="22"/>
          <w:szCs w:val="22"/>
          <w:rtl/>
        </w:rPr>
        <w:t xml:space="preserve"/>
      </w:r>
    </w:p>
    <w:p>
      <w:pPr>
        <w:bidi/>
        <w:spacing w:after="120"/>
        <w:jc w:val="right"/>
      </w:pPr>
      <w:r>
        <w:rPr>
          <w:rFonts w:ascii="Calibri" w:cs="Calibri" w:hAnsi="Calibri"/>
          <w:b/>
          <w:bCs/>
          <w:sz w:val="26"/>
          <w:szCs w:val="26"/>
          <w:rtl/>
        </w:rPr>
        <w:t xml:space="preserve">‏2. نبذة عن المنصة‏</w:t>
      </w:r>
    </w:p>
    <w:p>
      <w:pPr>
        <w:bidi/>
        <w:spacing w:after="120"/>
        <w:jc w:val="right"/>
      </w:pPr>
      <w:r>
        <w:rPr>
          <w:rFonts w:ascii="Calibri" w:cs="Calibri" w:hAnsi="Calibri"/>
          <w:sz w:val="22"/>
          <w:szCs w:val="22"/>
          <w:rtl/>
        </w:rPr>
        <w:t xml:space="preserve">‏TrustiqLegal منصة سحابية ثنائية اللغة (العربية والإنجليزية) لإدارة مكاتب المحاماة في سلطنة عُمان ودول مجلس التعاون الخليجي. تتيح المنصة للمكاتب إدارة القضايا والموكلين والمستندات والجلسات والمواعيد والفوترة، وتوفر بوابة إلكترونية للموكلين لمتابعة قضاياهم وتبادل المستندات، إضافة إلى مساعد بحث قانوني يعتمد على نصوص التشريعات العُمانية.‏</w:t>
      </w:r>
    </w:p>
    <w:p>
      <w:pPr>
        <w:bidi/>
        <w:spacing w:after="120"/>
        <w:jc w:val="right"/>
      </w:pPr>
      <w:r>
        <w:rPr>
          <w:rFonts w:ascii="Calibri" w:cs="Calibri" w:hAnsi="Calibri"/>
          <w:sz w:val="22"/>
          <w:szCs w:val="22"/>
          <w:rtl/>
        </w:rPr>
        <w:t xml:space="preserve">‏المستخدمون هم المحامون والموظفون في مكاتب المحاماة المرخصة، وموكلو هذه المكاتب من الأفراد والشركات.‏</w:t>
      </w:r>
    </w:p>
    <w:p>
      <w:pPr>
        <w:bidi/>
        <w:spacing w:after="120"/>
        <w:jc w:val="right"/>
      </w:pPr>
      <w:r>
        <w:rPr>
          <w:rFonts w:ascii="Calibri" w:cs="Calibri" w:hAnsi="Calibri"/>
          <w:b/>
          <w:bCs/>
          <w:sz w:val="26"/>
          <w:szCs w:val="26"/>
          <w:rtl/>
        </w:rPr>
        <w:t xml:space="preserve">‏3. الغرض من الطلب‏</w:t>
      </w:r>
    </w:p>
    <w:p>
      <w:pPr>
        <w:bidi/>
        <w:spacing w:after="120"/>
        <w:jc w:val="right"/>
      </w:pPr>
      <w:r>
        <w:rPr>
          <w:rFonts w:ascii="Calibri" w:cs="Calibri" w:hAnsi="Calibri"/>
          <w:sz w:val="22"/>
          <w:szCs w:val="22"/>
          <w:rtl/>
        </w:rPr>
        <w:t xml:space="preserve">‏نطلب الانضمام بصفتنا جهة خاصة إلى خدمات ثقة التالية، وتزويدنا بوثائق الربط الفني وبيئة الاختبار ومفاتيح الربط:‏</w:t>
      </w:r>
    </w:p>
    <w:p>
      <w:pPr>
        <w:bidi/>
        <w:spacing w:after="120"/>
        <w:jc w:val="right"/>
      </w:pPr>
      <w:r>
        <w:rPr>
          <w:rFonts w:ascii="Calibri" w:cs="Calibri" w:hAnsi="Calibri"/>
          <w:sz w:val="22"/>
          <w:szCs w:val="22"/>
          <w:rtl/>
        </w:rPr>
        <w:t xml:space="preserve">•  ‏بوابة الهوية (الدخول الموحد): تسجيل دخول المحامين والموظفين والموكلين إلى المنصة باستخدام تطبيق ثقة أو البطاقة الشخصية.‏</w:t>
      </w:r>
    </w:p>
    <w:p>
      <w:pPr>
        <w:bidi/>
        <w:spacing w:after="120"/>
        <w:jc w:val="right"/>
      </w:pPr>
      <w:r>
        <w:rPr>
          <w:rFonts w:ascii="Calibri" w:cs="Calibri" w:hAnsi="Calibri"/>
          <w:sz w:val="22"/>
          <w:szCs w:val="22"/>
          <w:rtl/>
        </w:rPr>
        <w:t xml:space="preserve">•  ‏التحقق من هوية الموكل: التحقق من هوية الموكل الجديد عند فتح ملفه لدى المكتب، بدلاً من رفع صورة البطاقة.‏</w:t>
      </w:r>
    </w:p>
    <w:p>
      <w:pPr>
        <w:bidi/>
        <w:spacing w:after="120"/>
        <w:jc w:val="right"/>
      </w:pPr>
      <w:r>
        <w:rPr>
          <w:rFonts w:ascii="Calibri" w:cs="Calibri" w:hAnsi="Calibri"/>
          <w:sz w:val="22"/>
          <w:szCs w:val="22"/>
          <w:rtl/>
        </w:rPr>
        <w:t xml:space="preserve">•  ‏التوقيع الإلكتروني المعتمد: توقيع المستندات القانونية إلكترونياً عبر بوابة التوقيع الرقمي.‏</w:t>
      </w:r>
    </w:p>
    <w:p>
      <w:pPr>
        <w:bidi/>
        <w:spacing w:after="120"/>
        <w:jc w:val="right"/>
      </w:pPr>
      <w:r>
        <w:rPr>
          <w:rFonts w:ascii="Calibri" w:cs="Calibri" w:hAnsi="Calibri"/>
          <w:sz w:val="22"/>
          <w:szCs w:val="22"/>
          <w:rtl/>
        </w:rPr>
        <w:t xml:space="preserve">•  ‏التحقق من التوقيعات: التحقق من صحة التوقيعات الرقمية على المستندات التي يتلقاها المكتب.‏</w:t>
      </w:r>
    </w:p>
    <w:p>
      <w:pPr>
        <w:bidi/>
        <w:spacing w:after="120"/>
        <w:jc w:val="right"/>
      </w:pPr>
      <w:r>
        <w:rPr>
          <w:rFonts w:ascii="Calibri" w:cs="Calibri" w:hAnsi="Calibri"/>
          <w:b/>
          <w:bCs/>
          <w:sz w:val="26"/>
          <w:szCs w:val="26"/>
          <w:rtl/>
        </w:rPr>
        <w:t xml:space="preserve">‏4. حالات الاستخدام التفصيلية‏</w:t>
      </w:r>
    </w:p>
    <w:p>
      <w:pPr>
        <w:bidi/>
        <w:spacing w:after="120"/>
        <w:jc w:val="right"/>
      </w:pPr>
      <w:r>
        <w:rPr>
          <w:rFonts w:ascii="Calibri" w:cs="Calibri" w:hAnsi="Calibri"/>
          <w:b/>
          <w:bCs/>
          <w:sz w:val="23"/>
          <w:szCs w:val="23"/>
          <w:rtl/>
        </w:rPr>
        <w:t xml:space="preserve">‏4.1 تسجيل الدخول‏</w:t>
      </w:r>
    </w:p>
    <w:p>
      <w:pPr>
        <w:bidi/>
        <w:spacing w:after="120"/>
        <w:jc w:val="right"/>
      </w:pPr>
      <w:r>
        <w:rPr>
          <w:rFonts w:ascii="Calibri" w:cs="Calibri" w:hAnsi="Calibri"/>
          <w:sz w:val="22"/>
          <w:szCs w:val="22"/>
          <w:rtl/>
        </w:rPr>
        <w:t xml:space="preserve">•  ‏يختار المستخدم "الدخول عبر ثقة" في صفحة الدخول.‏</w:t>
      </w:r>
    </w:p>
    <w:p>
      <w:pPr>
        <w:bidi/>
        <w:spacing w:after="120"/>
        <w:jc w:val="right"/>
      </w:pPr>
      <w:r>
        <w:rPr>
          <w:rFonts w:ascii="Calibri" w:cs="Calibri" w:hAnsi="Calibri"/>
          <w:sz w:val="22"/>
          <w:szCs w:val="22"/>
          <w:rtl/>
        </w:rPr>
        <w:t xml:space="preserve">•  ‏يوافق على طلب الدخول عبر الإشعار في تطبيق ثقة أو بمسح رمز QR، ثم يُدخل الرقم السري.‏</w:t>
      </w:r>
    </w:p>
    <w:p>
      <w:pPr>
        <w:bidi/>
        <w:spacing w:after="120"/>
        <w:jc w:val="right"/>
      </w:pPr>
      <w:r>
        <w:rPr>
          <w:rFonts w:ascii="Calibri" w:cs="Calibri" w:hAnsi="Calibri"/>
          <w:sz w:val="22"/>
          <w:szCs w:val="22"/>
          <w:rtl/>
        </w:rPr>
        <w:t xml:space="preserve">•  ‏تربط المنصة الهوية بحساب المستخدم القائم في مكتبه، ولا تُنشئ حساباً جديداً تلقائياً.‏</w:t>
      </w:r>
    </w:p>
    <w:p>
      <w:pPr>
        <w:bidi/>
        <w:spacing w:after="120"/>
        <w:jc w:val="right"/>
      </w:pPr>
      <w:r>
        <w:rPr>
          <w:rFonts w:ascii="Calibri" w:cs="Calibri" w:hAnsi="Calibri"/>
          <w:sz w:val="22"/>
          <w:szCs w:val="22"/>
          <w:rtl/>
        </w:rPr>
        <w:t xml:space="preserve">•  ‏يُستخدم مستوى التحقق المتوسط على الأقل.‏</w:t>
      </w:r>
    </w:p>
    <w:p>
      <w:pPr>
        <w:bidi/>
        <w:spacing w:after="120"/>
        <w:jc w:val="right"/>
      </w:pPr>
      <w:r>
        <w:rPr>
          <w:rFonts w:ascii="Calibri" w:cs="Calibri" w:hAnsi="Calibri"/>
          <w:b/>
          <w:bCs/>
          <w:sz w:val="23"/>
          <w:szCs w:val="23"/>
          <w:rtl/>
        </w:rPr>
        <w:t xml:space="preserve">‏4.2 التحقق من هوية الموكل‏</w:t>
      </w:r>
    </w:p>
    <w:p>
      <w:pPr>
        <w:bidi/>
        <w:spacing w:after="120"/>
        <w:jc w:val="right"/>
      </w:pPr>
      <w:r>
        <w:rPr>
          <w:rFonts w:ascii="Calibri" w:cs="Calibri" w:hAnsi="Calibri"/>
          <w:sz w:val="22"/>
          <w:szCs w:val="22"/>
          <w:rtl/>
        </w:rPr>
        <w:t xml:space="preserve">•  ‏عند فتح ملف موكل جديد يرسل المكتب للموكل رابطاً للتحقق من هويته عبر ثقة.‏</w:t>
      </w:r>
    </w:p>
    <w:p>
      <w:pPr>
        <w:bidi/>
        <w:spacing w:after="120"/>
        <w:jc w:val="right"/>
      </w:pPr>
      <w:r>
        <w:rPr>
          <w:rFonts w:ascii="Calibri" w:cs="Calibri" w:hAnsi="Calibri"/>
          <w:sz w:val="22"/>
          <w:szCs w:val="22"/>
          <w:rtl/>
        </w:rPr>
        <w:t xml:space="preserve">•  ‏تحفظ المنصة نتيجة التحقق ووقته والبيانات التي يوافق الموكل على مشاركتها فقط، ضمن ملف "اعرف عميلك" للمكتب.‏</w:t>
      </w:r>
    </w:p>
    <w:p>
      <w:pPr>
        <w:bidi/>
        <w:spacing w:after="120"/>
        <w:jc w:val="right"/>
      </w:pPr>
      <w:r>
        <w:rPr>
          <w:rFonts w:ascii="Calibri" w:cs="Calibri" w:hAnsi="Calibri"/>
          <w:sz w:val="22"/>
          <w:szCs w:val="22"/>
          <w:rtl/>
        </w:rPr>
        <w:t xml:space="preserve">•  ‏يدعم ذلك التزامات المكاتب في التحقق من هوية العملاء.‏</w:t>
      </w:r>
    </w:p>
    <w:p>
      <w:pPr>
        <w:bidi/>
        <w:spacing w:after="120"/>
        <w:jc w:val="right"/>
      </w:pPr>
      <w:r>
        <w:rPr>
          <w:rFonts w:ascii="Calibri" w:cs="Calibri" w:hAnsi="Calibri"/>
          <w:b/>
          <w:bCs/>
          <w:sz w:val="23"/>
          <w:szCs w:val="23"/>
          <w:rtl/>
        </w:rPr>
        <w:t xml:space="preserve">‏4.3 التوقيع الإلكتروني المعتمد‏</w:t>
      </w:r>
    </w:p>
    <w:p>
      <w:pPr>
        <w:bidi/>
        <w:spacing w:after="120"/>
        <w:jc w:val="right"/>
      </w:pPr>
      <w:r>
        <w:rPr>
          <w:rFonts w:ascii="Calibri" w:cs="Calibri" w:hAnsi="Calibri"/>
          <w:sz w:val="22"/>
          <w:szCs w:val="22"/>
          <w:rtl/>
        </w:rPr>
        <w:t xml:space="preserve">•  ‏أمثلة على المستندات: اتفاقيات أتعاب المحاماة وخطابات التكليف، واتفاقيات التسوية، وإقرارات الموكل، والمحاضر الداخلية.‏</w:t>
      </w:r>
    </w:p>
    <w:p>
      <w:pPr>
        <w:bidi/>
        <w:spacing w:after="120"/>
        <w:jc w:val="right"/>
      </w:pPr>
      <w:r>
        <w:rPr>
          <w:rFonts w:ascii="Calibri" w:cs="Calibri" w:hAnsi="Calibri"/>
          <w:sz w:val="22"/>
          <w:szCs w:val="22"/>
          <w:rtl/>
        </w:rPr>
        <w:t xml:space="preserve">•  ‏يرسل المحامي المستند للتوقيع من المنصة، فيصل للموقّع طلب توقيع في تطبيق ثقة.‏</w:t>
      </w:r>
    </w:p>
    <w:p>
      <w:pPr>
        <w:bidi/>
        <w:spacing w:after="120"/>
        <w:jc w:val="right"/>
      </w:pPr>
      <w:r>
        <w:rPr>
          <w:rFonts w:ascii="Calibri" w:cs="Calibri" w:hAnsi="Calibri"/>
          <w:sz w:val="22"/>
          <w:szCs w:val="22"/>
          <w:rtl/>
        </w:rPr>
        <w:t xml:space="preserve">•  ‏يتطلب التوقيع رفع هوية الموقّع إلى المستوى العالي وفق متطلبات ثقة.‏</w:t>
      </w:r>
    </w:p>
    <w:p>
      <w:pPr>
        <w:bidi/>
        <w:spacing w:after="120"/>
        <w:jc w:val="right"/>
      </w:pPr>
      <w:r>
        <w:rPr>
          <w:rFonts w:ascii="Calibri" w:cs="Calibri" w:hAnsi="Calibri"/>
          <w:sz w:val="22"/>
          <w:szCs w:val="22"/>
          <w:rtl/>
        </w:rPr>
        <w:t xml:space="preserve">•  ‏تحفظ المنصة المستند الموقّع ونتيجة التحقق منه في سجل المستند.‏</w:t>
      </w:r>
    </w:p>
    <w:p>
      <w:pPr>
        <w:bidi/>
        <w:spacing w:after="120"/>
        <w:jc w:val="right"/>
      </w:pPr>
      <w:r>
        <w:rPr>
          <w:rFonts w:ascii="Calibri" w:cs="Calibri" w:hAnsi="Calibri"/>
          <w:sz w:val="22"/>
          <w:szCs w:val="22"/>
          <w:rtl/>
        </w:rPr>
        <w:t xml:space="preserve">•  ‏لا تُستخدم الخدمة للمستندات التي يشترط القانون توثيقها أمام الكاتب بالعدل أو جهة أخرى، إلا وفق ما تسمح به الأنظمة.‏</w:t>
      </w:r>
    </w:p>
    <w:p>
      <w:pPr>
        <w:bidi/>
        <w:spacing w:after="120"/>
        <w:jc w:val="right"/>
      </w:pPr>
      <w:r>
        <w:rPr>
          <w:rFonts w:ascii="Calibri" w:cs="Calibri" w:hAnsi="Calibri"/>
          <w:b/>
          <w:bCs/>
          <w:sz w:val="23"/>
          <w:szCs w:val="23"/>
          <w:rtl/>
        </w:rPr>
        <w:t xml:space="preserve">‏4.4 التحقق من المستندات الموقعة‏</w:t>
      </w:r>
    </w:p>
    <w:p>
      <w:pPr>
        <w:bidi/>
        <w:spacing w:after="120"/>
        <w:jc w:val="right"/>
      </w:pPr>
      <w:r>
        <w:rPr>
          <w:rFonts w:ascii="Calibri" w:cs="Calibri" w:hAnsi="Calibri"/>
          <w:sz w:val="22"/>
          <w:szCs w:val="22"/>
          <w:rtl/>
        </w:rPr>
        <w:t xml:space="preserve">•  ‏يرفع المحامي مستنداً موقعاً رقمياً تلقاه من جهة أخرى، فتتحقق المنصة من صحة التوقيع وسريان الشهادة عبر خدمة التحقق، وتعرض النتيجة.‏</w:t>
      </w:r>
    </w:p>
    <w:p>
      <w:pPr>
        <w:bidi/>
        <w:spacing w:after="120"/>
        <w:jc w:val="right"/>
      </w:pPr>
      <w:r>
        <w:rPr>
          <w:rFonts w:ascii="Calibri" w:cs="Calibri" w:hAnsi="Calibri"/>
          <w:b/>
          <w:bCs/>
          <w:sz w:val="26"/>
          <w:szCs w:val="26"/>
          <w:rtl/>
        </w:rPr>
        <w:t xml:space="preserve">‏5. البيانات المطلوبة من خدمات ثقة‏</w:t>
      </w:r>
    </w:p>
    <w:p>
      <w:pPr>
        <w:bidi/>
        <w:spacing w:after="120"/>
        <w:jc w:val="right"/>
      </w:pPr>
      <w:r>
        <w:rPr>
          <w:rFonts w:ascii="Calibri" w:cs="Calibri" w:hAnsi="Calibri"/>
          <w:sz w:val="22"/>
          <w:szCs w:val="22"/>
          <w:rtl/>
        </w:rPr>
        <w:t xml:space="preserve">‏نطلب أقل قدر من البيانات اللازمة لكل حالة استخدام:‏</w:t>
      </w:r>
    </w:p>
    <w:tbl>
      <w:tblPr>
        <w:bidiVisual/>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‏حالة الاستخدام‏</w:t>
            </w:r>
          </w:p>
        </w:tc>
        <w:tc>
          <w:tcPr>
            <w:tcW w:type="pct" w:w="31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‏البيانات المطلوبة‏</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‏تسجيل الدخول‏</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‏معرّف ثابت للمستخدم، والاسم بالعربية والإنجليزية، ومستوى التحقق‏</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‏التحقق من هوية الموكل‏</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‏الرقم المدني، والاسم بالعربية والإنجليزية، والجنسية، وتاريخ الميلاد، ومستوى التحقق‏</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‏التوقيع الإلكتروني‏</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‏المستند الموقّع، وبيانات شهادة الموقّع، والختم الزمني‏</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‏التحقق من التوقيع‏</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‏نتيجة التحقق وبيانات الشهادة وحالة سريانها‏</w:t>
            </w:r>
          </w:p>
        </w:tc>
      </w:tr>
    </w:tbl>
    <w:p>
      <w:pPr>
        <w:bidi/>
        <w:spacing w:after="120"/>
        <w:jc w:val="right"/>
      </w:pPr>
      <w:r>
        <w:rPr>
          <w:rFonts w:ascii="Calibri" w:cs="Calibri" w:hAnsi="Calibri"/>
          <w:sz w:val="22"/>
          <w:szCs w:val="22"/>
          <w:rtl/>
        </w:rPr>
        <w:t xml:space="preserve"/>
      </w:r>
    </w:p>
    <w:p>
      <w:pPr>
        <w:bidi/>
        <w:spacing w:after="120"/>
        <w:jc w:val="right"/>
      </w:pPr>
      <w:r>
        <w:rPr>
          <w:rFonts w:ascii="Calibri" w:cs="Calibri" w:hAnsi="Calibri"/>
          <w:b/>
          <w:bCs/>
          <w:sz w:val="26"/>
          <w:szCs w:val="26"/>
          <w:rtl/>
        </w:rPr>
        <w:t xml:space="preserve">‏6. المتطلبات الفنية‏</w:t>
      </w:r>
    </w:p>
    <w:p>
      <w:pPr>
        <w:bidi/>
        <w:spacing w:after="120"/>
        <w:jc w:val="right"/>
      </w:pPr>
      <w:r>
        <w:rPr>
          <w:rFonts w:ascii="Calibri" w:cs="Calibri" w:hAnsi="Calibri"/>
          <w:sz w:val="22"/>
          <w:szCs w:val="22"/>
          <w:rtl/>
        </w:rPr>
        <w:t xml:space="preserve">•  ‏نوع التطبيق: تطبيق ويب يعمل على المتصفح في الحاسوب والهاتف، ويعمل على خوادمنا (Node.js وقاعدة بيانات PostgreSQL).‏</w:t>
      </w:r>
    </w:p>
    <w:p>
      <w:pPr>
        <w:bidi/>
        <w:spacing w:after="120"/>
        <w:jc w:val="right"/>
      </w:pPr>
      <w:r>
        <w:rPr>
          <w:rFonts w:ascii="Calibri" w:cs="Calibri" w:hAnsi="Calibri"/>
          <w:sz w:val="22"/>
          <w:szCs w:val="22"/>
          <w:rtl/>
        </w:rPr>
        <w:t xml:space="preserve">•  ‏الدخول: نفضّل معيار OpenID Connect أو OAuth 2.0، أو SAML 2.0، مع دعم الإشعار ورمز QR.‏</w:t>
      </w:r>
    </w:p>
    <w:p>
      <w:pPr>
        <w:bidi/>
        <w:spacing w:after="120"/>
        <w:jc w:val="right"/>
      </w:pPr>
      <w:r>
        <w:rPr>
          <w:rFonts w:ascii="Calibri" w:cs="Calibri" w:hAnsi="Calibri"/>
          <w:sz w:val="22"/>
          <w:szCs w:val="22"/>
          <w:rtl/>
        </w:rPr>
        <w:t xml:space="preserve">•  ‏التوقيع: واجهة برمجية لإرسال طلب توقيع واستلام النتيجة عبر رابط رد (callback)، ونفضّل الحصول على ملف PDF موقّع بصيغة PAdES مع ختم زمني.‏</w:t>
      </w:r>
    </w:p>
    <w:p>
      <w:pPr>
        <w:bidi/>
        <w:spacing w:after="120"/>
        <w:jc w:val="right"/>
      </w:pPr>
      <w:r>
        <w:rPr>
          <w:rFonts w:ascii="Calibri" w:cs="Calibri" w:hAnsi="Calibri"/>
          <w:sz w:val="22"/>
          <w:szCs w:val="22"/>
          <w:rtl/>
        </w:rPr>
        <w:t xml:space="preserve">•  ‏التحقق: واجهة برمجية للتحقق من التوقيع وحالة الشهادة (OCSP).‏</w:t>
      </w:r>
    </w:p>
    <w:p>
      <w:pPr>
        <w:bidi/>
        <w:spacing w:after="120"/>
        <w:jc w:val="right"/>
      </w:pPr>
      <w:r>
        <w:rPr>
          <w:rFonts w:ascii="Calibri" w:cs="Calibri" w:hAnsi="Calibri"/>
          <w:sz w:val="22"/>
          <w:szCs w:val="22"/>
          <w:rtl/>
        </w:rPr>
        <w:t xml:space="preserve">•  ‏بيئة اختبار (Sandbox) وحسابات اختبار قبل الانتقال إلى بيئة الإنتاج.‏</w:t>
      </w:r>
    </w:p>
    <w:p>
      <w:pPr>
        <w:bidi/>
        <w:spacing w:after="120"/>
        <w:jc w:val="right"/>
      </w:pPr>
      <w:r>
        <w:rPr>
          <w:rFonts w:ascii="Calibri" w:cs="Calibri" w:hAnsi="Calibri"/>
          <w:sz w:val="22"/>
          <w:szCs w:val="22"/>
          <w:rtl/>
        </w:rPr>
        <w:t xml:space="preserve">•  ‏نلتزم بأي متطلبات ربط تحددها الوزارة، مثل الشهادات الرقمية للخادم، أو تقييد عناوين IP، أو الاتصال الآمن المتبادل (mTLS).‏</w:t>
      </w:r>
    </w:p>
    <w:p>
      <w:pPr>
        <w:bidi/>
        <w:spacing w:after="120"/>
        <w:jc w:val="right"/>
      </w:pPr>
      <w:r>
        <w:rPr>
          <w:rFonts w:ascii="Calibri" w:cs="Calibri" w:hAnsi="Calibri"/>
          <w:b/>
          <w:bCs/>
          <w:sz w:val="26"/>
          <w:szCs w:val="26"/>
          <w:rtl/>
        </w:rPr>
        <w:t xml:space="preserve">‏7. حماية البيانات وأمن المعلومات‏</w:t>
      </w:r>
    </w:p>
    <w:p>
      <w:pPr>
        <w:bidi/>
        <w:spacing w:after="120"/>
        <w:jc w:val="right"/>
      </w:pPr>
      <w:r>
        <w:rPr>
          <w:rFonts w:ascii="Calibri" w:cs="Calibri" w:hAnsi="Calibri"/>
          <w:sz w:val="22"/>
          <w:szCs w:val="22"/>
          <w:rtl/>
        </w:rPr>
        <w:t xml:space="preserve">•  ‏نلتزم بقانون حماية البيانات الشخصية الصادر بالمرسوم السلطاني رقم 6/2022 ولائحته التنفيذية، وبقانون المعاملات الإلكترونية الصادر بالمرسوم السلطاني رقم 39/2025.‏</w:t>
      </w:r>
    </w:p>
    <w:p>
      <w:pPr>
        <w:bidi/>
        <w:spacing w:after="120"/>
        <w:jc w:val="right"/>
      </w:pPr>
      <w:r>
        <w:rPr>
          <w:rFonts w:ascii="Calibri" w:cs="Calibri" w:hAnsi="Calibri"/>
          <w:sz w:val="22"/>
          <w:szCs w:val="22"/>
          <w:rtl/>
        </w:rPr>
        <w:t xml:space="preserve">•  ‏تُطلب موافقة المستخدم الصريحة قبل مشاركة بياناته من ثقة، وتُستخدم البيانات للغرض المحدد فقط.‏</w:t>
      </w:r>
    </w:p>
    <w:p>
      <w:pPr>
        <w:bidi/>
        <w:spacing w:after="120"/>
        <w:jc w:val="right"/>
      </w:pPr>
      <w:r>
        <w:rPr>
          <w:rFonts w:ascii="Calibri" w:cs="Calibri" w:hAnsi="Calibri"/>
          <w:sz w:val="22"/>
          <w:szCs w:val="22"/>
          <w:rtl/>
        </w:rPr>
        <w:t xml:space="preserve">•  ‏جميع الاتصالات مشفرة عبر TLS، وتُخزن مفاتيح الربط والرموز السرية مشفرة (AES-256-GCM).‏</w:t>
      </w:r>
    </w:p>
    <w:p>
      <w:pPr>
        <w:bidi/>
        <w:spacing w:after="120"/>
        <w:jc w:val="right"/>
      </w:pPr>
      <w:r>
        <w:rPr>
          <w:rFonts w:ascii="Calibri" w:cs="Calibri" w:hAnsi="Calibri"/>
          <w:sz w:val="22"/>
          <w:szCs w:val="22"/>
          <w:rtl/>
        </w:rPr>
        <w:t xml:space="preserve">•  ‏صلاحيات المستخدمين حسب الدور، وسجل تدقيق لكل عمليات الدخول والتعديل والتنزيل، والتحقق بخطوتين متاح للمستخدمين.‏</w:t>
      </w:r>
    </w:p>
    <w:p>
      <w:pPr>
        <w:bidi/>
        <w:spacing w:after="120"/>
        <w:jc w:val="right"/>
      </w:pPr>
      <w:r>
        <w:rPr>
          <w:rFonts w:ascii="Calibri" w:cs="Calibri" w:hAnsi="Calibri"/>
          <w:sz w:val="22"/>
          <w:szCs w:val="22"/>
          <w:rtl/>
        </w:rPr>
        <w:t xml:space="preserve">•  ‏الاستضافة: المنصة مستضافة حالياً على خدمة سحابية خارج سلطنة عُمان، ونخطط لنقل بيانات العملاء العُمانيين إلى مزود استضافة داخل السلطنة. نرجو إفادتنا إن كانت الاستضافة داخل السلطنة شرطاً للربط مع ثقة.‏</w:t>
      </w:r>
    </w:p>
    <w:p>
      <w:pPr>
        <w:bidi/>
        <w:spacing w:after="120"/>
        <w:jc w:val="right"/>
      </w:pPr>
      <w:r>
        <w:rPr>
          <w:rFonts w:ascii="Calibri" w:cs="Calibri" w:hAnsi="Calibri"/>
          <w:sz w:val="22"/>
          <w:szCs w:val="22"/>
          <w:rtl/>
        </w:rPr>
        <w:t xml:space="preserve">•  ‏نحن مستعدون لإجراء تقييم أمني أو اختبار اختراق تطلبه الوزارة قبل الانتقال إلى الإنتاج.‏</w:t>
      </w:r>
    </w:p>
    <w:p>
      <w:pPr>
        <w:bidi/>
        <w:spacing w:after="120"/>
        <w:jc w:val="right"/>
      </w:pPr>
      <w:r>
        <w:rPr>
          <w:rFonts w:ascii="Calibri" w:cs="Calibri" w:hAnsi="Calibri"/>
          <w:b/>
          <w:bCs/>
          <w:sz w:val="26"/>
          <w:szCs w:val="26"/>
          <w:rtl/>
        </w:rPr>
        <w:t xml:space="preserve">‏8. الحجم المتوقع والجدول الزمني‏</w:t>
      </w:r>
    </w:p>
    <w:p>
      <w:pPr>
        <w:bidi/>
        <w:spacing w:after="120"/>
        <w:jc w:val="right"/>
      </w:pPr>
      <w:r>
        <w:rPr>
          <w:rFonts w:ascii="Calibri" w:cs="Calibri" w:hAnsi="Calibri"/>
          <w:sz w:val="22"/>
          <w:szCs w:val="22"/>
          <w:rtl/>
        </w:rPr>
        <w:t xml:space="preserve">‏المنصة في مرحلة الإطلاق الأولى، والأرقام التالية تقديرات أولية سنحدّثها بعد المرحلة التجريبية:‏</w:t>
      </w:r>
    </w:p>
    <w:tbl>
      <w:tblPr>
        <w:bidiVisual/>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‏البند‏</w:t>
            </w:r>
          </w:p>
        </w:tc>
        <w:tc>
          <w:tcPr>
            <w:tcW w:type="pct" w:w="3100"/>
            <w:tcBorders>
              <w:top w:val="single" w:color="BFBFBF" w:sz="4"/>
              <w:left w:val="single" w:color="BFBFBF" w:sz="4"/>
              <w:bottom w:val="single" w:color="BFBFBF" w:sz="4"/>
              <w:right w:val="single" w:color="BFBFBF" w:sz="4"/>
            </w:tcBorders>
            <w:shd w:fill="F2F2F2" w:val="clear"/>
          </w:tcPr>
          <w:p>
            <w:pPr>
              <w:bidi/>
              <w:spacing w:after="120"/>
              <w:jc w:val="right"/>
            </w:pPr>
            <w:r>
              <w:rPr>
                <w:rFonts w:ascii="Calibri" w:cs="Calibri" w:hAnsi="Calibri"/>
                <w:b/>
                <w:bCs/>
                <w:sz w:val="21"/>
                <w:szCs w:val="21"/>
                <w:rtl/>
              </w:rPr>
              <w:t xml:space="preserve">‏التقدير الأولي‏</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‏عدد المكاتب في المرحلة التجريبية‏</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‏من 5 إلى 10 مكاتب محاماة في سلطنة عُمان‏</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‏عدد المستخدمين خلال السنة الأولى‏</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‏حتى 200 مستخدم (محامون وموظفون وموكلون)‏</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‏عمليات الدخول عبر ثقة شهرياً‏</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‏حتى 3,000 عملية‏</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‏التحقق من هوية الموكلين شهرياً‏</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‏حتى 200 عملية‏</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‏عمليات التوقيع شهرياً‏</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‏حتى 300 عملية‏</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‏الربط في بيئة الاختبار‏</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‏خلال 4 أسابيع من استلام الوثائق الفنية‏</w:t>
            </w:r>
          </w:p>
        </w:tc>
      </w:tr>
      <w:tr>
        <w:tc>
          <w:tcPr>
            <w:tcW w:type="pct" w:w="19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‏الإطلاق التجريبي مع مكاتب مختارة‏</w:t>
            </w:r>
          </w:p>
        </w:tc>
        <w:tc>
          <w:tcPr>
            <w:tcW w:type="pct" w:w="3100"/>
            <w:tcBorders>
              <w:top w:val="single" w:color="BFBFBF" w:sz="4"/>
              <w:left w:val="single" w:color="BFBFBF" w:sz="4"/>
              <w:bottom w:val="single" w:color="BFBFBF" w:sz="4"/>
              <w:right w:val="single" w:color="BFBFBF" w:sz="4"/>
            </w:tcBorders>
          </w:tcPr>
          <w:p>
            <w:pPr>
              <w:bidi/>
              <w:spacing w:after="120"/>
              <w:jc w:val="right"/>
            </w:pPr>
            <w:r>
              <w:rPr>
                <w:rFonts w:ascii="Calibri" w:cs="Calibri" w:hAnsi="Calibri"/>
                <w:b w:val="false"/>
                <w:sz w:val="21"/>
                <w:szCs w:val="21"/>
                <w:rtl/>
              </w:rPr>
              <w:t xml:space="preserve">‏خلال شهرين من اعتماد الربط في بيئة الاختبار‏</w:t>
            </w:r>
          </w:p>
        </w:tc>
      </w:tr>
    </w:tbl>
    <w:p>
      <w:pPr>
        <w:bidi/>
        <w:spacing w:after="120"/>
        <w:jc w:val="right"/>
      </w:pPr>
      <w:r>
        <w:rPr>
          <w:rFonts w:ascii="Calibri" w:cs="Calibri" w:hAnsi="Calibri"/>
          <w:sz w:val="22"/>
          <w:szCs w:val="22"/>
          <w:rtl/>
        </w:rPr>
        <w:t xml:space="preserve"/>
      </w:r>
    </w:p>
    <w:p>
      <w:pPr>
        <w:bidi/>
        <w:spacing w:after="120"/>
        <w:jc w:val="right"/>
      </w:pPr>
      <w:r>
        <w:rPr>
          <w:rFonts w:ascii="Calibri" w:cs="Calibri" w:hAnsi="Calibri"/>
          <w:b/>
          <w:bCs/>
          <w:sz w:val="26"/>
          <w:szCs w:val="26"/>
          <w:rtl/>
        </w:rPr>
        <w:t xml:space="preserve">‏9. ما نطلبه من الوزارة‏</w:t>
      </w:r>
    </w:p>
    <w:p>
      <w:pPr>
        <w:bidi/>
        <w:spacing w:after="120"/>
        <w:jc w:val="right"/>
      </w:pPr>
      <w:r>
        <w:rPr>
          <w:rFonts w:ascii="Calibri" w:cs="Calibri" w:hAnsi="Calibri"/>
          <w:sz w:val="22"/>
          <w:szCs w:val="22"/>
          <w:rtl/>
        </w:rPr>
        <w:t xml:space="preserve">•  ‏وثائق الربط الفني لخدمات الدخول والتوقيع والتحقق.‏</w:t>
      </w:r>
    </w:p>
    <w:p>
      <w:pPr>
        <w:bidi/>
        <w:spacing w:after="120"/>
        <w:jc w:val="right"/>
      </w:pPr>
      <w:r>
        <w:rPr>
          <w:rFonts w:ascii="Calibri" w:cs="Calibri" w:hAnsi="Calibri"/>
          <w:sz w:val="22"/>
          <w:szCs w:val="22"/>
          <w:rtl/>
        </w:rPr>
        <w:t xml:space="preserve">•  ‏الوصول إلى بيئة الاختبار وحسابات الاختبار ومفاتيح الربط.‏</w:t>
      </w:r>
    </w:p>
    <w:p>
      <w:pPr>
        <w:bidi/>
        <w:spacing w:after="120"/>
        <w:jc w:val="right"/>
      </w:pPr>
      <w:r>
        <w:rPr>
          <w:rFonts w:ascii="Calibri" w:cs="Calibri" w:hAnsi="Calibri"/>
          <w:sz w:val="22"/>
          <w:szCs w:val="22"/>
          <w:rtl/>
        </w:rPr>
        <w:t xml:space="preserve">•  ‏نموذج الاتفاقية والرسوم إن وجدت، والمتطلبات الأمنية والنظامية للجهات الخاصة.‏</w:t>
      </w:r>
    </w:p>
    <w:p>
      <w:pPr>
        <w:bidi/>
        <w:spacing w:after="120"/>
        <w:jc w:val="right"/>
      </w:pPr>
      <w:r>
        <w:rPr>
          <w:rFonts w:ascii="Calibri" w:cs="Calibri" w:hAnsi="Calibri"/>
          <w:sz w:val="22"/>
          <w:szCs w:val="22"/>
          <w:rtl/>
        </w:rPr>
        <w:t xml:space="preserve">•  ‏إفادتنا بشأن شرط الاستضافة داخل السلطنة.‏</w:t>
      </w:r>
    </w:p>
    <w:p>
      <w:pPr>
        <w:bidi/>
        <w:spacing w:after="120"/>
        <w:jc w:val="right"/>
      </w:pPr>
      <w:r>
        <w:rPr>
          <w:rFonts w:ascii="Calibri" w:cs="Calibri" w:hAnsi="Calibri"/>
          <w:b/>
          <w:bCs/>
          <w:sz w:val="26"/>
          <w:szCs w:val="26"/>
          <w:rtl/>
        </w:rPr>
        <w:t xml:space="preserve">‏10. التواصل‏</w:t>
      </w:r>
    </w:p>
    <w:p>
      <w:pPr>
        <w:bidi/>
        <w:spacing w:after="120"/>
        <w:jc w:val="right"/>
      </w:pPr>
      <w:r>
        <w:rPr>
          <w:rFonts w:ascii="Calibri" w:cs="Calibri" w:hAnsi="Calibri"/>
          <w:sz w:val="22"/>
          <w:szCs w:val="22"/>
          <w:rtl/>
        </w:rPr>
        <w:t xml:space="preserve">‏[الاسم]، [المسمى الوظيفي]‏</w:t>
      </w:r>
    </w:p>
    <w:p>
      <w:pPr>
        <w:bidi/>
        <w:spacing w:after="120"/>
        <w:jc w:val="right"/>
      </w:pPr>
      <w:r>
        <w:rPr>
          <w:rFonts w:ascii="Calibri" w:cs="Calibri" w:hAnsi="Calibri"/>
          <w:sz w:val="22"/>
          <w:szCs w:val="22"/>
          <w:rtl/>
        </w:rPr>
        <w:t xml:space="preserve">‏[الشركة]‏</w:t>
      </w:r>
    </w:p>
    <w:p>
      <w:pPr>
        <w:bidi/>
        <w:spacing w:after="120"/>
        <w:jc w:val="right"/>
      </w:pPr>
      <w:r>
        <w:rPr>
          <w:rFonts w:ascii="Calibri" w:cs="Calibri" w:hAnsi="Calibri"/>
          <w:sz w:val="22"/>
          <w:szCs w:val="22"/>
          <w:rtl/>
        </w:rPr>
        <w:t xml:space="preserve">‏[الهاتف]، [البريد الإلكتروني]‏</w:t>
      </w:r>
    </w:p>
    <w:p>
      <w:r>
        <w:br w:type="page"/>
      </w:r>
    </w:p>
    <w:p>
      <w:pPr>
        <w:bidi w:val="false"/>
        <w:spacing w:after="120"/>
        <w:jc w:val="left"/>
      </w:pPr>
      <w:r>
        <w:rPr>
          <w:rFonts w:ascii="Calibri" w:cs="Calibri" w:hAnsi="Calibri"/>
          <w:b/>
          <w:bCs/>
          <w:sz w:val="32"/>
          <w:szCs w:val="32"/>
          <w:rtl w:val="false"/>
        </w:rPr>
        <w:t xml:space="preserve">Request to join THEQA services: business use case and project requirements</w:t>
      </w:r>
    </w:p>
    <w:p>
      <w:pPr>
        <w:bidi w:val="false"/>
        <w:spacing w:after="120"/>
        <w:jc w:val="left"/>
      </w:pPr>
      <w:r>
        <w:rPr>
          <w:rFonts w:ascii="Calibri" w:cs="Calibri" w:hAnsi="Calibri"/>
          <w:b/>
          <w:bCs/>
          <w:sz w:val="24"/>
          <w:szCs w:val="24"/>
          <w:rtl w:val="false"/>
        </w:rPr>
        <w:t xml:space="preserve">TrustiqLegal law firm management platform, by SmarThinkerz</w:t>
      </w:r>
    </w:p>
    <w:p>
      <w:pPr>
        <w:bidi w:val="false"/>
        <w:spacing w:after="120"/>
        <w:jc w:val="left"/>
      </w:pPr>
      <w:r>
        <w:rPr>
          <w:rFonts w:ascii="Calibri" w:cs="Calibri" w:hAnsi="Calibri"/>
          <w:sz w:val="20"/>
          <w:szCs w:val="20"/>
          <w:rtl w:val="false"/>
        </w:rPr>
        <w:t xml:space="preserve">To: Electronic Authentication Center, Oman National CERT, Ministry of Transport, Communications and Information Technology</w:t>
      </w:r>
    </w:p>
    <w:p>
      <w:pPr>
        <w:bidi w:val="false"/>
        <w:spacing w:after="120"/>
        <w:jc w:val="left"/>
      </w:pPr>
      <w:r>
        <w:rPr>
          <w:rFonts w:ascii="Calibri" w:cs="Calibri" w:hAnsi="Calibri"/>
          <w:sz w:val="20"/>
          <w:szCs w:val="20"/>
          <w:rtl w:val="false"/>
        </w:rPr>
        <w:t xml:space="preserve">Email: Theqa@mtcit.gov.om and pkisupport@mtcit.gov.om</w:t>
      </w:r>
    </w:p>
    <w:p>
      <w:pPr>
        <w:bidi w:val="false"/>
        <w:spacing w:after="120"/>
        <w:jc w:val="left"/>
      </w:pPr>
      <w:r>
        <w:rPr>
          <w:rFonts w:ascii="Calibri" w:cs="Calibri" w:hAnsi="Calibri"/>
          <w:sz w:val="20"/>
          <w:szCs w:val="20"/>
          <w:rtl w:val="false"/>
        </w:rPr>
        <w:t xml:space="preserve">Date: [date]</w:t>
      </w:r>
    </w:p>
    <w:p>
      <w:pPr>
        <w:bidi w:val="false"/>
        <w:spacing w:after="120"/>
        <w:jc w:val="left"/>
      </w:pPr>
      <w:r>
        <w:rPr>
          <w:rFonts w:ascii="Calibri" w:cs="Calibri" w:hAnsi="Calibri"/>
          <w:b/>
          <w:bCs/>
          <w:sz w:val="26"/>
          <w:szCs w:val="26"/>
          <w:rtl w:val="false"/>
        </w:rPr>
        <w:t xml:space="preserve">1. Applicant details</w:t>
      </w:r>
    </w:p>
    <w:tbl>
      <w:tblPr>
        <w:bidiVisual w:val="off"/>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Company name</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[Legal company name as in the commercial registration]</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Commercial registration number</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[CR number]</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Product name</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TrustiqLegal</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Website</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https://trstiqai.eqence.com</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Contact for this request</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[Name, title]</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Phone and email</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[Phone], [email]</w:t>
            </w:r>
          </w:p>
        </w:tc>
      </w:tr>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Technical contact</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[Name, email]</w:t>
            </w:r>
          </w:p>
        </w:tc>
      </w:tr>
    </w:tbl>
    <w:p>
      <w:pPr>
        <w:bidi w:val="false"/>
        <w:spacing w:after="120"/>
        <w:jc w:val="left"/>
      </w:pPr>
      <w:r>
        <w:rPr>
          <w:rFonts w:ascii="Calibri" w:cs="Calibri" w:hAnsi="Calibri"/>
          <w:sz w:val="22"/>
          <w:szCs w:val="22"/>
          <w:rtl w:val="false"/>
        </w:rPr>
        <w:t xml:space="preserve"/>
      </w:r>
    </w:p>
    <w:p>
      <w:pPr>
        <w:bidi w:val="false"/>
        <w:spacing w:after="120"/>
        <w:jc w:val="left"/>
      </w:pPr>
      <w:r>
        <w:rPr>
          <w:rFonts w:ascii="Calibri" w:cs="Calibri" w:hAnsi="Calibri"/>
          <w:b/>
          <w:bCs/>
          <w:sz w:val="26"/>
          <w:szCs w:val="26"/>
          <w:rtl w:val="false"/>
        </w:rPr>
        <w:t xml:space="preserve">2. About the platform</w:t>
      </w:r>
    </w:p>
    <w:p>
      <w:pPr>
        <w:bidi w:val="false"/>
        <w:spacing w:after="120"/>
        <w:jc w:val="left"/>
      </w:pPr>
      <w:r>
        <w:rPr>
          <w:rFonts w:ascii="Calibri" w:cs="Calibri" w:hAnsi="Calibri"/>
          <w:sz w:val="22"/>
          <w:szCs w:val="22"/>
          <w:rtl w:val="false"/>
        </w:rPr>
        <w:t xml:space="preserve">TrustiqLegal is a bilingual (Arabic and English) cloud platform for managing law firms in the Sultanate of Oman and the GCC. Firms use it to manage cases, clients, documents, hearings, deadlines and billing. It includes a client portal where clients follow their matters and exchange documents, and a legal research assistant grounded in the text of Omani legislation.</w:t>
      </w:r>
    </w:p>
    <w:p>
      <w:pPr>
        <w:bidi w:val="false"/>
        <w:spacing w:after="120"/>
        <w:jc w:val="left"/>
      </w:pPr>
      <w:r>
        <w:rPr>
          <w:rFonts w:ascii="Calibri" w:cs="Calibri" w:hAnsi="Calibri"/>
          <w:sz w:val="22"/>
          <w:szCs w:val="22"/>
          <w:rtl w:val="false"/>
        </w:rPr>
        <w:t xml:space="preserve">Users are lawyers and staff of licensed law firms, and the firms' individual and corporate clients.</w:t>
      </w:r>
    </w:p>
    <w:p>
      <w:pPr>
        <w:bidi w:val="false"/>
        <w:spacing w:after="120"/>
        <w:jc w:val="left"/>
      </w:pPr>
      <w:r>
        <w:rPr>
          <w:rFonts w:ascii="Calibri" w:cs="Calibri" w:hAnsi="Calibri"/>
          <w:b/>
          <w:bCs/>
          <w:sz w:val="26"/>
          <w:szCs w:val="26"/>
          <w:rtl w:val="false"/>
        </w:rPr>
        <w:t xml:space="preserve">3. Purpose of this request</w:t>
      </w:r>
    </w:p>
    <w:p>
      <w:pPr>
        <w:bidi w:val="false"/>
        <w:spacing w:after="120"/>
        <w:jc w:val="left"/>
      </w:pPr>
      <w:r>
        <w:rPr>
          <w:rFonts w:ascii="Calibri" w:cs="Calibri" w:hAnsi="Calibri"/>
          <w:sz w:val="22"/>
          <w:szCs w:val="22"/>
          <w:rtl w:val="false"/>
        </w:rPr>
        <w:t xml:space="preserve">We ask to join the following THEQA services as a private entity, and to receive the technical integration documents, test environment and integration keys:</w:t>
      </w:r>
    </w:p>
    <w:p>
      <w:pPr>
        <w:bidi w:val="false"/>
        <w:spacing w:after="120"/>
        <w:jc w:val="left"/>
      </w:pPr>
      <w:r>
        <w:rPr>
          <w:rFonts w:ascii="Calibri" w:cs="Calibri" w:hAnsi="Calibri"/>
          <w:sz w:val="22"/>
          <w:szCs w:val="22"/>
          <w:rtl w:val="false"/>
        </w:rPr>
        <w:t xml:space="preserve">•  Identity portal (unified sign-in): lawyers, staff and clients sign in to the platform with the THEQA app or their ID card.</w:t>
      </w:r>
    </w:p>
    <w:p>
      <w:pPr>
        <w:bidi w:val="false"/>
        <w:spacing w:after="120"/>
        <w:jc w:val="left"/>
      </w:pPr>
      <w:r>
        <w:rPr>
          <w:rFonts w:ascii="Calibri" w:cs="Calibri" w:hAnsi="Calibri"/>
          <w:sz w:val="22"/>
          <w:szCs w:val="22"/>
          <w:rtl w:val="false"/>
        </w:rPr>
        <w:t xml:space="preserve">•  Client identity verification: verifying a new client's identity when a firm opens their file, instead of uploading a photo of the ID card.</w:t>
      </w:r>
    </w:p>
    <w:p>
      <w:pPr>
        <w:bidi w:val="false"/>
        <w:spacing w:after="120"/>
        <w:jc w:val="left"/>
      </w:pPr>
      <w:r>
        <w:rPr>
          <w:rFonts w:ascii="Calibri" w:cs="Calibri" w:hAnsi="Calibri"/>
          <w:sz w:val="22"/>
          <w:szCs w:val="22"/>
          <w:rtl w:val="false"/>
        </w:rPr>
        <w:t xml:space="preserve">•  Certified electronic signature: signing legal documents electronically through the digital signature portal.</w:t>
      </w:r>
    </w:p>
    <w:p>
      <w:pPr>
        <w:bidi w:val="false"/>
        <w:spacing w:after="120"/>
        <w:jc w:val="left"/>
      </w:pPr>
      <w:r>
        <w:rPr>
          <w:rFonts w:ascii="Calibri" w:cs="Calibri" w:hAnsi="Calibri"/>
          <w:sz w:val="22"/>
          <w:szCs w:val="22"/>
          <w:rtl w:val="false"/>
        </w:rPr>
        <w:t xml:space="preserve">•  Signature verification: checking the validity of digital signatures on documents a firm receives.</w:t>
      </w:r>
    </w:p>
    <w:p>
      <w:pPr>
        <w:bidi w:val="false"/>
        <w:spacing w:after="120"/>
        <w:jc w:val="left"/>
      </w:pPr>
      <w:r>
        <w:rPr>
          <w:rFonts w:ascii="Calibri" w:cs="Calibri" w:hAnsi="Calibri"/>
          <w:b/>
          <w:bCs/>
          <w:sz w:val="26"/>
          <w:szCs w:val="26"/>
          <w:rtl w:val="false"/>
        </w:rPr>
        <w:t xml:space="preserve">4. Detailed use cases</w:t>
      </w:r>
    </w:p>
    <w:p>
      <w:pPr>
        <w:bidi w:val="false"/>
        <w:spacing w:after="120"/>
        <w:jc w:val="left"/>
      </w:pPr>
      <w:r>
        <w:rPr>
          <w:rFonts w:ascii="Calibri" w:cs="Calibri" w:hAnsi="Calibri"/>
          <w:b/>
          <w:bCs/>
          <w:sz w:val="23"/>
          <w:szCs w:val="23"/>
          <w:rtl w:val="false"/>
        </w:rPr>
        <w:t xml:space="preserve">4.1 Sign-in</w:t>
      </w:r>
    </w:p>
    <w:p>
      <w:pPr>
        <w:bidi w:val="false"/>
        <w:spacing w:after="120"/>
        <w:jc w:val="left"/>
      </w:pPr>
      <w:r>
        <w:rPr>
          <w:rFonts w:ascii="Calibri" w:cs="Calibri" w:hAnsi="Calibri"/>
          <w:sz w:val="22"/>
          <w:szCs w:val="22"/>
          <w:rtl w:val="false"/>
        </w:rPr>
        <w:t xml:space="preserve">•  The user chooses "Sign in with THEQA" on the sign-in page.</w:t>
      </w:r>
    </w:p>
    <w:p>
      <w:pPr>
        <w:bidi w:val="false"/>
        <w:spacing w:after="120"/>
        <w:jc w:val="left"/>
      </w:pPr>
      <w:r>
        <w:rPr>
          <w:rFonts w:ascii="Calibri" w:cs="Calibri" w:hAnsi="Calibri"/>
          <w:sz w:val="22"/>
          <w:szCs w:val="22"/>
          <w:rtl w:val="false"/>
        </w:rPr>
        <w:t xml:space="preserve">•  They approve the request through the push notification in the THEQA app or by scanning a QR code, then enter their PIN.</w:t>
      </w:r>
    </w:p>
    <w:p>
      <w:pPr>
        <w:bidi w:val="false"/>
        <w:spacing w:after="120"/>
        <w:jc w:val="left"/>
      </w:pPr>
      <w:r>
        <w:rPr>
          <w:rFonts w:ascii="Calibri" w:cs="Calibri" w:hAnsi="Calibri"/>
          <w:sz w:val="22"/>
          <w:szCs w:val="22"/>
          <w:rtl w:val="false"/>
        </w:rPr>
        <w:t xml:space="preserve">•  The platform links the identity to the user's existing account in their firm; it does not create accounts automatically.</w:t>
      </w:r>
    </w:p>
    <w:p>
      <w:pPr>
        <w:bidi w:val="false"/>
        <w:spacing w:after="120"/>
        <w:jc w:val="left"/>
      </w:pPr>
      <w:r>
        <w:rPr>
          <w:rFonts w:ascii="Calibri" w:cs="Calibri" w:hAnsi="Calibri"/>
          <w:sz w:val="22"/>
          <w:szCs w:val="22"/>
          <w:rtl w:val="false"/>
        </w:rPr>
        <w:t xml:space="preserve">•  At least the medium verification level is used.</w:t>
      </w:r>
    </w:p>
    <w:p>
      <w:pPr>
        <w:bidi w:val="false"/>
        <w:spacing w:after="120"/>
        <w:jc w:val="left"/>
      </w:pPr>
      <w:r>
        <w:rPr>
          <w:rFonts w:ascii="Calibri" w:cs="Calibri" w:hAnsi="Calibri"/>
          <w:b/>
          <w:bCs/>
          <w:sz w:val="23"/>
          <w:szCs w:val="23"/>
          <w:rtl w:val="false"/>
        </w:rPr>
        <w:t xml:space="preserve">4.2 Client identity verification</w:t>
      </w:r>
    </w:p>
    <w:p>
      <w:pPr>
        <w:bidi w:val="false"/>
        <w:spacing w:after="120"/>
        <w:jc w:val="left"/>
      </w:pPr>
      <w:r>
        <w:rPr>
          <w:rFonts w:ascii="Calibri" w:cs="Calibri" w:hAnsi="Calibri"/>
          <w:sz w:val="22"/>
          <w:szCs w:val="22"/>
          <w:rtl w:val="false"/>
        </w:rPr>
        <w:t xml:space="preserve">•  When opening a new client file, the firm sends the client a link to verify their identity with THEQA.</w:t>
      </w:r>
    </w:p>
    <w:p>
      <w:pPr>
        <w:bidi w:val="false"/>
        <w:spacing w:after="120"/>
        <w:jc w:val="left"/>
      </w:pPr>
      <w:r>
        <w:rPr>
          <w:rFonts w:ascii="Calibri" w:cs="Calibri" w:hAnsi="Calibri"/>
          <w:sz w:val="22"/>
          <w:szCs w:val="22"/>
          <w:rtl w:val="false"/>
        </w:rPr>
        <w:t xml:space="preserve">•  The platform stores the result, its time, and only the data the client agrees to share, in the firm's know-your-client record.</w:t>
      </w:r>
    </w:p>
    <w:p>
      <w:pPr>
        <w:bidi w:val="false"/>
        <w:spacing w:after="120"/>
        <w:jc w:val="left"/>
      </w:pPr>
      <w:r>
        <w:rPr>
          <w:rFonts w:ascii="Calibri" w:cs="Calibri" w:hAnsi="Calibri"/>
          <w:sz w:val="22"/>
          <w:szCs w:val="22"/>
          <w:rtl w:val="false"/>
        </w:rPr>
        <w:t xml:space="preserve">•  This supports firms' obligations to verify their clients' identity.</w:t>
      </w:r>
    </w:p>
    <w:p>
      <w:pPr>
        <w:bidi w:val="false"/>
        <w:spacing w:after="120"/>
        <w:jc w:val="left"/>
      </w:pPr>
      <w:r>
        <w:rPr>
          <w:rFonts w:ascii="Calibri" w:cs="Calibri" w:hAnsi="Calibri"/>
          <w:b/>
          <w:bCs/>
          <w:sz w:val="23"/>
          <w:szCs w:val="23"/>
          <w:rtl w:val="false"/>
        </w:rPr>
        <w:t xml:space="preserve">4.3 Certified electronic signature</w:t>
      </w:r>
    </w:p>
    <w:p>
      <w:pPr>
        <w:bidi w:val="false"/>
        <w:spacing w:after="120"/>
        <w:jc w:val="left"/>
      </w:pPr>
      <w:r>
        <w:rPr>
          <w:rFonts w:ascii="Calibri" w:cs="Calibri" w:hAnsi="Calibri"/>
          <w:sz w:val="22"/>
          <w:szCs w:val="22"/>
          <w:rtl w:val="false"/>
        </w:rPr>
        <w:t xml:space="preserve">•  Example documents: fee agreements and engagement letters, settlement agreements, client acknowledgments and internal minutes.</w:t>
      </w:r>
    </w:p>
    <w:p>
      <w:pPr>
        <w:bidi w:val="false"/>
        <w:spacing w:after="120"/>
        <w:jc w:val="left"/>
      </w:pPr>
      <w:r>
        <w:rPr>
          <w:rFonts w:ascii="Calibri" w:cs="Calibri" w:hAnsi="Calibri"/>
          <w:sz w:val="22"/>
          <w:szCs w:val="22"/>
          <w:rtl w:val="false"/>
        </w:rPr>
        <w:t xml:space="preserve">•  The lawyer sends the document for signature from the platform, and the signer receives a signing request in the THEQA app.</w:t>
      </w:r>
    </w:p>
    <w:p>
      <w:pPr>
        <w:bidi w:val="false"/>
        <w:spacing w:after="120"/>
        <w:jc w:val="left"/>
      </w:pPr>
      <w:r>
        <w:rPr>
          <w:rFonts w:ascii="Calibri" w:cs="Calibri" w:hAnsi="Calibri"/>
          <w:sz w:val="22"/>
          <w:szCs w:val="22"/>
          <w:rtl w:val="false"/>
        </w:rPr>
        <w:t xml:space="preserve">•  Signing requires the signer's identity at the high verification level, as THEQA requires.</w:t>
      </w:r>
    </w:p>
    <w:p>
      <w:pPr>
        <w:bidi w:val="false"/>
        <w:spacing w:after="120"/>
        <w:jc w:val="left"/>
      </w:pPr>
      <w:r>
        <w:rPr>
          <w:rFonts w:ascii="Calibri" w:cs="Calibri" w:hAnsi="Calibri"/>
          <w:sz w:val="22"/>
          <w:szCs w:val="22"/>
          <w:rtl w:val="false"/>
        </w:rPr>
        <w:t xml:space="preserve">•  The platform keeps the signed document and its verification result in the document's record.</w:t>
      </w:r>
    </w:p>
    <w:p>
      <w:pPr>
        <w:bidi w:val="false"/>
        <w:spacing w:after="120"/>
        <w:jc w:val="left"/>
      </w:pPr>
      <w:r>
        <w:rPr>
          <w:rFonts w:ascii="Calibri" w:cs="Calibri" w:hAnsi="Calibri"/>
          <w:sz w:val="22"/>
          <w:szCs w:val="22"/>
          <w:rtl w:val="false"/>
        </w:rPr>
        <w:t xml:space="preserve">•  The service will not be used for documents the law requires to be notarized or authenticated by another authority, except as the regulations allow.</w:t>
      </w:r>
    </w:p>
    <w:p>
      <w:pPr>
        <w:bidi w:val="false"/>
        <w:spacing w:after="120"/>
        <w:jc w:val="left"/>
      </w:pPr>
      <w:r>
        <w:rPr>
          <w:rFonts w:ascii="Calibri" w:cs="Calibri" w:hAnsi="Calibri"/>
          <w:b/>
          <w:bCs/>
          <w:sz w:val="23"/>
          <w:szCs w:val="23"/>
          <w:rtl w:val="false"/>
        </w:rPr>
        <w:t xml:space="preserve">4.4 Verifying signed documents</w:t>
      </w:r>
    </w:p>
    <w:p>
      <w:pPr>
        <w:bidi w:val="false"/>
        <w:spacing w:after="120"/>
        <w:jc w:val="left"/>
      </w:pPr>
      <w:r>
        <w:rPr>
          <w:rFonts w:ascii="Calibri" w:cs="Calibri" w:hAnsi="Calibri"/>
          <w:sz w:val="22"/>
          <w:szCs w:val="22"/>
          <w:rtl w:val="false"/>
        </w:rPr>
        <w:t xml:space="preserve">•  A lawyer uploads a digitally signed document received from another party; the platform checks the signature and certificate status through the verification service and shows the result.</w:t>
      </w:r>
    </w:p>
    <w:p>
      <w:pPr>
        <w:bidi w:val="false"/>
        <w:spacing w:after="120"/>
        <w:jc w:val="left"/>
      </w:pPr>
      <w:r>
        <w:rPr>
          <w:rFonts w:ascii="Calibri" w:cs="Calibri" w:hAnsi="Calibri"/>
          <w:b/>
          <w:bCs/>
          <w:sz w:val="26"/>
          <w:szCs w:val="26"/>
          <w:rtl w:val="false"/>
        </w:rPr>
        <w:t xml:space="preserve">5. Data requested from THEQA</w:t>
      </w:r>
    </w:p>
    <w:p>
      <w:pPr>
        <w:bidi w:val="false"/>
        <w:spacing w:after="120"/>
        <w:jc w:val="left"/>
      </w:pPr>
      <w:r>
        <w:rPr>
          <w:rFonts w:ascii="Calibri" w:cs="Calibri" w:hAnsi="Calibri"/>
          <w:sz w:val="22"/>
          <w:szCs w:val="22"/>
          <w:rtl w:val="false"/>
        </w:rPr>
        <w:t xml:space="preserve">We request the minimum data each use case needs:</w:t>
      </w:r>
    </w:p>
    <w:tbl>
      <w:tblPr>
        <w:bidiVisual w:val="off"/>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Use case</w:t>
            </w:r>
          </w:p>
        </w:tc>
        <w:tc>
          <w:tcPr>
            <w:tcW w:type="pct" w:w="31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Data requested</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Sign-in</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A stable user identifier, name in Arabic and English, verification level</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Client identity verification</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Civil number, name in Arabic and English, nationality, date of birth, verification level</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Electronic signature</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The signed document, signer certificate details, time stamp</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Signature verification</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Verification result, certificate details and status</w:t>
            </w:r>
          </w:p>
        </w:tc>
      </w:tr>
    </w:tbl>
    <w:p>
      <w:pPr>
        <w:bidi w:val="false"/>
        <w:spacing w:after="120"/>
        <w:jc w:val="left"/>
      </w:pPr>
      <w:r>
        <w:rPr>
          <w:rFonts w:ascii="Calibri" w:cs="Calibri" w:hAnsi="Calibri"/>
          <w:sz w:val="22"/>
          <w:szCs w:val="22"/>
          <w:rtl w:val="false"/>
        </w:rPr>
        <w:t xml:space="preserve"/>
      </w:r>
    </w:p>
    <w:p>
      <w:pPr>
        <w:bidi w:val="false"/>
        <w:spacing w:after="120"/>
        <w:jc w:val="left"/>
      </w:pPr>
      <w:r>
        <w:rPr>
          <w:rFonts w:ascii="Calibri" w:cs="Calibri" w:hAnsi="Calibri"/>
          <w:b/>
          <w:bCs/>
          <w:sz w:val="26"/>
          <w:szCs w:val="26"/>
          <w:rtl w:val="false"/>
        </w:rPr>
        <w:t xml:space="preserve">6. Technical requirements</w:t>
      </w:r>
    </w:p>
    <w:p>
      <w:pPr>
        <w:bidi w:val="false"/>
        <w:spacing w:after="120"/>
        <w:jc w:val="left"/>
      </w:pPr>
      <w:r>
        <w:rPr>
          <w:rFonts w:ascii="Calibri" w:cs="Calibri" w:hAnsi="Calibri"/>
          <w:sz w:val="22"/>
          <w:szCs w:val="22"/>
          <w:rtl w:val="false"/>
        </w:rPr>
        <w:t xml:space="preserve">•  Application type: a web application used in desktop and mobile browsers, running on our servers (Node.js and a PostgreSQL database).</w:t>
      </w:r>
    </w:p>
    <w:p>
      <w:pPr>
        <w:bidi w:val="false"/>
        <w:spacing w:after="120"/>
        <w:jc w:val="left"/>
      </w:pPr>
      <w:r>
        <w:rPr>
          <w:rFonts w:ascii="Calibri" w:cs="Calibri" w:hAnsi="Calibri"/>
          <w:sz w:val="22"/>
          <w:szCs w:val="22"/>
          <w:rtl w:val="false"/>
        </w:rPr>
        <w:t xml:space="preserve">•  Sign-in: we prefer OpenID Connect or OAuth 2.0, or SAML 2.0, with push notification and QR code support.</w:t>
      </w:r>
    </w:p>
    <w:p>
      <w:pPr>
        <w:bidi w:val="false"/>
        <w:spacing w:after="120"/>
        <w:jc w:val="left"/>
      </w:pPr>
      <w:r>
        <w:rPr>
          <w:rFonts w:ascii="Calibri" w:cs="Calibri" w:hAnsi="Calibri"/>
          <w:sz w:val="22"/>
          <w:szCs w:val="22"/>
          <w:rtl w:val="false"/>
        </w:rPr>
        <w:t xml:space="preserve">•  Signing: an API to submit a signing request and receive the result through a callback; we prefer a PAdES signed PDF with a time stamp.</w:t>
      </w:r>
    </w:p>
    <w:p>
      <w:pPr>
        <w:bidi w:val="false"/>
        <w:spacing w:after="120"/>
        <w:jc w:val="left"/>
      </w:pPr>
      <w:r>
        <w:rPr>
          <w:rFonts w:ascii="Calibri" w:cs="Calibri" w:hAnsi="Calibri"/>
          <w:sz w:val="22"/>
          <w:szCs w:val="22"/>
          <w:rtl w:val="false"/>
        </w:rPr>
        <w:t xml:space="preserve">•  Verification: an API to verify a signature and certificate status (OCSP).</w:t>
      </w:r>
    </w:p>
    <w:p>
      <w:pPr>
        <w:bidi w:val="false"/>
        <w:spacing w:after="120"/>
        <w:jc w:val="left"/>
      </w:pPr>
      <w:r>
        <w:rPr>
          <w:rFonts w:ascii="Calibri" w:cs="Calibri" w:hAnsi="Calibri"/>
          <w:sz w:val="22"/>
          <w:szCs w:val="22"/>
          <w:rtl w:val="false"/>
        </w:rPr>
        <w:t xml:space="preserve">•  A sandbox and test accounts before moving to production.</w:t>
      </w:r>
    </w:p>
    <w:p>
      <w:pPr>
        <w:bidi w:val="false"/>
        <w:spacing w:after="120"/>
        <w:jc w:val="left"/>
      </w:pPr>
      <w:r>
        <w:rPr>
          <w:rFonts w:ascii="Calibri" w:cs="Calibri" w:hAnsi="Calibri"/>
          <w:sz w:val="22"/>
          <w:szCs w:val="22"/>
          <w:rtl w:val="false"/>
        </w:rPr>
        <w:t xml:space="preserve">•  We will meet any integration requirements the Ministry sets, such as server certificates, IP allowlisting or mutual TLS.</w:t>
      </w:r>
    </w:p>
    <w:p>
      <w:pPr>
        <w:bidi w:val="false"/>
        <w:spacing w:after="120"/>
        <w:jc w:val="left"/>
      </w:pPr>
      <w:r>
        <w:rPr>
          <w:rFonts w:ascii="Calibri" w:cs="Calibri" w:hAnsi="Calibri"/>
          <w:b/>
          <w:bCs/>
          <w:sz w:val="26"/>
          <w:szCs w:val="26"/>
          <w:rtl w:val="false"/>
        </w:rPr>
        <w:t xml:space="preserve">7. Data protection and information security</w:t>
      </w:r>
    </w:p>
    <w:p>
      <w:pPr>
        <w:bidi w:val="false"/>
        <w:spacing w:after="120"/>
        <w:jc w:val="left"/>
      </w:pPr>
      <w:r>
        <w:rPr>
          <w:rFonts w:ascii="Calibri" w:cs="Calibri" w:hAnsi="Calibri"/>
          <w:sz w:val="22"/>
          <w:szCs w:val="22"/>
          <w:rtl w:val="false"/>
        </w:rPr>
        <w:t xml:space="preserve">•  We comply with the Personal Data Protection Law (Royal Decree 6/2022) and its executive regulation, and the Electronic Transactions Law (Royal Decree 39/2025).</w:t>
      </w:r>
    </w:p>
    <w:p>
      <w:pPr>
        <w:bidi w:val="false"/>
        <w:spacing w:after="120"/>
        <w:jc w:val="left"/>
      </w:pPr>
      <w:r>
        <w:rPr>
          <w:rFonts w:ascii="Calibri" w:cs="Calibri" w:hAnsi="Calibri"/>
          <w:sz w:val="22"/>
          <w:szCs w:val="22"/>
          <w:rtl w:val="false"/>
        </w:rPr>
        <w:t xml:space="preserve">•  Users give explicit consent before any THEQA data is shared, and data is used only for the stated purpose.</w:t>
      </w:r>
    </w:p>
    <w:p>
      <w:pPr>
        <w:bidi w:val="false"/>
        <w:spacing w:after="120"/>
        <w:jc w:val="left"/>
      </w:pPr>
      <w:r>
        <w:rPr>
          <w:rFonts w:ascii="Calibri" w:cs="Calibri" w:hAnsi="Calibri"/>
          <w:sz w:val="22"/>
          <w:szCs w:val="22"/>
          <w:rtl w:val="false"/>
        </w:rPr>
        <w:t xml:space="preserve">•  All connections are encrypted with TLS; integration keys and secrets are stored encrypted (AES-256-GCM).</w:t>
      </w:r>
    </w:p>
    <w:p>
      <w:pPr>
        <w:bidi w:val="false"/>
        <w:spacing w:after="120"/>
        <w:jc w:val="left"/>
      </w:pPr>
      <w:r>
        <w:rPr>
          <w:rFonts w:ascii="Calibri" w:cs="Calibri" w:hAnsi="Calibri"/>
          <w:sz w:val="22"/>
          <w:szCs w:val="22"/>
          <w:rtl w:val="false"/>
        </w:rPr>
        <w:t xml:space="preserve">•  Role-based access, an audit log of sign-ins, changes and downloads, and two-step verification for users.</w:t>
      </w:r>
    </w:p>
    <w:p>
      <w:pPr>
        <w:bidi w:val="false"/>
        <w:spacing w:after="120"/>
        <w:jc w:val="left"/>
      </w:pPr>
      <w:r>
        <w:rPr>
          <w:rFonts w:ascii="Calibri" w:cs="Calibri" w:hAnsi="Calibri"/>
          <w:sz w:val="22"/>
          <w:szCs w:val="22"/>
          <w:rtl w:val="false"/>
        </w:rPr>
        <w:t xml:space="preserve">•  Hosting: the platform is currently hosted with a cloud provider outside Oman, and we plan to move Omani customers' data to a hosting provider inside the Sultanate. Please tell us whether hosting in Oman is a condition for THEQA integration.</w:t>
      </w:r>
    </w:p>
    <w:p>
      <w:pPr>
        <w:bidi w:val="false"/>
        <w:spacing w:after="120"/>
        <w:jc w:val="left"/>
      </w:pPr>
      <w:r>
        <w:rPr>
          <w:rFonts w:ascii="Calibri" w:cs="Calibri" w:hAnsi="Calibri"/>
          <w:sz w:val="22"/>
          <w:szCs w:val="22"/>
          <w:rtl w:val="false"/>
        </w:rPr>
        <w:t xml:space="preserve">•  We are ready to complete any security assessment or penetration test the Ministry requires before production.</w:t>
      </w:r>
    </w:p>
    <w:p>
      <w:pPr>
        <w:bidi w:val="false"/>
        <w:spacing w:after="120"/>
        <w:jc w:val="left"/>
      </w:pPr>
      <w:r>
        <w:rPr>
          <w:rFonts w:ascii="Calibri" w:cs="Calibri" w:hAnsi="Calibri"/>
          <w:b/>
          <w:bCs/>
          <w:sz w:val="26"/>
          <w:szCs w:val="26"/>
          <w:rtl w:val="false"/>
        </w:rPr>
        <w:t xml:space="preserve">8. Expected volume and timeline</w:t>
      </w:r>
    </w:p>
    <w:p>
      <w:pPr>
        <w:bidi w:val="false"/>
        <w:spacing w:after="120"/>
        <w:jc w:val="left"/>
      </w:pPr>
      <w:r>
        <w:rPr>
          <w:rFonts w:ascii="Calibri" w:cs="Calibri" w:hAnsi="Calibri"/>
          <w:sz w:val="22"/>
          <w:szCs w:val="22"/>
          <w:rtl w:val="false"/>
        </w:rPr>
        <w:t xml:space="preserve">The platform is at an early launch stage. These are initial estimates, which we will update after the pilot:</w:t>
      </w:r>
    </w:p>
    <w:tbl>
      <w:tblPr>
        <w:bidiVisual w:val="off"/>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pct" w:w="19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Item</w:t>
            </w:r>
          </w:p>
        </w:tc>
        <w:tc>
          <w:tcPr>
            <w:tcW w:type="pct" w:w="3100"/>
            <w:tcBorders>
              <w:top w:val="single" w:color="BFBFBF" w:sz="4"/>
              <w:left w:val="single" w:color="BFBFBF" w:sz="4"/>
              <w:bottom w:val="single" w:color="BFBFBF" w:sz="4"/>
              <w:right w:val="single" w:color="BFBFBF" w:sz="4"/>
            </w:tcBorders>
            <w:shd w:fill="F2F2F2" w:val="clear"/>
          </w:tcPr>
          <w:p>
            <w:pPr>
              <w:bidi w:val="false"/>
              <w:spacing w:after="120"/>
              <w:jc w:val="left"/>
            </w:pPr>
            <w:r>
              <w:rPr>
                <w:rFonts w:ascii="Calibri" w:cs="Calibri" w:hAnsi="Calibri"/>
                <w:b/>
                <w:bCs/>
                <w:sz w:val="21"/>
                <w:szCs w:val="21"/>
                <w:rtl w:val="false"/>
              </w:rPr>
              <w:t xml:space="preserve">Initial estimate</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Law firms in the pilot</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5 to 10 law firms in Oman</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Users in the first year</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Up to 200 (lawyers, staff and clients)</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THEQA sign-ins per month</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Up to 3,000</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Client identity checks per month</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Up to 200</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Signatures per month</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Up to 300</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Integration in the test environment</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Within 4 weeks of receiving the technical documents</w:t>
            </w:r>
          </w:p>
        </w:tc>
      </w:tr>
      <w:tr>
        <w:tc>
          <w:tcPr>
            <w:tcW w:type="pct" w:w="19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Pilot launch with selected firms</w:t>
            </w:r>
          </w:p>
        </w:tc>
        <w:tc>
          <w:tcPr>
            <w:tcW w:type="pct" w:w="3100"/>
            <w:tcBorders>
              <w:top w:val="single" w:color="BFBFBF" w:sz="4"/>
              <w:left w:val="single" w:color="BFBFBF" w:sz="4"/>
              <w:bottom w:val="single" w:color="BFBFBF" w:sz="4"/>
              <w:right w:val="single" w:color="BFBFBF" w:sz="4"/>
            </w:tcBorders>
          </w:tcPr>
          <w:p>
            <w:pPr>
              <w:bidi w:val="false"/>
              <w:spacing w:after="120"/>
              <w:jc w:val="left"/>
            </w:pPr>
            <w:r>
              <w:rPr>
                <w:rFonts w:ascii="Calibri" w:cs="Calibri" w:hAnsi="Calibri"/>
                <w:b w:val="false"/>
                <w:sz w:val="21"/>
                <w:szCs w:val="21"/>
                <w:rtl w:val="false"/>
              </w:rPr>
              <w:t xml:space="preserve">Within 2 months of approval in the test environment</w:t>
            </w:r>
          </w:p>
        </w:tc>
      </w:tr>
    </w:tbl>
    <w:p>
      <w:pPr>
        <w:bidi w:val="false"/>
        <w:spacing w:after="120"/>
        <w:jc w:val="left"/>
      </w:pPr>
      <w:r>
        <w:rPr>
          <w:rFonts w:ascii="Calibri" w:cs="Calibri" w:hAnsi="Calibri"/>
          <w:sz w:val="22"/>
          <w:szCs w:val="22"/>
          <w:rtl w:val="false"/>
        </w:rPr>
        <w:t xml:space="preserve"/>
      </w:r>
    </w:p>
    <w:p>
      <w:pPr>
        <w:bidi w:val="false"/>
        <w:spacing w:after="120"/>
        <w:jc w:val="left"/>
      </w:pPr>
      <w:r>
        <w:rPr>
          <w:rFonts w:ascii="Calibri" w:cs="Calibri" w:hAnsi="Calibri"/>
          <w:b/>
          <w:bCs/>
          <w:sz w:val="26"/>
          <w:szCs w:val="26"/>
          <w:rtl w:val="false"/>
        </w:rPr>
        <w:t xml:space="preserve">9. What we ask of the Ministry</w:t>
      </w:r>
    </w:p>
    <w:p>
      <w:pPr>
        <w:bidi w:val="false"/>
        <w:spacing w:after="120"/>
        <w:jc w:val="left"/>
      </w:pPr>
      <w:r>
        <w:rPr>
          <w:rFonts w:ascii="Calibri" w:cs="Calibri" w:hAnsi="Calibri"/>
          <w:sz w:val="22"/>
          <w:szCs w:val="22"/>
          <w:rtl w:val="false"/>
        </w:rPr>
        <w:t xml:space="preserve">•  Technical integration documents for sign-in, signature and verification.</w:t>
      </w:r>
    </w:p>
    <w:p>
      <w:pPr>
        <w:bidi w:val="false"/>
        <w:spacing w:after="120"/>
        <w:jc w:val="left"/>
      </w:pPr>
      <w:r>
        <w:rPr>
          <w:rFonts w:ascii="Calibri" w:cs="Calibri" w:hAnsi="Calibri"/>
          <w:sz w:val="22"/>
          <w:szCs w:val="22"/>
          <w:rtl w:val="false"/>
        </w:rPr>
        <w:t xml:space="preserve">•  Access to the test environment, test accounts and integration keys.</w:t>
      </w:r>
    </w:p>
    <w:p>
      <w:pPr>
        <w:bidi w:val="false"/>
        <w:spacing w:after="120"/>
        <w:jc w:val="left"/>
      </w:pPr>
      <w:r>
        <w:rPr>
          <w:rFonts w:ascii="Calibri" w:cs="Calibri" w:hAnsi="Calibri"/>
          <w:sz w:val="22"/>
          <w:szCs w:val="22"/>
          <w:rtl w:val="false"/>
        </w:rPr>
        <w:t xml:space="preserve">•  The agreement template and any fees, and the security and regulatory requirements for private entities.</w:t>
      </w:r>
    </w:p>
    <w:p>
      <w:pPr>
        <w:bidi w:val="false"/>
        <w:spacing w:after="120"/>
        <w:jc w:val="left"/>
      </w:pPr>
      <w:r>
        <w:rPr>
          <w:rFonts w:ascii="Calibri" w:cs="Calibri" w:hAnsi="Calibri"/>
          <w:sz w:val="22"/>
          <w:szCs w:val="22"/>
          <w:rtl w:val="false"/>
        </w:rPr>
        <w:t xml:space="preserve">•  Guidance on whether hosting in Oman is required.</w:t>
      </w:r>
    </w:p>
    <w:p>
      <w:pPr>
        <w:bidi w:val="false"/>
        <w:spacing w:after="120"/>
        <w:jc w:val="left"/>
      </w:pPr>
      <w:r>
        <w:rPr>
          <w:rFonts w:ascii="Calibri" w:cs="Calibri" w:hAnsi="Calibri"/>
          <w:b/>
          <w:bCs/>
          <w:sz w:val="26"/>
          <w:szCs w:val="26"/>
          <w:rtl w:val="false"/>
        </w:rPr>
        <w:t xml:space="preserve">10. Contact</w:t>
      </w:r>
    </w:p>
    <w:p>
      <w:pPr>
        <w:bidi w:val="false"/>
        <w:spacing w:after="120"/>
        <w:jc w:val="left"/>
      </w:pPr>
      <w:r>
        <w:rPr>
          <w:rFonts w:ascii="Calibri" w:cs="Calibri" w:hAnsi="Calibri"/>
          <w:sz w:val="22"/>
          <w:szCs w:val="22"/>
          <w:rtl w:val="false"/>
        </w:rPr>
        <w:t xml:space="preserve">[Name], [title]</w:t>
      </w:r>
    </w:p>
    <w:p>
      <w:pPr>
        <w:bidi w:val="false"/>
        <w:spacing w:after="120"/>
        <w:jc w:val="left"/>
      </w:pPr>
      <w:r>
        <w:rPr>
          <w:rFonts w:ascii="Calibri" w:cs="Calibri" w:hAnsi="Calibri"/>
          <w:sz w:val="22"/>
          <w:szCs w:val="22"/>
          <w:rtl w:val="false"/>
        </w:rPr>
        <w:t xml:space="preserve">[Company]</w:t>
      </w:r>
    </w:p>
    <w:p>
      <w:pPr>
        <w:bidi w:val="false"/>
        <w:spacing w:after="120"/>
        <w:jc w:val="left"/>
      </w:pPr>
      <w:r>
        <w:rPr>
          <w:rFonts w:ascii="Calibri" w:cs="Calibri" w:hAnsi="Calibri"/>
          <w:sz w:val="22"/>
          <w:szCs w:val="22"/>
          <w:rtl w:val="false"/>
        </w:rPr>
        <w:t xml:space="preserve">[Phone], [email]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2026-10-16T09:05:41.101Z</dcterms:created>
  <dcterms:modified xsi:type="dcterms:W3CDTF">2026-10-16T09:05:41.101Z</dcterms:modified>
</cp:coreProperties>
</file>

<file path=docProps/custom.xml><?xml version="1.0" encoding="utf-8"?>
<Properties xmlns="http://schemas.openxmlformats.org/officeDocument/2006/custom-properties" xmlns:vt="http://schemas.openxmlformats.org/officeDocument/2006/docPropsVTypes"/>
</file>