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CC65645" w14:textId="77777777" w:rsidR="000E5262" w:rsidRPr="000E5262" w:rsidRDefault="000E5262" w:rsidP="00287706">
      <w:pPr>
        <w:spacing w:before="100" w:beforeAutospacing="1" w:after="100" w:afterAutospacing="1"/>
        <w:jc w:val="center"/>
        <w:outlineLvl w:val="0"/>
        <w:rPr>
          <w:rFonts w:eastAsia="Times New Roman" w:cs="Times New Roman"/>
          <w:b/>
          <w:bCs/>
          <w:color w:val="auto"/>
          <w:kern w:val="36"/>
          <w:sz w:val="48"/>
          <w:szCs w:val="48"/>
        </w:rPr>
      </w:pPr>
      <w:r w:rsidRPr="000E5262">
        <w:rPr>
          <w:rFonts w:eastAsia="Times New Roman" w:cs="Times New Roman"/>
          <w:b/>
          <w:bCs/>
          <w:color w:val="auto"/>
          <w:kern w:val="36"/>
          <w:sz w:val="48"/>
          <w:szCs w:val="48"/>
        </w:rPr>
        <w:t>Terence Musoni</w:t>
      </w:r>
    </w:p>
    <w:p w14:paraId="0FE88E74" w14:textId="56502CA7" w:rsidR="000E5262" w:rsidRPr="000E5262" w:rsidRDefault="000E5262" w:rsidP="00287706">
      <w:pPr>
        <w:spacing w:before="100" w:beforeAutospacing="1" w:after="100" w:afterAutospacing="1"/>
        <w:jc w:val="center"/>
        <w:rPr>
          <w:rFonts w:eastAsia="Times New Roman" w:cs="Times New Roman"/>
          <w:color w:val="auto"/>
          <w:sz w:val="24"/>
          <w:szCs w:val="24"/>
        </w:rPr>
      </w:pPr>
      <w:r w:rsidRPr="000E5262">
        <w:rPr>
          <w:rFonts w:eastAsia="Times New Roman" w:cs="Times New Roman"/>
          <w:b/>
          <w:bCs/>
          <w:color w:val="auto"/>
          <w:sz w:val="24"/>
          <w:szCs w:val="24"/>
        </w:rPr>
        <w:t xml:space="preserve">International Regulatory Affairs &amp; </w:t>
      </w:r>
      <w:r w:rsidR="00D926B0">
        <w:rPr>
          <w:rFonts w:eastAsia="Times New Roman" w:cs="Times New Roman"/>
          <w:b/>
          <w:bCs/>
          <w:color w:val="auto"/>
          <w:sz w:val="24"/>
          <w:szCs w:val="24"/>
        </w:rPr>
        <w:t xml:space="preserve">Emerging </w:t>
      </w:r>
      <w:r w:rsidRPr="000E5262">
        <w:rPr>
          <w:rFonts w:eastAsia="Times New Roman" w:cs="Times New Roman"/>
          <w:b/>
          <w:bCs/>
          <w:color w:val="auto"/>
          <w:sz w:val="24"/>
          <w:szCs w:val="24"/>
        </w:rPr>
        <w:t>Policy Leader</w:t>
      </w:r>
      <w:r w:rsidRPr="000E5262">
        <w:rPr>
          <w:rFonts w:eastAsia="Times New Roman" w:cs="Times New Roman"/>
          <w:color w:val="auto"/>
          <w:sz w:val="24"/>
          <w:szCs w:val="24"/>
        </w:rPr>
        <w:br/>
        <w:t xml:space="preserve">(214) 309-8175 | </w:t>
      </w:r>
      <w:hyperlink r:id="rId8" w:history="1">
        <w:r w:rsidRPr="000E5262">
          <w:rPr>
            <w:rFonts w:eastAsia="Times New Roman" w:cs="Times New Roman"/>
            <w:color w:val="0000FF"/>
            <w:sz w:val="24"/>
            <w:szCs w:val="24"/>
            <w:u w:val="single"/>
          </w:rPr>
          <w:t>Tmusoni81@gmail.com</w:t>
        </w:r>
      </w:hyperlink>
    </w:p>
    <w:p w14:paraId="67ADB581" w14:textId="77777777" w:rsidR="000E5262" w:rsidRPr="000E5262" w:rsidRDefault="000E5262" w:rsidP="000E5262">
      <w:pPr>
        <w:spacing w:before="100" w:beforeAutospacing="1" w:after="100" w:afterAutospacing="1"/>
        <w:jc w:val="left"/>
        <w:outlineLvl w:val="1"/>
        <w:rPr>
          <w:rFonts w:eastAsia="Times New Roman" w:cs="Times New Roman"/>
          <w:b/>
          <w:bCs/>
          <w:color w:val="auto"/>
          <w:sz w:val="36"/>
          <w:szCs w:val="36"/>
        </w:rPr>
      </w:pPr>
      <w:r w:rsidRPr="000E5262">
        <w:rPr>
          <w:rFonts w:eastAsia="Times New Roman" w:cs="Times New Roman"/>
          <w:b/>
          <w:bCs/>
          <w:color w:val="auto"/>
          <w:sz w:val="36"/>
          <w:szCs w:val="36"/>
        </w:rPr>
        <w:t>Summary</w:t>
      </w:r>
    </w:p>
    <w:p w14:paraId="0E190D01" w14:textId="13E26383"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Accomplished regulatory affairs and policy professional with 1</w:t>
      </w:r>
      <w:r w:rsidR="00287706">
        <w:rPr>
          <w:rFonts w:eastAsia="Times New Roman" w:cs="Times New Roman"/>
          <w:color w:val="auto"/>
          <w:sz w:val="24"/>
          <w:szCs w:val="24"/>
        </w:rPr>
        <w:t>7</w:t>
      </w:r>
      <w:r w:rsidRPr="000E5262">
        <w:rPr>
          <w:rFonts w:eastAsia="Times New Roman" w:cs="Times New Roman"/>
          <w:color w:val="auto"/>
          <w:sz w:val="24"/>
          <w:szCs w:val="24"/>
        </w:rPr>
        <w:t xml:space="preserve">+ years of experience translating complex technical requirements into actionable policy frameworks across global markets. Proven expertise in navigating international regulatory landscapes, building stakeholder relationships with government authorities, and leading cross-functional teams to achieve compliance objectives. Distinguished track record in managing regulatory transitions (EU MDR, UKCA), developing comprehensive surveillance systems, and engaging with competent authorities across multiple jurisdictions. Currently expanding expertise into AI/ML regulatory frameworks with </w:t>
      </w:r>
      <w:r w:rsidR="009114F8">
        <w:rPr>
          <w:rFonts w:eastAsia="Times New Roman" w:cs="Times New Roman"/>
          <w:color w:val="auto"/>
          <w:sz w:val="24"/>
          <w:szCs w:val="24"/>
        </w:rPr>
        <w:t>applicable</w:t>
      </w:r>
      <w:r w:rsidRPr="000E5262">
        <w:rPr>
          <w:rFonts w:eastAsia="Times New Roman" w:cs="Times New Roman"/>
          <w:color w:val="auto"/>
          <w:sz w:val="24"/>
          <w:szCs w:val="24"/>
        </w:rPr>
        <w:t xml:space="preserve"> knowledge of EU AI Act and emerging U.S. AI policies. Exceptional ability to distill complex technical information into accessible policy recommendations for diverse stakeholder audiences.</w:t>
      </w:r>
    </w:p>
    <w:p w14:paraId="72148B7E" w14:textId="77777777" w:rsidR="000E5262" w:rsidRPr="000E5262" w:rsidRDefault="000E5262" w:rsidP="000E5262">
      <w:pPr>
        <w:spacing w:before="100" w:beforeAutospacing="1" w:after="100" w:afterAutospacing="1"/>
        <w:jc w:val="left"/>
        <w:outlineLvl w:val="1"/>
        <w:rPr>
          <w:rFonts w:eastAsia="Times New Roman" w:cs="Times New Roman"/>
          <w:b/>
          <w:bCs/>
          <w:color w:val="auto"/>
          <w:sz w:val="36"/>
          <w:szCs w:val="36"/>
        </w:rPr>
      </w:pPr>
      <w:r w:rsidRPr="000E5262">
        <w:rPr>
          <w:rFonts w:eastAsia="Times New Roman" w:cs="Times New Roman"/>
          <w:b/>
          <w:bCs/>
          <w:color w:val="auto"/>
          <w:sz w:val="36"/>
          <w:szCs w:val="36"/>
        </w:rPr>
        <w:t>Key Qualifications</w:t>
      </w:r>
    </w:p>
    <w:p w14:paraId="19386074" w14:textId="77777777" w:rsidR="000E5262" w:rsidRPr="000E5262" w:rsidRDefault="000E5262" w:rsidP="000E5262">
      <w:pPr>
        <w:numPr>
          <w:ilvl w:val="0"/>
          <w:numId w:val="1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Bachelor's Degree</w:t>
      </w:r>
      <w:r w:rsidRPr="000E5262">
        <w:rPr>
          <w:rFonts w:eastAsia="Times New Roman" w:cs="Times New Roman"/>
          <w:color w:val="auto"/>
          <w:sz w:val="24"/>
          <w:szCs w:val="24"/>
        </w:rPr>
        <w:t xml:space="preserve"> in Evolution, Ecology &amp; Organism Biology from The Ohio State University</w:t>
      </w:r>
    </w:p>
    <w:p w14:paraId="22D90966" w14:textId="77777777" w:rsidR="000E5262" w:rsidRPr="000E5262" w:rsidRDefault="000E5262" w:rsidP="000E5262">
      <w:pPr>
        <w:numPr>
          <w:ilvl w:val="0"/>
          <w:numId w:val="1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15+ years of international regulatory experience</w:t>
      </w:r>
      <w:r w:rsidRPr="000E5262">
        <w:rPr>
          <w:rFonts w:eastAsia="Times New Roman" w:cs="Times New Roman"/>
          <w:color w:val="auto"/>
          <w:sz w:val="24"/>
          <w:szCs w:val="24"/>
        </w:rPr>
        <w:t xml:space="preserve"> across medical devices, combination products, and emerging technologies</w:t>
      </w:r>
    </w:p>
    <w:p w14:paraId="7B4A5DED" w14:textId="77777777" w:rsidR="000E5262" w:rsidRPr="000E5262" w:rsidRDefault="000E5262" w:rsidP="000E5262">
      <w:pPr>
        <w:numPr>
          <w:ilvl w:val="0"/>
          <w:numId w:val="1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Proven stakeholder engagement</w:t>
      </w:r>
      <w:r w:rsidRPr="000E5262">
        <w:rPr>
          <w:rFonts w:eastAsia="Times New Roman" w:cs="Times New Roman"/>
          <w:color w:val="auto"/>
          <w:sz w:val="24"/>
          <w:szCs w:val="24"/>
        </w:rPr>
        <w:t xml:space="preserve"> with regulatory authorities including FDA, Health Canada, BSI, DEKRA, LNE, TGA, MHRA, and SWISSMEDIC</w:t>
      </w:r>
    </w:p>
    <w:p w14:paraId="6F023F10" w14:textId="77777777" w:rsidR="000E5262" w:rsidRPr="000E5262" w:rsidRDefault="000E5262" w:rsidP="000E5262">
      <w:pPr>
        <w:numPr>
          <w:ilvl w:val="0"/>
          <w:numId w:val="1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Global policy implementation expertise</w:t>
      </w:r>
      <w:r w:rsidRPr="000E5262">
        <w:rPr>
          <w:rFonts w:eastAsia="Times New Roman" w:cs="Times New Roman"/>
          <w:color w:val="auto"/>
          <w:sz w:val="24"/>
          <w:szCs w:val="24"/>
        </w:rPr>
        <w:t xml:space="preserve"> spanning EU, EMEA, LACAN, and Asia-Pacific regions</w:t>
      </w:r>
    </w:p>
    <w:p w14:paraId="443A2D4B" w14:textId="77777777" w:rsidR="000E5262" w:rsidRPr="000E5262" w:rsidRDefault="000E5262" w:rsidP="000E5262">
      <w:pPr>
        <w:numPr>
          <w:ilvl w:val="0"/>
          <w:numId w:val="1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Emerging technology regulatory specialist</w:t>
      </w:r>
      <w:r w:rsidRPr="000E5262">
        <w:rPr>
          <w:rFonts w:eastAsia="Times New Roman" w:cs="Times New Roman"/>
          <w:color w:val="auto"/>
          <w:sz w:val="24"/>
          <w:szCs w:val="24"/>
        </w:rPr>
        <w:t xml:space="preserve"> with deep knowledge of EU AI Act and U.S. AI frameworks</w:t>
      </w:r>
    </w:p>
    <w:p w14:paraId="06E8600E" w14:textId="77777777" w:rsidR="000E5262" w:rsidRPr="000E5262" w:rsidRDefault="000E5262" w:rsidP="000E5262">
      <w:pPr>
        <w:numPr>
          <w:ilvl w:val="0"/>
          <w:numId w:val="1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Cross-functional team leadership</w:t>
      </w:r>
      <w:r w:rsidRPr="000E5262">
        <w:rPr>
          <w:rFonts w:eastAsia="Times New Roman" w:cs="Times New Roman"/>
          <w:color w:val="auto"/>
          <w:sz w:val="24"/>
          <w:szCs w:val="24"/>
        </w:rPr>
        <w:t xml:space="preserve"> managing international compliance initiatives and regulatory transitions</w:t>
      </w:r>
    </w:p>
    <w:p w14:paraId="1BB9A958" w14:textId="77777777" w:rsidR="000E5262" w:rsidRPr="000E5262" w:rsidRDefault="000E5262" w:rsidP="000E5262">
      <w:pPr>
        <w:numPr>
          <w:ilvl w:val="0"/>
          <w:numId w:val="1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Strategic policy development</w:t>
      </w:r>
      <w:r w:rsidRPr="000E5262">
        <w:rPr>
          <w:rFonts w:eastAsia="Times New Roman" w:cs="Times New Roman"/>
          <w:color w:val="auto"/>
          <w:sz w:val="24"/>
          <w:szCs w:val="24"/>
        </w:rPr>
        <w:t xml:space="preserve"> with demonstrated success in translating technical requirements into operational frameworks</w:t>
      </w:r>
    </w:p>
    <w:p w14:paraId="3CA2478C" w14:textId="77777777" w:rsidR="000E5262" w:rsidRPr="000E5262" w:rsidRDefault="000E5262" w:rsidP="000E5262">
      <w:pPr>
        <w:spacing w:before="100" w:beforeAutospacing="1" w:after="100" w:afterAutospacing="1"/>
        <w:jc w:val="left"/>
        <w:outlineLvl w:val="1"/>
        <w:rPr>
          <w:rFonts w:eastAsia="Times New Roman" w:cs="Times New Roman"/>
          <w:b/>
          <w:bCs/>
          <w:color w:val="auto"/>
          <w:sz w:val="36"/>
          <w:szCs w:val="36"/>
        </w:rPr>
      </w:pPr>
      <w:r w:rsidRPr="000E5262">
        <w:rPr>
          <w:rFonts w:eastAsia="Times New Roman" w:cs="Times New Roman"/>
          <w:b/>
          <w:bCs/>
          <w:color w:val="auto"/>
          <w:sz w:val="36"/>
          <w:szCs w:val="36"/>
        </w:rPr>
        <w:t>Professional Experience</w:t>
      </w:r>
    </w:p>
    <w:p w14:paraId="389F90A3"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proofErr w:type="spellStart"/>
      <w:r w:rsidRPr="000E5262">
        <w:rPr>
          <w:rFonts w:eastAsia="Times New Roman" w:cs="Times New Roman"/>
          <w:b/>
          <w:bCs/>
          <w:color w:val="auto"/>
          <w:sz w:val="27"/>
          <w:szCs w:val="27"/>
        </w:rPr>
        <w:t>CooperSurgical</w:t>
      </w:r>
      <w:proofErr w:type="spellEnd"/>
      <w:r w:rsidRPr="000E5262">
        <w:rPr>
          <w:rFonts w:eastAsia="Times New Roman" w:cs="Times New Roman"/>
          <w:b/>
          <w:bCs/>
          <w:color w:val="auto"/>
          <w:sz w:val="27"/>
          <w:szCs w:val="27"/>
        </w:rPr>
        <w:t xml:space="preserve"> | Post-Market Surveillance Manager &amp; Technical Writer | January 2022 - Present</w:t>
      </w:r>
    </w:p>
    <w:p w14:paraId="5C7CA1B1" w14:textId="77777777"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International Regulatory Leadership:</w:t>
      </w:r>
    </w:p>
    <w:p w14:paraId="3453F365" w14:textId="28E71EE4" w:rsidR="000E5262" w:rsidRPr="000E5262" w:rsidRDefault="000E5262" w:rsidP="000E5262">
      <w:pPr>
        <w:numPr>
          <w:ilvl w:val="0"/>
          <w:numId w:val="20"/>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Manage team of 5 Post-Market Surveillance Technical Writers</w:t>
      </w:r>
      <w:r w:rsidRPr="000E5262">
        <w:rPr>
          <w:rFonts w:eastAsia="Times New Roman" w:cs="Times New Roman"/>
          <w:color w:val="auto"/>
          <w:sz w:val="24"/>
          <w:szCs w:val="24"/>
        </w:rPr>
        <w:t xml:space="preserve"> ensuring compliance across international markets</w:t>
      </w:r>
    </w:p>
    <w:p w14:paraId="13AD3958" w14:textId="77777777" w:rsidR="000E5262" w:rsidRPr="000E5262" w:rsidRDefault="000E5262" w:rsidP="000E5262">
      <w:pPr>
        <w:numPr>
          <w:ilvl w:val="0"/>
          <w:numId w:val="20"/>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lastRenderedPageBreak/>
        <w:t>Lead EU MDR implementation</w:t>
      </w:r>
      <w:r w:rsidRPr="000E5262">
        <w:rPr>
          <w:rFonts w:eastAsia="Times New Roman" w:cs="Times New Roman"/>
          <w:color w:val="auto"/>
          <w:sz w:val="24"/>
          <w:szCs w:val="24"/>
        </w:rPr>
        <w:t xml:space="preserve"> across entire product portfolio, coordinating with notified bodies (BSI, DEKRA) and competent authorities</w:t>
      </w:r>
    </w:p>
    <w:p w14:paraId="777D9BAA" w14:textId="77777777" w:rsidR="000E5262" w:rsidRPr="000E5262" w:rsidRDefault="000E5262" w:rsidP="000E5262">
      <w:pPr>
        <w:numPr>
          <w:ilvl w:val="0"/>
          <w:numId w:val="20"/>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Spearhead UKCA regulatory transition</w:t>
      </w:r>
      <w:r w:rsidRPr="000E5262">
        <w:rPr>
          <w:rFonts w:eastAsia="Times New Roman" w:cs="Times New Roman"/>
          <w:color w:val="auto"/>
          <w:sz w:val="24"/>
          <w:szCs w:val="24"/>
        </w:rPr>
        <w:t xml:space="preserve"> post-Brexit, establishing new compliance frameworks for UK market access</w:t>
      </w:r>
    </w:p>
    <w:p w14:paraId="28C9B987" w14:textId="77777777" w:rsidR="000E5262" w:rsidRPr="000E5262" w:rsidRDefault="000E5262" w:rsidP="000E5262">
      <w:pPr>
        <w:numPr>
          <w:ilvl w:val="0"/>
          <w:numId w:val="20"/>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Coordinate international regulatory submissions</w:t>
      </w:r>
      <w:r w:rsidRPr="000E5262">
        <w:rPr>
          <w:rFonts w:eastAsia="Times New Roman" w:cs="Times New Roman"/>
          <w:color w:val="auto"/>
          <w:sz w:val="24"/>
          <w:szCs w:val="24"/>
        </w:rPr>
        <w:t xml:space="preserve"> and maintain relationships with global regulatory authorities</w:t>
      </w:r>
    </w:p>
    <w:p w14:paraId="5DDF31C1" w14:textId="77777777" w:rsidR="000E5262" w:rsidRPr="000E5262" w:rsidRDefault="000E5262" w:rsidP="000E5262">
      <w:pPr>
        <w:numPr>
          <w:ilvl w:val="0"/>
          <w:numId w:val="20"/>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Develop comprehensive surveillance methodologies</w:t>
      </w:r>
      <w:r w:rsidRPr="000E5262">
        <w:rPr>
          <w:rFonts w:eastAsia="Times New Roman" w:cs="Times New Roman"/>
          <w:color w:val="auto"/>
          <w:sz w:val="24"/>
          <w:szCs w:val="24"/>
        </w:rPr>
        <w:t xml:space="preserve"> incorporating multi-jurisdictional requirements</w:t>
      </w:r>
    </w:p>
    <w:p w14:paraId="56849E6A" w14:textId="77777777"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Policy Development &amp; Stakeholder Engagement:</w:t>
      </w:r>
    </w:p>
    <w:p w14:paraId="38BE3887" w14:textId="77777777" w:rsidR="000E5262" w:rsidRPr="000E5262" w:rsidRDefault="000E5262" w:rsidP="000E5262">
      <w:pPr>
        <w:numPr>
          <w:ilvl w:val="0"/>
          <w:numId w:val="21"/>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Successfully navigated complex regulatory transitions</w:t>
      </w:r>
      <w:r w:rsidRPr="000E5262">
        <w:rPr>
          <w:rFonts w:eastAsia="Times New Roman" w:cs="Times New Roman"/>
          <w:color w:val="auto"/>
          <w:sz w:val="24"/>
          <w:szCs w:val="24"/>
        </w:rPr>
        <w:t xml:space="preserve"> affecting global market access and product compliance</w:t>
      </w:r>
    </w:p>
    <w:p w14:paraId="748B5BB8" w14:textId="77777777" w:rsidR="000E5262" w:rsidRPr="000E5262" w:rsidRDefault="000E5262" w:rsidP="000E5262">
      <w:pPr>
        <w:numPr>
          <w:ilvl w:val="0"/>
          <w:numId w:val="21"/>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Established standardized international surveillance frameworks</w:t>
      </w:r>
      <w:r w:rsidRPr="000E5262">
        <w:rPr>
          <w:rFonts w:eastAsia="Times New Roman" w:cs="Times New Roman"/>
          <w:color w:val="auto"/>
          <w:sz w:val="24"/>
          <w:szCs w:val="24"/>
        </w:rPr>
        <w:t xml:space="preserve"> improving regulatory efficiency across regions</w:t>
      </w:r>
    </w:p>
    <w:p w14:paraId="214AA964" w14:textId="77777777" w:rsidR="000E5262" w:rsidRPr="000E5262" w:rsidRDefault="000E5262" w:rsidP="000E5262">
      <w:pPr>
        <w:numPr>
          <w:ilvl w:val="0"/>
          <w:numId w:val="21"/>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Led cross-functional teams</w:t>
      </w:r>
      <w:r w:rsidRPr="000E5262">
        <w:rPr>
          <w:rFonts w:eastAsia="Times New Roman" w:cs="Times New Roman"/>
          <w:color w:val="auto"/>
          <w:sz w:val="24"/>
          <w:szCs w:val="24"/>
        </w:rPr>
        <w:t xml:space="preserve"> in developing policy responses to emerging regulatory requirements</w:t>
      </w:r>
    </w:p>
    <w:p w14:paraId="48512B6F" w14:textId="77777777" w:rsidR="000E5262" w:rsidRPr="000E5262" w:rsidRDefault="000E5262" w:rsidP="000E5262">
      <w:pPr>
        <w:numPr>
          <w:ilvl w:val="0"/>
          <w:numId w:val="21"/>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Built strategic relationships</w:t>
      </w:r>
      <w:r w:rsidRPr="000E5262">
        <w:rPr>
          <w:rFonts w:eastAsia="Times New Roman" w:cs="Times New Roman"/>
          <w:color w:val="auto"/>
          <w:sz w:val="24"/>
          <w:szCs w:val="24"/>
        </w:rPr>
        <w:t xml:space="preserve"> with international regulatory bodies to ensure proactive compliance positioning</w:t>
      </w:r>
    </w:p>
    <w:p w14:paraId="6CFC0D73"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Stryker Corporation | Post-Market Surveillance Consultant | January 2021 – December 2022</w:t>
      </w:r>
    </w:p>
    <w:p w14:paraId="1C9CE399" w14:textId="77777777"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International Regulatory Compliance:</w:t>
      </w:r>
    </w:p>
    <w:p w14:paraId="49D430EF" w14:textId="77777777" w:rsidR="000E5262" w:rsidRPr="000E5262" w:rsidRDefault="000E5262" w:rsidP="000E5262">
      <w:pPr>
        <w:numPr>
          <w:ilvl w:val="0"/>
          <w:numId w:val="22"/>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Updated PMS procedures</w:t>
      </w:r>
      <w:r w:rsidRPr="000E5262">
        <w:rPr>
          <w:rFonts w:eastAsia="Times New Roman" w:cs="Times New Roman"/>
          <w:color w:val="auto"/>
          <w:sz w:val="24"/>
          <w:szCs w:val="24"/>
        </w:rPr>
        <w:t xml:space="preserve"> to align with EU MDR requirements across global markets</w:t>
      </w:r>
    </w:p>
    <w:p w14:paraId="6C661E2F" w14:textId="77777777" w:rsidR="000E5262" w:rsidRPr="000E5262" w:rsidRDefault="000E5262" w:rsidP="000E5262">
      <w:pPr>
        <w:numPr>
          <w:ilvl w:val="0"/>
          <w:numId w:val="22"/>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Coordinated with clinical affairs teams</w:t>
      </w:r>
      <w:r w:rsidRPr="000E5262">
        <w:rPr>
          <w:rFonts w:eastAsia="Times New Roman" w:cs="Times New Roman"/>
          <w:color w:val="auto"/>
          <w:sz w:val="24"/>
          <w:szCs w:val="24"/>
        </w:rPr>
        <w:t xml:space="preserve"> to ensure international regulatory data requirements were met</w:t>
      </w:r>
    </w:p>
    <w:p w14:paraId="24A0D75A" w14:textId="77777777" w:rsidR="000E5262" w:rsidRPr="000E5262" w:rsidRDefault="000E5262" w:rsidP="000E5262">
      <w:pPr>
        <w:numPr>
          <w:ilvl w:val="0"/>
          <w:numId w:val="22"/>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Served as primary liaison</w:t>
      </w:r>
      <w:r w:rsidRPr="000E5262">
        <w:rPr>
          <w:rFonts w:eastAsia="Times New Roman" w:cs="Times New Roman"/>
          <w:color w:val="auto"/>
          <w:sz w:val="24"/>
          <w:szCs w:val="24"/>
        </w:rPr>
        <w:t xml:space="preserve"> with competent authorities and notified bodies for surveillance data requests</w:t>
      </w:r>
    </w:p>
    <w:p w14:paraId="49726F49" w14:textId="77777777" w:rsidR="000E5262" w:rsidRPr="000E5262" w:rsidRDefault="000E5262" w:rsidP="000E5262">
      <w:pPr>
        <w:numPr>
          <w:ilvl w:val="0"/>
          <w:numId w:val="22"/>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Developed compliance timelines</w:t>
      </w:r>
      <w:r w:rsidRPr="000E5262">
        <w:rPr>
          <w:rFonts w:eastAsia="Times New Roman" w:cs="Times New Roman"/>
          <w:color w:val="auto"/>
          <w:sz w:val="24"/>
          <w:szCs w:val="24"/>
        </w:rPr>
        <w:t xml:space="preserve"> incorporating multi-jurisdictional submission requirements</w:t>
      </w:r>
    </w:p>
    <w:p w14:paraId="46242A52"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Alexion/AstraZeneca | Post-Market Surveillance Consultant | September 2020 – December 2021</w:t>
      </w:r>
    </w:p>
    <w:p w14:paraId="74786DB8" w14:textId="77777777"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Combination Product Policy Development:</w:t>
      </w:r>
    </w:p>
    <w:p w14:paraId="4B161531" w14:textId="77777777" w:rsidR="000E5262" w:rsidRPr="000E5262" w:rsidRDefault="000E5262" w:rsidP="000E5262">
      <w:pPr>
        <w:numPr>
          <w:ilvl w:val="0"/>
          <w:numId w:val="23"/>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Created comprehensive post-market surveillance framework</w:t>
      </w:r>
      <w:r w:rsidRPr="000E5262">
        <w:rPr>
          <w:rFonts w:eastAsia="Times New Roman" w:cs="Times New Roman"/>
          <w:color w:val="auto"/>
          <w:sz w:val="24"/>
          <w:szCs w:val="24"/>
        </w:rPr>
        <w:t xml:space="preserve"> for combination devices prior to commercialization</w:t>
      </w:r>
    </w:p>
    <w:p w14:paraId="2937E1A1" w14:textId="77777777" w:rsidR="000E5262" w:rsidRPr="000E5262" w:rsidRDefault="000E5262" w:rsidP="000E5262">
      <w:pPr>
        <w:numPr>
          <w:ilvl w:val="0"/>
          <w:numId w:val="23"/>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Developed PMCF plans</w:t>
      </w:r>
      <w:r w:rsidRPr="000E5262">
        <w:rPr>
          <w:rFonts w:eastAsia="Times New Roman" w:cs="Times New Roman"/>
          <w:color w:val="auto"/>
          <w:sz w:val="24"/>
          <w:szCs w:val="24"/>
        </w:rPr>
        <w:t xml:space="preserve"> under EU MDR requirements with international applicability</w:t>
      </w:r>
    </w:p>
    <w:p w14:paraId="5FD79562" w14:textId="77777777" w:rsidR="000E5262" w:rsidRPr="000E5262" w:rsidRDefault="000E5262" w:rsidP="000E5262">
      <w:pPr>
        <w:numPr>
          <w:ilvl w:val="0"/>
          <w:numId w:val="23"/>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Established data relationships</w:t>
      </w:r>
      <w:r w:rsidRPr="000E5262">
        <w:rPr>
          <w:rFonts w:eastAsia="Times New Roman" w:cs="Times New Roman"/>
          <w:color w:val="auto"/>
          <w:sz w:val="24"/>
          <w:szCs w:val="24"/>
        </w:rPr>
        <w:t xml:space="preserve"> between global stakeholders and surveillance systems</w:t>
      </w:r>
    </w:p>
    <w:p w14:paraId="6C8ABDC5" w14:textId="77777777" w:rsidR="000E5262" w:rsidRPr="000E5262" w:rsidRDefault="000E5262" w:rsidP="000E5262">
      <w:pPr>
        <w:numPr>
          <w:ilvl w:val="0"/>
          <w:numId w:val="23"/>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Created regulatory reporting decision trees</w:t>
      </w:r>
      <w:r w:rsidRPr="000E5262">
        <w:rPr>
          <w:rFonts w:eastAsia="Times New Roman" w:cs="Times New Roman"/>
          <w:color w:val="auto"/>
          <w:sz w:val="24"/>
          <w:szCs w:val="24"/>
        </w:rPr>
        <w:t xml:space="preserve"> outlining jurisdiction-specific requirements across global markets</w:t>
      </w:r>
    </w:p>
    <w:p w14:paraId="219F215C"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lastRenderedPageBreak/>
        <w:t>Beckman-Coulter | Post Market Surveillance EU MDR Consultant/Lead (Contract) | September 2020 – May 2021</w:t>
      </w:r>
    </w:p>
    <w:p w14:paraId="70CF8463" w14:textId="77777777"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Technical Documentation &amp; Policy Implementation:</w:t>
      </w:r>
    </w:p>
    <w:p w14:paraId="6416AC1E" w14:textId="77777777" w:rsidR="000E5262" w:rsidRPr="000E5262" w:rsidRDefault="000E5262" w:rsidP="000E5262">
      <w:pPr>
        <w:numPr>
          <w:ilvl w:val="0"/>
          <w:numId w:val="24"/>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Led EU IVDR transition</w:t>
      </w:r>
      <w:r w:rsidRPr="000E5262">
        <w:rPr>
          <w:rFonts w:eastAsia="Times New Roman" w:cs="Times New Roman"/>
          <w:color w:val="auto"/>
          <w:sz w:val="24"/>
          <w:szCs w:val="24"/>
        </w:rPr>
        <w:t xml:space="preserve"> across multiple business units ensuring regulatory compliance</w:t>
      </w:r>
    </w:p>
    <w:p w14:paraId="54D5F94D" w14:textId="77777777" w:rsidR="000E5262" w:rsidRPr="000E5262" w:rsidRDefault="000E5262" w:rsidP="000E5262">
      <w:pPr>
        <w:numPr>
          <w:ilvl w:val="0"/>
          <w:numId w:val="24"/>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Coordinated with notified body (BSI)</w:t>
      </w:r>
      <w:r w:rsidRPr="000E5262">
        <w:rPr>
          <w:rFonts w:eastAsia="Times New Roman" w:cs="Times New Roman"/>
          <w:color w:val="auto"/>
          <w:sz w:val="24"/>
          <w:szCs w:val="24"/>
        </w:rPr>
        <w:t xml:space="preserve"> for technical documentation reviews and feedback implementation</w:t>
      </w:r>
    </w:p>
    <w:p w14:paraId="2FC9E939" w14:textId="77777777" w:rsidR="000E5262" w:rsidRPr="000E5262" w:rsidRDefault="000E5262" w:rsidP="000E5262">
      <w:pPr>
        <w:numPr>
          <w:ilvl w:val="0"/>
          <w:numId w:val="24"/>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Established standardized PMS governance</w:t>
      </w:r>
      <w:r w:rsidRPr="000E5262">
        <w:rPr>
          <w:rFonts w:eastAsia="Times New Roman" w:cs="Times New Roman"/>
          <w:color w:val="auto"/>
          <w:sz w:val="24"/>
          <w:szCs w:val="24"/>
        </w:rPr>
        <w:t xml:space="preserve"> across international business units</w:t>
      </w:r>
    </w:p>
    <w:p w14:paraId="7004F8E9" w14:textId="77777777" w:rsidR="000E5262" w:rsidRPr="000E5262" w:rsidRDefault="000E5262" w:rsidP="000E5262">
      <w:pPr>
        <w:numPr>
          <w:ilvl w:val="0"/>
          <w:numId w:val="24"/>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Conducted scientific literature reviews</w:t>
      </w:r>
      <w:r w:rsidRPr="000E5262">
        <w:rPr>
          <w:rFonts w:eastAsia="Times New Roman" w:cs="Times New Roman"/>
          <w:color w:val="auto"/>
          <w:sz w:val="24"/>
          <w:szCs w:val="24"/>
        </w:rPr>
        <w:t xml:space="preserve"> for global safety and performance evaluation</w:t>
      </w:r>
    </w:p>
    <w:p w14:paraId="09CDEE3F"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Terumo BCT Corporation | Post Market Surveillance EU MDR Consultant (Contract) | October 2019 – September 2020</w:t>
      </w:r>
    </w:p>
    <w:p w14:paraId="3C399412" w14:textId="77777777"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International Technical Documentation:</w:t>
      </w:r>
    </w:p>
    <w:p w14:paraId="07F23E53" w14:textId="77777777" w:rsidR="000E5262" w:rsidRPr="000E5262" w:rsidRDefault="000E5262" w:rsidP="000E5262">
      <w:pPr>
        <w:numPr>
          <w:ilvl w:val="0"/>
          <w:numId w:val="25"/>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Reviewed Clinical Evaluation Reports</w:t>
      </w:r>
      <w:r w:rsidRPr="000E5262">
        <w:rPr>
          <w:rFonts w:eastAsia="Times New Roman" w:cs="Times New Roman"/>
          <w:color w:val="auto"/>
          <w:sz w:val="24"/>
          <w:szCs w:val="24"/>
        </w:rPr>
        <w:t xml:space="preserve"> for EU MDR alignment across device classifications</w:t>
      </w:r>
    </w:p>
    <w:p w14:paraId="734DAA13" w14:textId="77777777" w:rsidR="000E5262" w:rsidRPr="000E5262" w:rsidRDefault="000E5262" w:rsidP="000E5262">
      <w:pPr>
        <w:numPr>
          <w:ilvl w:val="0"/>
          <w:numId w:val="25"/>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Created comprehensive tracking matrix</w:t>
      </w:r>
      <w:r w:rsidRPr="000E5262">
        <w:rPr>
          <w:rFonts w:eastAsia="Times New Roman" w:cs="Times New Roman"/>
          <w:color w:val="auto"/>
          <w:sz w:val="24"/>
          <w:szCs w:val="24"/>
        </w:rPr>
        <w:t xml:space="preserve"> for international technical documentation maintenance</w:t>
      </w:r>
    </w:p>
    <w:p w14:paraId="05829663" w14:textId="77777777" w:rsidR="000E5262" w:rsidRPr="000E5262" w:rsidRDefault="000E5262" w:rsidP="000E5262">
      <w:pPr>
        <w:numPr>
          <w:ilvl w:val="0"/>
          <w:numId w:val="25"/>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Developed design dossiers</w:t>
      </w:r>
      <w:r w:rsidRPr="000E5262">
        <w:rPr>
          <w:rFonts w:eastAsia="Times New Roman" w:cs="Times New Roman"/>
          <w:color w:val="auto"/>
          <w:sz w:val="24"/>
          <w:szCs w:val="24"/>
        </w:rPr>
        <w:t xml:space="preserve"> meeting conformity assessment requirements for multiple jurisdictions</w:t>
      </w:r>
    </w:p>
    <w:p w14:paraId="7DD014A0" w14:textId="77777777" w:rsidR="000E5262" w:rsidRPr="000E5262" w:rsidRDefault="000E5262" w:rsidP="000E5262">
      <w:pPr>
        <w:numPr>
          <w:ilvl w:val="0"/>
          <w:numId w:val="25"/>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Analyzed global CAPA and complaint data</w:t>
      </w:r>
      <w:r w:rsidRPr="000E5262">
        <w:rPr>
          <w:rFonts w:eastAsia="Times New Roman" w:cs="Times New Roman"/>
          <w:color w:val="auto"/>
          <w:sz w:val="24"/>
          <w:szCs w:val="24"/>
        </w:rPr>
        <w:t xml:space="preserve"> to inform international risk-benefit analyses</w:t>
      </w:r>
    </w:p>
    <w:p w14:paraId="32B434F6"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Stryker Corporation | Supplier Auditor (Contract) | April 2019 – October 2019</w:t>
      </w:r>
    </w:p>
    <w:p w14:paraId="46609E81" w14:textId="77777777"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Global Supply Chain Compliance:</w:t>
      </w:r>
    </w:p>
    <w:p w14:paraId="03AD8C3D" w14:textId="77777777" w:rsidR="000E5262" w:rsidRPr="000E5262" w:rsidRDefault="000E5262" w:rsidP="000E5262">
      <w:pPr>
        <w:numPr>
          <w:ilvl w:val="0"/>
          <w:numId w:val="26"/>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Led risk-based international supplier audits</w:t>
      </w:r>
      <w:r w:rsidRPr="000E5262">
        <w:rPr>
          <w:rFonts w:eastAsia="Times New Roman" w:cs="Times New Roman"/>
          <w:color w:val="auto"/>
          <w:sz w:val="24"/>
          <w:szCs w:val="24"/>
        </w:rPr>
        <w:t xml:space="preserve"> ensuring global regulatory conformance</w:t>
      </w:r>
    </w:p>
    <w:p w14:paraId="33E9BDAD" w14:textId="77777777" w:rsidR="000E5262" w:rsidRPr="000E5262" w:rsidRDefault="000E5262" w:rsidP="000E5262">
      <w:pPr>
        <w:numPr>
          <w:ilvl w:val="0"/>
          <w:numId w:val="26"/>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Guided suppliers through applicable regulatory landscapes</w:t>
      </w:r>
      <w:r w:rsidRPr="000E5262">
        <w:rPr>
          <w:rFonts w:eastAsia="Times New Roman" w:cs="Times New Roman"/>
          <w:color w:val="auto"/>
          <w:sz w:val="24"/>
          <w:szCs w:val="24"/>
        </w:rPr>
        <w:t xml:space="preserve"> across multiple jurisdictions</w:t>
      </w:r>
    </w:p>
    <w:p w14:paraId="291E748F" w14:textId="77777777" w:rsidR="000E5262" w:rsidRPr="000E5262" w:rsidRDefault="000E5262" w:rsidP="000E5262">
      <w:pPr>
        <w:numPr>
          <w:ilvl w:val="0"/>
          <w:numId w:val="26"/>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Developed supplier agreements</w:t>
      </w:r>
      <w:r w:rsidRPr="000E5262">
        <w:rPr>
          <w:rFonts w:eastAsia="Times New Roman" w:cs="Times New Roman"/>
          <w:color w:val="auto"/>
          <w:sz w:val="24"/>
          <w:szCs w:val="24"/>
        </w:rPr>
        <w:t xml:space="preserve"> establishing sustainable international compliance frameworks</w:t>
      </w:r>
    </w:p>
    <w:p w14:paraId="106A5C35"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Philips Corporation | Post-Market Surveillance (Complaint Specialist) (Contract) | May 2018 – April 2019</w:t>
      </w:r>
    </w:p>
    <w:p w14:paraId="5B6010F4" w14:textId="77777777"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International Surveillance &amp; Reporting:</w:t>
      </w:r>
    </w:p>
    <w:p w14:paraId="0F774739" w14:textId="77777777" w:rsidR="000E5262" w:rsidRPr="000E5262" w:rsidRDefault="000E5262" w:rsidP="000E5262">
      <w:pPr>
        <w:numPr>
          <w:ilvl w:val="0"/>
          <w:numId w:val="27"/>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Coordinated with Adverse Event teams</w:t>
      </w:r>
      <w:r w:rsidRPr="000E5262">
        <w:rPr>
          <w:rFonts w:eastAsia="Times New Roman" w:cs="Times New Roman"/>
          <w:color w:val="auto"/>
          <w:sz w:val="24"/>
          <w:szCs w:val="24"/>
        </w:rPr>
        <w:t xml:space="preserve"> for multi-jurisdictional regulatory reporting</w:t>
      </w:r>
    </w:p>
    <w:p w14:paraId="6DF3FC5E" w14:textId="77777777" w:rsidR="000E5262" w:rsidRPr="000E5262" w:rsidRDefault="000E5262" w:rsidP="000E5262">
      <w:pPr>
        <w:numPr>
          <w:ilvl w:val="0"/>
          <w:numId w:val="27"/>
        </w:numPr>
        <w:spacing w:before="100" w:beforeAutospacing="1" w:after="100" w:afterAutospacing="1"/>
        <w:jc w:val="left"/>
        <w:rPr>
          <w:rFonts w:eastAsia="Times New Roman" w:cs="Times New Roman"/>
          <w:color w:val="auto"/>
          <w:sz w:val="24"/>
          <w:szCs w:val="24"/>
        </w:rPr>
      </w:pPr>
      <w:proofErr w:type="gramStart"/>
      <w:r w:rsidRPr="000E5262">
        <w:rPr>
          <w:rFonts w:eastAsia="Times New Roman" w:cs="Times New Roman"/>
          <w:b/>
          <w:bCs/>
          <w:color w:val="auto"/>
          <w:sz w:val="24"/>
          <w:szCs w:val="24"/>
        </w:rPr>
        <w:t>Collaborated</w:t>
      </w:r>
      <w:proofErr w:type="gramEnd"/>
      <w:r w:rsidRPr="000E5262">
        <w:rPr>
          <w:rFonts w:eastAsia="Times New Roman" w:cs="Times New Roman"/>
          <w:b/>
          <w:bCs/>
          <w:color w:val="auto"/>
          <w:sz w:val="24"/>
          <w:szCs w:val="24"/>
        </w:rPr>
        <w:t xml:space="preserve"> with Product Safety Committees</w:t>
      </w:r>
      <w:r w:rsidRPr="000E5262">
        <w:rPr>
          <w:rFonts w:eastAsia="Times New Roman" w:cs="Times New Roman"/>
          <w:color w:val="auto"/>
          <w:sz w:val="24"/>
          <w:szCs w:val="24"/>
        </w:rPr>
        <w:t xml:space="preserve"> on international correction and removal processes</w:t>
      </w:r>
    </w:p>
    <w:p w14:paraId="442597DC" w14:textId="77777777" w:rsidR="000E5262" w:rsidRPr="000E5262" w:rsidRDefault="000E5262" w:rsidP="000E5262">
      <w:pPr>
        <w:numPr>
          <w:ilvl w:val="0"/>
          <w:numId w:val="27"/>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Provided surveillance data</w:t>
      </w:r>
      <w:r w:rsidRPr="000E5262">
        <w:rPr>
          <w:rFonts w:eastAsia="Times New Roman" w:cs="Times New Roman"/>
          <w:color w:val="auto"/>
          <w:sz w:val="24"/>
          <w:szCs w:val="24"/>
        </w:rPr>
        <w:t xml:space="preserve"> for global periodic reports and management reviews</w:t>
      </w:r>
    </w:p>
    <w:p w14:paraId="713FBA8C"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Oxford Global Inc | Quality Systems Consultant (Contract) | January 2018 – May 2018</w:t>
      </w:r>
    </w:p>
    <w:p w14:paraId="34E46EB7" w14:textId="77777777"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lastRenderedPageBreak/>
        <w:t>International Standards Implementation:</w:t>
      </w:r>
    </w:p>
    <w:p w14:paraId="3A784503" w14:textId="77777777" w:rsidR="000E5262" w:rsidRPr="000E5262" w:rsidRDefault="000E5262" w:rsidP="000E5262">
      <w:pPr>
        <w:numPr>
          <w:ilvl w:val="0"/>
          <w:numId w:val="28"/>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Conducted compliance audits</w:t>
      </w:r>
      <w:r w:rsidRPr="000E5262">
        <w:rPr>
          <w:rFonts w:eastAsia="Times New Roman" w:cs="Times New Roman"/>
          <w:color w:val="auto"/>
          <w:sz w:val="24"/>
          <w:szCs w:val="24"/>
        </w:rPr>
        <w:t xml:space="preserve"> for ISO 13485:2016 and MDSAP across multiple markets</w:t>
      </w:r>
    </w:p>
    <w:p w14:paraId="32FC5876" w14:textId="77777777" w:rsidR="000E5262" w:rsidRPr="000E5262" w:rsidRDefault="000E5262" w:rsidP="000E5262">
      <w:pPr>
        <w:numPr>
          <w:ilvl w:val="0"/>
          <w:numId w:val="28"/>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Reviewed technical documents</w:t>
      </w:r>
      <w:r w:rsidRPr="000E5262">
        <w:rPr>
          <w:rFonts w:eastAsia="Times New Roman" w:cs="Times New Roman"/>
          <w:color w:val="auto"/>
          <w:sz w:val="24"/>
          <w:szCs w:val="24"/>
        </w:rPr>
        <w:t xml:space="preserve"> for EU MDR alignment and international applicability</w:t>
      </w:r>
    </w:p>
    <w:p w14:paraId="15DA6E94" w14:textId="77777777" w:rsidR="000E5262" w:rsidRPr="000E5262" w:rsidRDefault="000E5262" w:rsidP="000E5262">
      <w:pPr>
        <w:numPr>
          <w:ilvl w:val="0"/>
          <w:numId w:val="28"/>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Performed gap assessments</w:t>
      </w:r>
      <w:r w:rsidRPr="000E5262">
        <w:rPr>
          <w:rFonts w:eastAsia="Times New Roman" w:cs="Times New Roman"/>
          <w:color w:val="auto"/>
          <w:sz w:val="24"/>
          <w:szCs w:val="24"/>
        </w:rPr>
        <w:t xml:space="preserve"> against international regulatory standards</w:t>
      </w:r>
    </w:p>
    <w:p w14:paraId="77D0D0B8"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Allergan Inc | Senior Quality Engineer (Projects) | April 2016 – January 2018</w:t>
      </w:r>
    </w:p>
    <w:p w14:paraId="20E42273" w14:textId="77777777"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Global Regulatory Program Management:</w:t>
      </w:r>
    </w:p>
    <w:p w14:paraId="6B0A5623" w14:textId="77777777" w:rsidR="000E5262" w:rsidRPr="000E5262" w:rsidRDefault="000E5262" w:rsidP="000E5262">
      <w:pPr>
        <w:numPr>
          <w:ilvl w:val="0"/>
          <w:numId w:val="2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Managed international audit program</w:t>
      </w:r>
      <w:r w:rsidRPr="000E5262">
        <w:rPr>
          <w:rFonts w:eastAsia="Times New Roman" w:cs="Times New Roman"/>
          <w:color w:val="auto"/>
          <w:sz w:val="24"/>
          <w:szCs w:val="24"/>
        </w:rPr>
        <w:t xml:space="preserve"> hosting notified bodies (DEKRA, BSI, LNE) and regulators (FDA, Health Canada)</w:t>
      </w:r>
    </w:p>
    <w:p w14:paraId="06977E0B" w14:textId="77777777" w:rsidR="000E5262" w:rsidRPr="000E5262" w:rsidRDefault="000E5262" w:rsidP="000E5262">
      <w:pPr>
        <w:numPr>
          <w:ilvl w:val="0"/>
          <w:numId w:val="2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Responded to international competent authority requests</w:t>
      </w:r>
      <w:r w:rsidRPr="000E5262">
        <w:rPr>
          <w:rFonts w:eastAsia="Times New Roman" w:cs="Times New Roman"/>
          <w:color w:val="auto"/>
          <w:sz w:val="24"/>
          <w:szCs w:val="24"/>
        </w:rPr>
        <w:t xml:space="preserve"> for clarification and product information</w:t>
      </w:r>
    </w:p>
    <w:p w14:paraId="7CCB3340" w14:textId="77777777" w:rsidR="000E5262" w:rsidRPr="000E5262" w:rsidRDefault="000E5262" w:rsidP="000E5262">
      <w:pPr>
        <w:numPr>
          <w:ilvl w:val="0"/>
          <w:numId w:val="2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Trained multi-site personnel</w:t>
      </w:r>
      <w:r w:rsidRPr="000E5262">
        <w:rPr>
          <w:rFonts w:eastAsia="Times New Roman" w:cs="Times New Roman"/>
          <w:color w:val="auto"/>
          <w:sz w:val="24"/>
          <w:szCs w:val="24"/>
        </w:rPr>
        <w:t xml:space="preserve"> in MDSAP requirements across global operations</w:t>
      </w:r>
    </w:p>
    <w:p w14:paraId="1A7A147D" w14:textId="77777777" w:rsidR="000E5262" w:rsidRPr="000E5262" w:rsidRDefault="000E5262" w:rsidP="000E5262">
      <w:pPr>
        <w:numPr>
          <w:ilvl w:val="0"/>
          <w:numId w:val="2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Served as liaison</w:t>
      </w:r>
      <w:r w:rsidRPr="000E5262">
        <w:rPr>
          <w:rFonts w:eastAsia="Times New Roman" w:cs="Times New Roman"/>
          <w:color w:val="auto"/>
          <w:sz w:val="24"/>
          <w:szCs w:val="24"/>
        </w:rPr>
        <w:t xml:space="preserve"> between company and international regulatory authorities</w:t>
      </w:r>
    </w:p>
    <w:p w14:paraId="5870CB29"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Previous International Experience (2007-2016)</w:t>
      </w:r>
    </w:p>
    <w:p w14:paraId="7A2ED63B" w14:textId="77777777"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Alcon/Novartis | Country Organization RAQA Representative (2013-2015)</w:t>
      </w:r>
    </w:p>
    <w:p w14:paraId="71DD9CAD" w14:textId="77777777" w:rsidR="000E5262" w:rsidRPr="000E5262" w:rsidRDefault="000E5262" w:rsidP="000E5262">
      <w:pPr>
        <w:numPr>
          <w:ilvl w:val="0"/>
          <w:numId w:val="30"/>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Managed quality and regulatory compliance</w:t>
      </w:r>
      <w:r w:rsidRPr="000E5262">
        <w:rPr>
          <w:rFonts w:eastAsia="Times New Roman" w:cs="Times New Roman"/>
          <w:color w:val="auto"/>
          <w:sz w:val="24"/>
          <w:szCs w:val="24"/>
        </w:rPr>
        <w:t xml:space="preserve"> for 21 countries across LACAN, EMEA, and Asia regions</w:t>
      </w:r>
    </w:p>
    <w:p w14:paraId="5DD093CE" w14:textId="77777777" w:rsidR="000E5262" w:rsidRPr="000E5262" w:rsidRDefault="000E5262" w:rsidP="000E5262">
      <w:pPr>
        <w:numPr>
          <w:ilvl w:val="0"/>
          <w:numId w:val="30"/>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Provided regulatory intelligence</w:t>
      </w:r>
      <w:r w:rsidRPr="000E5262">
        <w:rPr>
          <w:rFonts w:eastAsia="Times New Roman" w:cs="Times New Roman"/>
          <w:color w:val="auto"/>
          <w:sz w:val="24"/>
          <w:szCs w:val="24"/>
        </w:rPr>
        <w:t xml:space="preserve"> for EMEA business development activities</w:t>
      </w:r>
    </w:p>
    <w:p w14:paraId="25C32286" w14:textId="77777777" w:rsidR="000E5262" w:rsidRPr="000E5262" w:rsidRDefault="000E5262" w:rsidP="000E5262">
      <w:pPr>
        <w:numPr>
          <w:ilvl w:val="0"/>
          <w:numId w:val="30"/>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Developed audit responses</w:t>
      </w:r>
      <w:r w:rsidRPr="000E5262">
        <w:rPr>
          <w:rFonts w:eastAsia="Times New Roman" w:cs="Times New Roman"/>
          <w:color w:val="auto"/>
          <w:sz w:val="24"/>
          <w:szCs w:val="24"/>
        </w:rPr>
        <w:t xml:space="preserve"> to global competent authority inspections (FDA, TGA, MHRA, SWISSMEDIC)</w:t>
      </w:r>
    </w:p>
    <w:p w14:paraId="4A103C9B" w14:textId="77777777" w:rsidR="000E5262" w:rsidRPr="000E5262" w:rsidRDefault="000E5262" w:rsidP="000E5262">
      <w:pPr>
        <w:numPr>
          <w:ilvl w:val="0"/>
          <w:numId w:val="30"/>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Hosted international audits</w:t>
      </w:r>
      <w:r w:rsidRPr="000E5262">
        <w:rPr>
          <w:rFonts w:eastAsia="Times New Roman" w:cs="Times New Roman"/>
          <w:color w:val="auto"/>
          <w:sz w:val="24"/>
          <w:szCs w:val="24"/>
        </w:rPr>
        <w:t xml:space="preserve"> (TUV, BSI) across global affiliate sites</w:t>
      </w:r>
    </w:p>
    <w:p w14:paraId="6BF1DC8C" w14:textId="77777777" w:rsidR="000E5262" w:rsidRPr="000E5262" w:rsidRDefault="000E5262" w:rsidP="000E5262">
      <w:p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Additional Global Experience:</w:t>
      </w:r>
    </w:p>
    <w:p w14:paraId="38A6E9AF" w14:textId="77777777" w:rsidR="000E5262" w:rsidRPr="000E5262" w:rsidRDefault="000E5262" w:rsidP="000E5262">
      <w:pPr>
        <w:numPr>
          <w:ilvl w:val="0"/>
          <w:numId w:val="31"/>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Hospira</w:t>
      </w:r>
      <w:r w:rsidRPr="000E5262">
        <w:rPr>
          <w:rFonts w:eastAsia="Times New Roman" w:cs="Times New Roman"/>
          <w:color w:val="auto"/>
          <w:sz w:val="24"/>
          <w:szCs w:val="24"/>
        </w:rPr>
        <w:t xml:space="preserve"> (2013): International compliance consulting with expertise in 13485 and 21 CFR Part 820</w:t>
      </w:r>
    </w:p>
    <w:p w14:paraId="765FBE1B" w14:textId="77777777" w:rsidR="000E5262" w:rsidRPr="000E5262" w:rsidRDefault="000E5262" w:rsidP="000E5262">
      <w:pPr>
        <w:numPr>
          <w:ilvl w:val="0"/>
          <w:numId w:val="31"/>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Grifols-</w:t>
      </w:r>
      <w:proofErr w:type="spellStart"/>
      <w:r w:rsidRPr="000E5262">
        <w:rPr>
          <w:rFonts w:eastAsia="Times New Roman" w:cs="Times New Roman"/>
          <w:b/>
          <w:bCs/>
          <w:color w:val="auto"/>
          <w:sz w:val="24"/>
          <w:szCs w:val="24"/>
        </w:rPr>
        <w:t>Talecris</w:t>
      </w:r>
      <w:proofErr w:type="spellEnd"/>
      <w:r w:rsidRPr="000E5262">
        <w:rPr>
          <w:rFonts w:eastAsia="Times New Roman" w:cs="Times New Roman"/>
          <w:color w:val="auto"/>
          <w:sz w:val="24"/>
          <w:szCs w:val="24"/>
        </w:rPr>
        <w:t xml:space="preserve"> (2008-2013): Regional quality management across multiple international facilities</w:t>
      </w:r>
    </w:p>
    <w:p w14:paraId="520D025A" w14:textId="77777777" w:rsidR="000E5262" w:rsidRPr="000E5262" w:rsidRDefault="000E5262" w:rsidP="000E5262">
      <w:pPr>
        <w:numPr>
          <w:ilvl w:val="0"/>
          <w:numId w:val="31"/>
        </w:numPr>
        <w:spacing w:before="100" w:beforeAutospacing="1" w:after="100" w:afterAutospacing="1"/>
        <w:jc w:val="left"/>
        <w:rPr>
          <w:rFonts w:eastAsia="Times New Roman" w:cs="Times New Roman"/>
          <w:color w:val="auto"/>
          <w:sz w:val="24"/>
          <w:szCs w:val="24"/>
        </w:rPr>
      </w:pPr>
      <w:proofErr w:type="spellStart"/>
      <w:r w:rsidRPr="000E5262">
        <w:rPr>
          <w:rFonts w:eastAsia="Times New Roman" w:cs="Times New Roman"/>
          <w:b/>
          <w:bCs/>
          <w:color w:val="auto"/>
          <w:sz w:val="24"/>
          <w:szCs w:val="24"/>
        </w:rPr>
        <w:t>Talecris</w:t>
      </w:r>
      <w:proofErr w:type="spellEnd"/>
      <w:r w:rsidRPr="000E5262">
        <w:rPr>
          <w:rFonts w:eastAsia="Times New Roman" w:cs="Times New Roman"/>
          <w:b/>
          <w:bCs/>
          <w:color w:val="auto"/>
          <w:sz w:val="24"/>
          <w:szCs w:val="24"/>
        </w:rPr>
        <w:t xml:space="preserve"> Plasma Resources</w:t>
      </w:r>
      <w:r w:rsidRPr="000E5262">
        <w:rPr>
          <w:rFonts w:eastAsia="Times New Roman" w:cs="Times New Roman"/>
          <w:color w:val="auto"/>
          <w:sz w:val="24"/>
          <w:szCs w:val="24"/>
        </w:rPr>
        <w:t xml:space="preserve"> (2007-2008): International quality assurance program management</w:t>
      </w:r>
    </w:p>
    <w:p w14:paraId="582009F1" w14:textId="77777777" w:rsidR="000E5262" w:rsidRPr="000E5262" w:rsidRDefault="000E5262" w:rsidP="000E5262">
      <w:pPr>
        <w:spacing w:before="100" w:beforeAutospacing="1" w:after="100" w:afterAutospacing="1"/>
        <w:jc w:val="left"/>
        <w:outlineLvl w:val="1"/>
        <w:rPr>
          <w:rFonts w:eastAsia="Times New Roman" w:cs="Times New Roman"/>
          <w:b/>
          <w:bCs/>
          <w:color w:val="auto"/>
          <w:sz w:val="36"/>
          <w:szCs w:val="36"/>
        </w:rPr>
      </w:pPr>
      <w:r w:rsidRPr="000E5262">
        <w:rPr>
          <w:rFonts w:eastAsia="Times New Roman" w:cs="Times New Roman"/>
          <w:b/>
          <w:bCs/>
          <w:color w:val="auto"/>
          <w:sz w:val="36"/>
          <w:szCs w:val="36"/>
        </w:rPr>
        <w:t>Education and Certifications</w:t>
      </w:r>
    </w:p>
    <w:p w14:paraId="602A34D2"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Education</w:t>
      </w:r>
    </w:p>
    <w:p w14:paraId="4E394710" w14:textId="77777777" w:rsidR="000E5262" w:rsidRPr="000E5262" w:rsidRDefault="000E5262" w:rsidP="000E5262">
      <w:pPr>
        <w:numPr>
          <w:ilvl w:val="0"/>
          <w:numId w:val="32"/>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Bachelor of Arts, Evolution, Ecology &amp; Organism Biology</w:t>
      </w:r>
      <w:r w:rsidRPr="000E5262">
        <w:rPr>
          <w:rFonts w:eastAsia="Times New Roman" w:cs="Times New Roman"/>
          <w:color w:val="auto"/>
          <w:sz w:val="24"/>
          <w:szCs w:val="24"/>
        </w:rPr>
        <w:t xml:space="preserve"> | The Ohio State University, Columbus, OH</w:t>
      </w:r>
    </w:p>
    <w:p w14:paraId="06680470"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Current Certifications</w:t>
      </w:r>
    </w:p>
    <w:p w14:paraId="5F7EE512" w14:textId="77777777" w:rsidR="000E5262" w:rsidRPr="000E5262" w:rsidRDefault="000E5262" w:rsidP="000E5262">
      <w:pPr>
        <w:numPr>
          <w:ilvl w:val="0"/>
          <w:numId w:val="33"/>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lastRenderedPageBreak/>
        <w:t>Certified EU MDR 2017/745 Auditor</w:t>
      </w:r>
      <w:r w:rsidRPr="000E5262">
        <w:rPr>
          <w:rFonts w:eastAsia="Times New Roman" w:cs="Times New Roman"/>
          <w:color w:val="auto"/>
          <w:sz w:val="24"/>
          <w:szCs w:val="24"/>
        </w:rPr>
        <w:t xml:space="preserve"> | Oriel Stat-a-Matrix</w:t>
      </w:r>
    </w:p>
    <w:p w14:paraId="2226E012" w14:textId="77777777" w:rsidR="000E5262" w:rsidRPr="000E5262" w:rsidRDefault="000E5262" w:rsidP="000E5262">
      <w:pPr>
        <w:numPr>
          <w:ilvl w:val="0"/>
          <w:numId w:val="33"/>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American Society of Quality (ASQ) Member</w:t>
      </w:r>
    </w:p>
    <w:p w14:paraId="61C85E69"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Specialized Training Completed</w:t>
      </w:r>
    </w:p>
    <w:p w14:paraId="5EDAC460" w14:textId="77777777" w:rsidR="000E5262" w:rsidRPr="000E5262" w:rsidRDefault="000E5262" w:rsidP="000E5262">
      <w:pPr>
        <w:numPr>
          <w:ilvl w:val="0"/>
          <w:numId w:val="34"/>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EU MDR Implementation of Surveillance Requirements</w:t>
      </w:r>
    </w:p>
    <w:p w14:paraId="09AC75BD" w14:textId="77777777" w:rsidR="000E5262" w:rsidRPr="00287706" w:rsidRDefault="000E5262" w:rsidP="000E5262">
      <w:pPr>
        <w:numPr>
          <w:ilvl w:val="0"/>
          <w:numId w:val="34"/>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UKCA Implementation of Surveillance Requirements</w:t>
      </w:r>
    </w:p>
    <w:p w14:paraId="5DCA6ACA" w14:textId="3C2148D9" w:rsidR="00287706" w:rsidRPr="00287706" w:rsidRDefault="00287706" w:rsidP="000E5262">
      <w:pPr>
        <w:numPr>
          <w:ilvl w:val="0"/>
          <w:numId w:val="34"/>
        </w:numPr>
        <w:spacing w:before="100" w:beforeAutospacing="1" w:after="100" w:afterAutospacing="1"/>
        <w:jc w:val="left"/>
        <w:rPr>
          <w:rFonts w:eastAsia="Times New Roman" w:cs="Times New Roman"/>
          <w:color w:val="auto"/>
          <w:sz w:val="24"/>
          <w:szCs w:val="24"/>
        </w:rPr>
      </w:pPr>
      <w:r>
        <w:rPr>
          <w:rFonts w:eastAsia="Times New Roman" w:cs="Times New Roman"/>
          <w:b/>
          <w:bCs/>
          <w:color w:val="auto"/>
          <w:sz w:val="24"/>
          <w:szCs w:val="24"/>
        </w:rPr>
        <w:t>ISO 13485 Quality Management Systems</w:t>
      </w:r>
    </w:p>
    <w:p w14:paraId="35F95081" w14:textId="2423CAB7" w:rsidR="00287706" w:rsidRPr="000E5262" w:rsidRDefault="00287706" w:rsidP="000E5262">
      <w:pPr>
        <w:numPr>
          <w:ilvl w:val="0"/>
          <w:numId w:val="34"/>
        </w:numPr>
        <w:spacing w:before="100" w:beforeAutospacing="1" w:after="100" w:afterAutospacing="1"/>
        <w:jc w:val="left"/>
        <w:rPr>
          <w:rFonts w:eastAsia="Times New Roman" w:cs="Times New Roman"/>
          <w:color w:val="auto"/>
          <w:sz w:val="24"/>
          <w:szCs w:val="24"/>
        </w:rPr>
      </w:pPr>
      <w:r>
        <w:rPr>
          <w:rFonts w:eastAsia="Times New Roman" w:cs="Times New Roman"/>
          <w:b/>
          <w:bCs/>
          <w:color w:val="auto"/>
          <w:sz w:val="24"/>
          <w:szCs w:val="24"/>
        </w:rPr>
        <w:t>ISO 14971 Risk Management</w:t>
      </w:r>
    </w:p>
    <w:p w14:paraId="382D857D"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Professional Development in Progress</w:t>
      </w:r>
    </w:p>
    <w:p w14:paraId="4566DE3B" w14:textId="77777777" w:rsidR="000E5262" w:rsidRPr="000E5262" w:rsidRDefault="000E5262" w:rsidP="000E5262">
      <w:pPr>
        <w:numPr>
          <w:ilvl w:val="0"/>
          <w:numId w:val="35"/>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ISO/IEC 42001 AIMS Standard Certification</w:t>
      </w:r>
      <w:r w:rsidRPr="000E5262">
        <w:rPr>
          <w:rFonts w:eastAsia="Times New Roman" w:cs="Times New Roman"/>
          <w:color w:val="auto"/>
          <w:sz w:val="24"/>
          <w:szCs w:val="24"/>
        </w:rPr>
        <w:t xml:space="preserve"> (pursuing)</w:t>
      </w:r>
    </w:p>
    <w:p w14:paraId="166864C3" w14:textId="77777777" w:rsidR="000E5262" w:rsidRPr="000E5262" w:rsidRDefault="000E5262" w:rsidP="000E5262">
      <w:pPr>
        <w:numPr>
          <w:ilvl w:val="0"/>
          <w:numId w:val="35"/>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EU AI Act regulatory framework development</w:t>
      </w:r>
    </w:p>
    <w:p w14:paraId="3DEE52D3" w14:textId="77777777" w:rsidR="000E5262" w:rsidRPr="000E5262" w:rsidRDefault="000E5262" w:rsidP="000E5262">
      <w:pPr>
        <w:spacing w:before="100" w:beforeAutospacing="1" w:after="100" w:afterAutospacing="1"/>
        <w:jc w:val="left"/>
        <w:outlineLvl w:val="1"/>
        <w:rPr>
          <w:rFonts w:eastAsia="Times New Roman" w:cs="Times New Roman"/>
          <w:b/>
          <w:bCs/>
          <w:color w:val="auto"/>
          <w:sz w:val="36"/>
          <w:szCs w:val="36"/>
        </w:rPr>
      </w:pPr>
      <w:r w:rsidRPr="000E5262">
        <w:rPr>
          <w:rFonts w:eastAsia="Times New Roman" w:cs="Times New Roman"/>
          <w:b/>
          <w:bCs/>
          <w:color w:val="auto"/>
          <w:sz w:val="36"/>
          <w:szCs w:val="36"/>
        </w:rPr>
        <w:t>International Audit &amp; Engagement Experience</w:t>
      </w:r>
    </w:p>
    <w:p w14:paraId="7AEC3527"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Completed International Contract Audits</w:t>
      </w:r>
    </w:p>
    <w:p w14:paraId="52C00477" w14:textId="77777777" w:rsidR="000E5262" w:rsidRPr="000E5262" w:rsidRDefault="000E5262" w:rsidP="000E5262">
      <w:pPr>
        <w:numPr>
          <w:ilvl w:val="0"/>
          <w:numId w:val="36"/>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Showa Denko Materials</w:t>
      </w:r>
      <w:r w:rsidRPr="000E5262">
        <w:rPr>
          <w:rFonts w:eastAsia="Times New Roman" w:cs="Times New Roman"/>
          <w:color w:val="auto"/>
          <w:sz w:val="24"/>
          <w:szCs w:val="24"/>
        </w:rPr>
        <w:t xml:space="preserve"> (2021, Yokohama, Japan) – For-Cause Audit of Origen Bio (Supplier)</w:t>
      </w:r>
    </w:p>
    <w:p w14:paraId="2B782744" w14:textId="0C249837" w:rsidR="000E5262" w:rsidRPr="000E5262" w:rsidRDefault="000E5262" w:rsidP="000E5262">
      <w:pPr>
        <w:numPr>
          <w:ilvl w:val="0"/>
          <w:numId w:val="36"/>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Alkermes</w:t>
      </w:r>
      <w:r w:rsidRPr="000E5262">
        <w:rPr>
          <w:rFonts w:eastAsia="Times New Roman" w:cs="Times New Roman"/>
          <w:color w:val="auto"/>
          <w:sz w:val="24"/>
          <w:szCs w:val="24"/>
        </w:rPr>
        <w:t xml:space="preserve"> (2018) – MDSAP Audit of Kason Corp (supplier)</w:t>
      </w:r>
    </w:p>
    <w:p w14:paraId="3B8733F8" w14:textId="72F01F43" w:rsidR="000E5262" w:rsidRPr="000E5262" w:rsidRDefault="000E5262" w:rsidP="000E5262">
      <w:pPr>
        <w:numPr>
          <w:ilvl w:val="0"/>
          <w:numId w:val="36"/>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West Pharmaceutical</w:t>
      </w:r>
      <w:r w:rsidRPr="000E5262">
        <w:rPr>
          <w:rFonts w:eastAsia="Times New Roman" w:cs="Times New Roman"/>
          <w:color w:val="auto"/>
          <w:sz w:val="24"/>
          <w:szCs w:val="24"/>
        </w:rPr>
        <w:t xml:space="preserve"> (2018) – ISO 13485:2016 Audit (compliance)</w:t>
      </w:r>
    </w:p>
    <w:p w14:paraId="4CE189E2" w14:textId="77777777" w:rsidR="000E5262" w:rsidRPr="000E5262" w:rsidRDefault="000E5262" w:rsidP="000E5262">
      <w:pPr>
        <w:numPr>
          <w:ilvl w:val="0"/>
          <w:numId w:val="36"/>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Terumo BCT</w:t>
      </w:r>
      <w:r w:rsidRPr="000E5262">
        <w:rPr>
          <w:rFonts w:eastAsia="Times New Roman" w:cs="Times New Roman"/>
          <w:color w:val="auto"/>
          <w:sz w:val="24"/>
          <w:szCs w:val="24"/>
        </w:rPr>
        <w:t xml:space="preserve"> (2019) – Internal Audit of PMS System for EU MDR alignment</w:t>
      </w:r>
    </w:p>
    <w:p w14:paraId="03738650" w14:textId="175D16D8" w:rsidR="000E5262" w:rsidRPr="000E5262" w:rsidRDefault="000E5262" w:rsidP="000E5262">
      <w:pPr>
        <w:numPr>
          <w:ilvl w:val="0"/>
          <w:numId w:val="36"/>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Innovative Product Brands</w:t>
      </w:r>
      <w:r w:rsidRPr="000E5262">
        <w:rPr>
          <w:rFonts w:eastAsia="Times New Roman" w:cs="Times New Roman"/>
          <w:color w:val="auto"/>
          <w:sz w:val="24"/>
          <w:szCs w:val="24"/>
        </w:rPr>
        <w:t xml:space="preserve"> (2021) – ISO 13485:2016 </w:t>
      </w:r>
      <w:r w:rsidR="00287706">
        <w:rPr>
          <w:rFonts w:eastAsia="Times New Roman" w:cs="Times New Roman"/>
          <w:color w:val="auto"/>
          <w:sz w:val="24"/>
          <w:szCs w:val="24"/>
        </w:rPr>
        <w:t>(Implementation and compliance</w:t>
      </w:r>
    </w:p>
    <w:p w14:paraId="01F44B10" w14:textId="77777777" w:rsidR="000E5262" w:rsidRPr="000E5262" w:rsidRDefault="000E5262" w:rsidP="000E5262">
      <w:pPr>
        <w:spacing w:before="100" w:beforeAutospacing="1" w:after="100" w:afterAutospacing="1"/>
        <w:jc w:val="left"/>
        <w:outlineLvl w:val="1"/>
        <w:rPr>
          <w:rFonts w:eastAsia="Times New Roman" w:cs="Times New Roman"/>
          <w:b/>
          <w:bCs/>
          <w:color w:val="auto"/>
          <w:sz w:val="36"/>
          <w:szCs w:val="36"/>
        </w:rPr>
      </w:pPr>
      <w:r w:rsidRPr="000E5262">
        <w:rPr>
          <w:rFonts w:eastAsia="Times New Roman" w:cs="Times New Roman"/>
          <w:b/>
          <w:bCs/>
          <w:color w:val="auto"/>
          <w:sz w:val="36"/>
          <w:szCs w:val="36"/>
        </w:rPr>
        <w:t>Core Competencies</w:t>
      </w:r>
    </w:p>
    <w:p w14:paraId="13F0476F"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International Policy &amp; Regulatory Affairs</w:t>
      </w:r>
    </w:p>
    <w:p w14:paraId="03F11DA9" w14:textId="77777777" w:rsidR="000E5262" w:rsidRPr="000E5262" w:rsidRDefault="000E5262" w:rsidP="000E5262">
      <w:pPr>
        <w:numPr>
          <w:ilvl w:val="0"/>
          <w:numId w:val="37"/>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Global regulatory landscape navigation</w:t>
      </w:r>
      <w:r w:rsidRPr="000E5262">
        <w:rPr>
          <w:rFonts w:eastAsia="Times New Roman" w:cs="Times New Roman"/>
          <w:color w:val="auto"/>
          <w:sz w:val="24"/>
          <w:szCs w:val="24"/>
        </w:rPr>
        <w:t xml:space="preserve"> across medical device and emerging technology sectors</w:t>
      </w:r>
    </w:p>
    <w:p w14:paraId="540B8694" w14:textId="77777777" w:rsidR="000E5262" w:rsidRPr="000E5262" w:rsidRDefault="000E5262" w:rsidP="000E5262">
      <w:pPr>
        <w:numPr>
          <w:ilvl w:val="0"/>
          <w:numId w:val="37"/>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International standards implementation</w:t>
      </w:r>
      <w:r w:rsidRPr="000E5262">
        <w:rPr>
          <w:rFonts w:eastAsia="Times New Roman" w:cs="Times New Roman"/>
          <w:color w:val="auto"/>
          <w:sz w:val="24"/>
          <w:szCs w:val="24"/>
        </w:rPr>
        <w:t xml:space="preserve"> (ISO 13485, EU MDR/IVDR, MDSAP, FDA QSR)</w:t>
      </w:r>
    </w:p>
    <w:p w14:paraId="5936BFB8" w14:textId="77777777" w:rsidR="000E5262" w:rsidRPr="000E5262" w:rsidRDefault="000E5262" w:rsidP="000E5262">
      <w:pPr>
        <w:numPr>
          <w:ilvl w:val="0"/>
          <w:numId w:val="37"/>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Cross-border compliance strategy</w:t>
      </w:r>
      <w:r w:rsidRPr="000E5262">
        <w:rPr>
          <w:rFonts w:eastAsia="Times New Roman" w:cs="Times New Roman"/>
          <w:color w:val="auto"/>
          <w:sz w:val="24"/>
          <w:szCs w:val="24"/>
        </w:rPr>
        <w:t xml:space="preserve"> development and execution</w:t>
      </w:r>
    </w:p>
    <w:p w14:paraId="2465DB86" w14:textId="77777777" w:rsidR="000E5262" w:rsidRPr="000E5262" w:rsidRDefault="000E5262" w:rsidP="000E5262">
      <w:pPr>
        <w:numPr>
          <w:ilvl w:val="0"/>
          <w:numId w:val="37"/>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Emerging technology regulation</w:t>
      </w:r>
      <w:r w:rsidRPr="000E5262">
        <w:rPr>
          <w:rFonts w:eastAsia="Times New Roman" w:cs="Times New Roman"/>
          <w:color w:val="auto"/>
          <w:sz w:val="24"/>
          <w:szCs w:val="24"/>
        </w:rPr>
        <w:t xml:space="preserve"> including EU AI Act and U.S. AI frameworks</w:t>
      </w:r>
    </w:p>
    <w:p w14:paraId="72A369CF"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Stakeholder Engagement &amp; Relationship Building</w:t>
      </w:r>
    </w:p>
    <w:p w14:paraId="021F2B01" w14:textId="77777777" w:rsidR="000E5262" w:rsidRPr="000E5262" w:rsidRDefault="000E5262" w:rsidP="000E5262">
      <w:pPr>
        <w:numPr>
          <w:ilvl w:val="0"/>
          <w:numId w:val="38"/>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Competent authority engagement</w:t>
      </w:r>
      <w:r w:rsidRPr="000E5262">
        <w:rPr>
          <w:rFonts w:eastAsia="Times New Roman" w:cs="Times New Roman"/>
          <w:color w:val="auto"/>
          <w:sz w:val="24"/>
          <w:szCs w:val="24"/>
        </w:rPr>
        <w:t xml:space="preserve"> with proven track record across FDA, Health Canada, BSI, DEKRA, TGA, MHRA, SWISSMEDIC</w:t>
      </w:r>
    </w:p>
    <w:p w14:paraId="00C18222" w14:textId="77777777" w:rsidR="000E5262" w:rsidRPr="000E5262" w:rsidRDefault="000E5262" w:rsidP="000E5262">
      <w:pPr>
        <w:numPr>
          <w:ilvl w:val="0"/>
          <w:numId w:val="38"/>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International team leadership</w:t>
      </w:r>
      <w:r w:rsidRPr="000E5262">
        <w:rPr>
          <w:rFonts w:eastAsia="Times New Roman" w:cs="Times New Roman"/>
          <w:color w:val="auto"/>
          <w:sz w:val="24"/>
          <w:szCs w:val="24"/>
        </w:rPr>
        <w:t xml:space="preserve"> managing cross-functional global initiatives</w:t>
      </w:r>
    </w:p>
    <w:p w14:paraId="1AAA11BF" w14:textId="77777777" w:rsidR="000E5262" w:rsidRPr="000E5262" w:rsidRDefault="000E5262" w:rsidP="000E5262">
      <w:pPr>
        <w:numPr>
          <w:ilvl w:val="0"/>
          <w:numId w:val="38"/>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Strategic partnership development</w:t>
      </w:r>
      <w:r w:rsidRPr="000E5262">
        <w:rPr>
          <w:rFonts w:eastAsia="Times New Roman" w:cs="Times New Roman"/>
          <w:color w:val="auto"/>
          <w:sz w:val="24"/>
          <w:szCs w:val="24"/>
        </w:rPr>
        <w:t xml:space="preserve"> with regulatory bodies and industry stakeholders</w:t>
      </w:r>
    </w:p>
    <w:p w14:paraId="09778A20" w14:textId="77777777" w:rsidR="000E5262" w:rsidRPr="000E5262" w:rsidRDefault="000E5262" w:rsidP="000E5262">
      <w:pPr>
        <w:numPr>
          <w:ilvl w:val="0"/>
          <w:numId w:val="38"/>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Complex technical communication</w:t>
      </w:r>
      <w:r w:rsidRPr="000E5262">
        <w:rPr>
          <w:rFonts w:eastAsia="Times New Roman" w:cs="Times New Roman"/>
          <w:color w:val="auto"/>
          <w:sz w:val="24"/>
          <w:szCs w:val="24"/>
        </w:rPr>
        <w:t xml:space="preserve"> to diverse international audiences</w:t>
      </w:r>
    </w:p>
    <w:p w14:paraId="49FAA7C0"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lastRenderedPageBreak/>
        <w:t>Strategic Program Management</w:t>
      </w:r>
    </w:p>
    <w:p w14:paraId="300250A4" w14:textId="77777777" w:rsidR="000E5262" w:rsidRPr="000E5262" w:rsidRDefault="000E5262" w:rsidP="000E5262">
      <w:pPr>
        <w:numPr>
          <w:ilvl w:val="0"/>
          <w:numId w:val="3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International regulatory transition management</w:t>
      </w:r>
      <w:r w:rsidRPr="000E5262">
        <w:rPr>
          <w:rFonts w:eastAsia="Times New Roman" w:cs="Times New Roman"/>
          <w:color w:val="auto"/>
          <w:sz w:val="24"/>
          <w:szCs w:val="24"/>
        </w:rPr>
        <w:t xml:space="preserve"> (EU MDR, UKCA implementation)</w:t>
      </w:r>
    </w:p>
    <w:p w14:paraId="63DC721A" w14:textId="77777777" w:rsidR="000E5262" w:rsidRPr="000E5262" w:rsidRDefault="000E5262" w:rsidP="000E5262">
      <w:pPr>
        <w:numPr>
          <w:ilvl w:val="0"/>
          <w:numId w:val="3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Global surveillance system development</w:t>
      </w:r>
      <w:r w:rsidRPr="000E5262">
        <w:rPr>
          <w:rFonts w:eastAsia="Times New Roman" w:cs="Times New Roman"/>
          <w:color w:val="auto"/>
          <w:sz w:val="24"/>
          <w:szCs w:val="24"/>
        </w:rPr>
        <w:t xml:space="preserve"> and optimization</w:t>
      </w:r>
    </w:p>
    <w:p w14:paraId="1B123713" w14:textId="77777777" w:rsidR="000E5262" w:rsidRPr="000E5262" w:rsidRDefault="000E5262" w:rsidP="000E5262">
      <w:pPr>
        <w:numPr>
          <w:ilvl w:val="0"/>
          <w:numId w:val="3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Cross-functional project coordination</w:t>
      </w:r>
      <w:r w:rsidRPr="000E5262">
        <w:rPr>
          <w:rFonts w:eastAsia="Times New Roman" w:cs="Times New Roman"/>
          <w:color w:val="auto"/>
          <w:sz w:val="24"/>
          <w:szCs w:val="24"/>
        </w:rPr>
        <w:t xml:space="preserve"> across international markets</w:t>
      </w:r>
    </w:p>
    <w:p w14:paraId="24D78F66" w14:textId="77777777" w:rsidR="000E5262" w:rsidRPr="000E5262" w:rsidRDefault="000E5262" w:rsidP="000E5262">
      <w:pPr>
        <w:numPr>
          <w:ilvl w:val="0"/>
          <w:numId w:val="39"/>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Risk assessment and mitigation</w:t>
      </w:r>
      <w:r w:rsidRPr="000E5262">
        <w:rPr>
          <w:rFonts w:eastAsia="Times New Roman" w:cs="Times New Roman"/>
          <w:color w:val="auto"/>
          <w:sz w:val="24"/>
          <w:szCs w:val="24"/>
        </w:rPr>
        <w:t xml:space="preserve"> for global compliance initiatives</w:t>
      </w:r>
    </w:p>
    <w:p w14:paraId="7CA4F812" w14:textId="77777777" w:rsidR="000E5262" w:rsidRPr="000E5262" w:rsidRDefault="000E5262" w:rsidP="000E5262">
      <w:pPr>
        <w:spacing w:before="100" w:beforeAutospacing="1" w:after="100" w:afterAutospacing="1"/>
        <w:jc w:val="left"/>
        <w:outlineLvl w:val="1"/>
        <w:rPr>
          <w:rFonts w:eastAsia="Times New Roman" w:cs="Times New Roman"/>
          <w:b/>
          <w:bCs/>
          <w:color w:val="auto"/>
          <w:sz w:val="36"/>
          <w:szCs w:val="36"/>
        </w:rPr>
      </w:pPr>
      <w:r w:rsidRPr="000E5262">
        <w:rPr>
          <w:rFonts w:eastAsia="Times New Roman" w:cs="Times New Roman"/>
          <w:b/>
          <w:bCs/>
          <w:color w:val="auto"/>
          <w:sz w:val="36"/>
          <w:szCs w:val="36"/>
        </w:rPr>
        <w:t>Technical Expertise</w:t>
      </w:r>
    </w:p>
    <w:p w14:paraId="5FCDB755"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Regulatory Frameworks</w:t>
      </w:r>
    </w:p>
    <w:p w14:paraId="71FF2E30" w14:textId="77777777" w:rsidR="000E5262" w:rsidRPr="000E5262" w:rsidRDefault="000E5262" w:rsidP="000E5262">
      <w:pPr>
        <w:numPr>
          <w:ilvl w:val="0"/>
          <w:numId w:val="40"/>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EU MDR 2017/745 &amp; EU IVDR 2017/746</w:t>
      </w:r>
    </w:p>
    <w:p w14:paraId="659BE05F" w14:textId="77777777" w:rsidR="000E5262" w:rsidRPr="000E5262" w:rsidRDefault="000E5262" w:rsidP="000E5262">
      <w:pPr>
        <w:numPr>
          <w:ilvl w:val="0"/>
          <w:numId w:val="40"/>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ISO 13485 (Quality Management Systems)</w:t>
      </w:r>
    </w:p>
    <w:p w14:paraId="27FB7CF2" w14:textId="77777777" w:rsidR="000E5262" w:rsidRPr="000E5262" w:rsidRDefault="000E5262" w:rsidP="000E5262">
      <w:pPr>
        <w:numPr>
          <w:ilvl w:val="0"/>
          <w:numId w:val="40"/>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ISO 14971 (Risk Management for Medical Devices)</w:t>
      </w:r>
    </w:p>
    <w:p w14:paraId="75F520FC" w14:textId="77777777" w:rsidR="000E5262" w:rsidRPr="000E5262" w:rsidRDefault="000E5262" w:rsidP="000E5262">
      <w:pPr>
        <w:numPr>
          <w:ilvl w:val="0"/>
          <w:numId w:val="40"/>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FDA QSR &amp; 21 CFR Part 820</w:t>
      </w:r>
    </w:p>
    <w:p w14:paraId="57FF51EA" w14:textId="77777777" w:rsidR="000E5262" w:rsidRPr="000E5262" w:rsidRDefault="000E5262" w:rsidP="000E5262">
      <w:pPr>
        <w:numPr>
          <w:ilvl w:val="0"/>
          <w:numId w:val="40"/>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UKCA Requirements</w:t>
      </w:r>
    </w:p>
    <w:p w14:paraId="78F66D46" w14:textId="77777777" w:rsidR="000E5262" w:rsidRPr="000E5262" w:rsidRDefault="000E5262" w:rsidP="000E5262">
      <w:pPr>
        <w:numPr>
          <w:ilvl w:val="0"/>
          <w:numId w:val="40"/>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MDSAP (Medical Device Single Audit Program)</w:t>
      </w:r>
    </w:p>
    <w:p w14:paraId="20CB0C85" w14:textId="77777777" w:rsidR="000E5262" w:rsidRPr="000E5262" w:rsidRDefault="000E5262" w:rsidP="000E5262">
      <w:pPr>
        <w:numPr>
          <w:ilvl w:val="0"/>
          <w:numId w:val="40"/>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EU AI Act &amp; U.S. AI Frameworks</w:t>
      </w:r>
    </w:p>
    <w:p w14:paraId="28AC07FC" w14:textId="77777777" w:rsidR="000E5262" w:rsidRPr="000E5262" w:rsidRDefault="000E5262" w:rsidP="000E5262">
      <w:pPr>
        <w:numPr>
          <w:ilvl w:val="0"/>
          <w:numId w:val="40"/>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ISO/IEC 42001 AIMS Standard</w:t>
      </w:r>
    </w:p>
    <w:p w14:paraId="6ABB14D4"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International Markets Experience</w:t>
      </w:r>
    </w:p>
    <w:p w14:paraId="261AF165" w14:textId="77777777" w:rsidR="000E5262" w:rsidRPr="000E5262" w:rsidRDefault="000E5262" w:rsidP="000E5262">
      <w:pPr>
        <w:numPr>
          <w:ilvl w:val="0"/>
          <w:numId w:val="41"/>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European Union</w:t>
      </w:r>
      <w:r w:rsidRPr="000E5262">
        <w:rPr>
          <w:rFonts w:eastAsia="Times New Roman" w:cs="Times New Roman"/>
          <w:color w:val="auto"/>
          <w:sz w:val="24"/>
          <w:szCs w:val="24"/>
        </w:rPr>
        <w:t xml:space="preserve"> (27 member states)</w:t>
      </w:r>
    </w:p>
    <w:p w14:paraId="72AB6423" w14:textId="77777777" w:rsidR="000E5262" w:rsidRPr="000E5262" w:rsidRDefault="000E5262" w:rsidP="000E5262">
      <w:pPr>
        <w:numPr>
          <w:ilvl w:val="0"/>
          <w:numId w:val="41"/>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United Kingdom</w:t>
      </w:r>
      <w:r w:rsidRPr="000E5262">
        <w:rPr>
          <w:rFonts w:eastAsia="Times New Roman" w:cs="Times New Roman"/>
          <w:color w:val="auto"/>
          <w:sz w:val="24"/>
          <w:szCs w:val="24"/>
        </w:rPr>
        <w:t xml:space="preserve"> (post-Brexit UKCA)</w:t>
      </w:r>
    </w:p>
    <w:p w14:paraId="342D989D" w14:textId="77777777" w:rsidR="000E5262" w:rsidRPr="000E5262" w:rsidRDefault="000E5262" w:rsidP="000E5262">
      <w:pPr>
        <w:numPr>
          <w:ilvl w:val="0"/>
          <w:numId w:val="41"/>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North America</w:t>
      </w:r>
      <w:r w:rsidRPr="000E5262">
        <w:rPr>
          <w:rFonts w:eastAsia="Times New Roman" w:cs="Times New Roman"/>
          <w:color w:val="auto"/>
          <w:sz w:val="24"/>
          <w:szCs w:val="24"/>
        </w:rPr>
        <w:t xml:space="preserve"> (USA, Canada)</w:t>
      </w:r>
    </w:p>
    <w:p w14:paraId="5444894A" w14:textId="77777777" w:rsidR="000E5262" w:rsidRPr="000E5262" w:rsidRDefault="000E5262" w:rsidP="000E5262">
      <w:pPr>
        <w:numPr>
          <w:ilvl w:val="0"/>
          <w:numId w:val="41"/>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Asia-Pacific</w:t>
      </w:r>
      <w:r w:rsidRPr="000E5262">
        <w:rPr>
          <w:rFonts w:eastAsia="Times New Roman" w:cs="Times New Roman"/>
          <w:color w:val="auto"/>
          <w:sz w:val="24"/>
          <w:szCs w:val="24"/>
        </w:rPr>
        <w:t xml:space="preserve"> (Japan, Australia)</w:t>
      </w:r>
    </w:p>
    <w:p w14:paraId="6453B5F2" w14:textId="77777777" w:rsidR="000E5262" w:rsidRPr="000E5262" w:rsidRDefault="000E5262" w:rsidP="000E5262">
      <w:pPr>
        <w:numPr>
          <w:ilvl w:val="0"/>
          <w:numId w:val="41"/>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Latin America</w:t>
      </w:r>
      <w:r w:rsidRPr="000E5262">
        <w:rPr>
          <w:rFonts w:eastAsia="Times New Roman" w:cs="Times New Roman"/>
          <w:color w:val="auto"/>
          <w:sz w:val="24"/>
          <w:szCs w:val="24"/>
        </w:rPr>
        <w:t xml:space="preserve"> (Mexico, Brazil)</w:t>
      </w:r>
    </w:p>
    <w:p w14:paraId="7A77EB7D" w14:textId="77777777" w:rsidR="000E5262" w:rsidRPr="000E5262" w:rsidRDefault="000E5262" w:rsidP="000E5262">
      <w:pPr>
        <w:numPr>
          <w:ilvl w:val="0"/>
          <w:numId w:val="41"/>
        </w:numPr>
        <w:spacing w:before="100" w:beforeAutospacing="1" w:after="100" w:afterAutospacing="1"/>
        <w:jc w:val="left"/>
        <w:rPr>
          <w:rFonts w:eastAsia="Times New Roman" w:cs="Times New Roman"/>
          <w:color w:val="auto"/>
          <w:sz w:val="24"/>
          <w:szCs w:val="24"/>
        </w:rPr>
      </w:pPr>
      <w:r w:rsidRPr="000E5262">
        <w:rPr>
          <w:rFonts w:eastAsia="Times New Roman" w:cs="Times New Roman"/>
          <w:b/>
          <w:bCs/>
          <w:color w:val="auto"/>
          <w:sz w:val="24"/>
          <w:szCs w:val="24"/>
        </w:rPr>
        <w:t>EMEA Region</w:t>
      </w:r>
      <w:r w:rsidRPr="000E5262">
        <w:rPr>
          <w:rFonts w:eastAsia="Times New Roman" w:cs="Times New Roman"/>
          <w:color w:val="auto"/>
          <w:sz w:val="24"/>
          <w:szCs w:val="24"/>
        </w:rPr>
        <w:t xml:space="preserve"> (19 EU countries + additional markets)</w:t>
      </w:r>
    </w:p>
    <w:p w14:paraId="65920DCC" w14:textId="77777777" w:rsidR="000E5262" w:rsidRPr="000E5262" w:rsidRDefault="000E5262" w:rsidP="000E5262">
      <w:pPr>
        <w:spacing w:before="100" w:beforeAutospacing="1" w:after="100" w:afterAutospacing="1"/>
        <w:jc w:val="left"/>
        <w:outlineLvl w:val="2"/>
        <w:rPr>
          <w:rFonts w:eastAsia="Times New Roman" w:cs="Times New Roman"/>
          <w:b/>
          <w:bCs/>
          <w:color w:val="auto"/>
          <w:sz w:val="27"/>
          <w:szCs w:val="27"/>
        </w:rPr>
      </w:pPr>
      <w:r w:rsidRPr="000E5262">
        <w:rPr>
          <w:rFonts w:eastAsia="Times New Roman" w:cs="Times New Roman"/>
          <w:b/>
          <w:bCs/>
          <w:color w:val="auto"/>
          <w:sz w:val="27"/>
          <w:szCs w:val="27"/>
        </w:rPr>
        <w:t>Specialized Skills</w:t>
      </w:r>
    </w:p>
    <w:p w14:paraId="2F2840D3" w14:textId="77777777" w:rsidR="000E5262" w:rsidRPr="000E5262" w:rsidRDefault="000E5262" w:rsidP="000E5262">
      <w:pPr>
        <w:numPr>
          <w:ilvl w:val="0"/>
          <w:numId w:val="42"/>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International post-market surveillance program development</w:t>
      </w:r>
    </w:p>
    <w:p w14:paraId="364B9FD7" w14:textId="77777777" w:rsidR="000E5262" w:rsidRPr="000E5262" w:rsidRDefault="000E5262" w:rsidP="000E5262">
      <w:pPr>
        <w:numPr>
          <w:ilvl w:val="0"/>
          <w:numId w:val="42"/>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Global risk assessment and management methodologies</w:t>
      </w:r>
    </w:p>
    <w:p w14:paraId="0E3FD5FF" w14:textId="77777777" w:rsidR="000E5262" w:rsidRPr="000E5262" w:rsidRDefault="000E5262" w:rsidP="000E5262">
      <w:pPr>
        <w:numPr>
          <w:ilvl w:val="0"/>
          <w:numId w:val="42"/>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Multi-jurisdictional regulatory submission coordination</w:t>
      </w:r>
    </w:p>
    <w:p w14:paraId="420157C7" w14:textId="77777777" w:rsidR="000E5262" w:rsidRPr="000E5262" w:rsidRDefault="000E5262" w:rsidP="000E5262">
      <w:pPr>
        <w:numPr>
          <w:ilvl w:val="0"/>
          <w:numId w:val="42"/>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International audit management and regulatory inspection preparation</w:t>
      </w:r>
    </w:p>
    <w:p w14:paraId="4891335A" w14:textId="77777777" w:rsidR="000E5262" w:rsidRPr="000E5262" w:rsidRDefault="000E5262" w:rsidP="000E5262">
      <w:pPr>
        <w:numPr>
          <w:ilvl w:val="0"/>
          <w:numId w:val="42"/>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Cross-cultural team leadership and stakeholder engagement</w:t>
      </w:r>
    </w:p>
    <w:p w14:paraId="056BD72B" w14:textId="77777777" w:rsidR="000E5262" w:rsidRPr="000E5262" w:rsidRDefault="000E5262" w:rsidP="000E5262">
      <w:pPr>
        <w:numPr>
          <w:ilvl w:val="0"/>
          <w:numId w:val="42"/>
        </w:numPr>
        <w:spacing w:before="100" w:beforeAutospacing="1" w:after="100" w:afterAutospacing="1"/>
        <w:jc w:val="left"/>
        <w:rPr>
          <w:rFonts w:eastAsia="Times New Roman" w:cs="Times New Roman"/>
          <w:color w:val="auto"/>
          <w:sz w:val="24"/>
          <w:szCs w:val="24"/>
        </w:rPr>
      </w:pPr>
      <w:r w:rsidRPr="000E5262">
        <w:rPr>
          <w:rFonts w:eastAsia="Times New Roman" w:cs="Times New Roman"/>
          <w:color w:val="auto"/>
          <w:sz w:val="24"/>
          <w:szCs w:val="24"/>
        </w:rPr>
        <w:t>Emerging technology regulatory framework development</w:t>
      </w:r>
    </w:p>
    <w:p w14:paraId="450F8BE9" w14:textId="77777777" w:rsidR="00C41D3C" w:rsidRPr="000E5262" w:rsidRDefault="00C41D3C" w:rsidP="000E5262"/>
    <w:sectPr w:rsidR="00C41D3C" w:rsidRPr="000E5262" w:rsidSect="00214A2C">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D879E" w14:textId="77777777" w:rsidR="0093765E" w:rsidRDefault="0093765E" w:rsidP="009A6207">
      <w:r>
        <w:separator/>
      </w:r>
    </w:p>
  </w:endnote>
  <w:endnote w:type="continuationSeparator" w:id="0">
    <w:p w14:paraId="638158EB" w14:textId="77777777" w:rsidR="0093765E" w:rsidRDefault="0093765E" w:rsidP="009A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2B10D" w14:textId="77777777" w:rsidR="0093765E" w:rsidRDefault="0093765E" w:rsidP="009A6207">
      <w:r>
        <w:separator/>
      </w:r>
    </w:p>
  </w:footnote>
  <w:footnote w:type="continuationSeparator" w:id="0">
    <w:p w14:paraId="10371ECB" w14:textId="77777777" w:rsidR="0093765E" w:rsidRDefault="0093765E" w:rsidP="009A6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6EC"/>
    <w:multiLevelType w:val="multilevel"/>
    <w:tmpl w:val="E104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02CC2"/>
    <w:multiLevelType w:val="multilevel"/>
    <w:tmpl w:val="A17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40C53"/>
    <w:multiLevelType w:val="multilevel"/>
    <w:tmpl w:val="D9B46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887582A"/>
    <w:multiLevelType w:val="multilevel"/>
    <w:tmpl w:val="F49CC5A8"/>
    <w:lvl w:ilvl="0">
      <w:start w:val="1"/>
      <w:numFmt w:val="bullet"/>
      <w:lvlText w:val=""/>
      <w:lvlJc w:val="left"/>
      <w:pPr>
        <w:ind w:left="240" w:firstLine="0"/>
      </w:pPr>
      <w:rPr>
        <w:rFonts w:ascii="Symbol" w:hAnsi="Symbol" w:hint="default"/>
        <w:sz w:val="12"/>
        <w:szCs w:val="1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950670D"/>
    <w:multiLevelType w:val="multilevel"/>
    <w:tmpl w:val="748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004A9"/>
    <w:multiLevelType w:val="multilevel"/>
    <w:tmpl w:val="D034D36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15:restartNumberingAfterBreak="0">
    <w:nsid w:val="0CF12D5C"/>
    <w:multiLevelType w:val="multilevel"/>
    <w:tmpl w:val="A96A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E1D24"/>
    <w:multiLevelType w:val="multilevel"/>
    <w:tmpl w:val="3304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B1C87"/>
    <w:multiLevelType w:val="multilevel"/>
    <w:tmpl w:val="3F2C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B4658"/>
    <w:multiLevelType w:val="multilevel"/>
    <w:tmpl w:val="B62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266A22"/>
    <w:multiLevelType w:val="multilevel"/>
    <w:tmpl w:val="BB3A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C69A5"/>
    <w:multiLevelType w:val="hybridMultilevel"/>
    <w:tmpl w:val="7C124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C8664B6"/>
    <w:multiLevelType w:val="multilevel"/>
    <w:tmpl w:val="EA40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C45F4"/>
    <w:multiLevelType w:val="hybridMultilevel"/>
    <w:tmpl w:val="69B01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2E36B0"/>
    <w:multiLevelType w:val="multilevel"/>
    <w:tmpl w:val="80E4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0247F"/>
    <w:multiLevelType w:val="hybridMultilevel"/>
    <w:tmpl w:val="BB0C7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D54519"/>
    <w:multiLevelType w:val="hybridMultilevel"/>
    <w:tmpl w:val="05A4E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E2315E"/>
    <w:multiLevelType w:val="multilevel"/>
    <w:tmpl w:val="4A16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A1F5D"/>
    <w:multiLevelType w:val="multilevel"/>
    <w:tmpl w:val="B4D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C2A95"/>
    <w:multiLevelType w:val="multilevel"/>
    <w:tmpl w:val="A526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F3BB3"/>
    <w:multiLevelType w:val="multilevel"/>
    <w:tmpl w:val="EF4A88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373C35BC"/>
    <w:multiLevelType w:val="multilevel"/>
    <w:tmpl w:val="708C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34B7A"/>
    <w:multiLevelType w:val="multilevel"/>
    <w:tmpl w:val="A0E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874E6"/>
    <w:multiLevelType w:val="multilevel"/>
    <w:tmpl w:val="FA7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F633E0"/>
    <w:multiLevelType w:val="hybridMultilevel"/>
    <w:tmpl w:val="AC8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E834C4D"/>
    <w:multiLevelType w:val="multilevel"/>
    <w:tmpl w:val="B78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17061"/>
    <w:multiLevelType w:val="hybridMultilevel"/>
    <w:tmpl w:val="FDD6B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34B2BC8"/>
    <w:multiLevelType w:val="hybridMultilevel"/>
    <w:tmpl w:val="94564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B14351"/>
    <w:multiLevelType w:val="hybridMultilevel"/>
    <w:tmpl w:val="5E009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547D8E"/>
    <w:multiLevelType w:val="hybridMultilevel"/>
    <w:tmpl w:val="0AE2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92067C"/>
    <w:multiLevelType w:val="multilevel"/>
    <w:tmpl w:val="CC84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775C8E"/>
    <w:multiLevelType w:val="multilevel"/>
    <w:tmpl w:val="185C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7659C"/>
    <w:multiLevelType w:val="multilevel"/>
    <w:tmpl w:val="AD84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981D29"/>
    <w:multiLevelType w:val="hybridMultilevel"/>
    <w:tmpl w:val="D0ACE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11213F"/>
    <w:multiLevelType w:val="multilevel"/>
    <w:tmpl w:val="5EA40E40"/>
    <w:lvl w:ilvl="0">
      <w:start w:val="1"/>
      <w:numFmt w:val="bullet"/>
      <w:lvlText w:val="■"/>
      <w:lvlJc w:val="left"/>
      <w:pPr>
        <w:ind w:left="240" w:firstLine="0"/>
      </w:pPr>
      <w:rPr>
        <w:rFonts w:ascii="Arial" w:eastAsia="Arial" w:hAnsi="Arial" w:cs="Arial"/>
        <w:sz w:val="12"/>
        <w:szCs w:val="1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6E1735AB"/>
    <w:multiLevelType w:val="multilevel"/>
    <w:tmpl w:val="412A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AF4C30"/>
    <w:multiLevelType w:val="multilevel"/>
    <w:tmpl w:val="19F2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9B0572"/>
    <w:multiLevelType w:val="multilevel"/>
    <w:tmpl w:val="0AA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DE562A"/>
    <w:multiLevelType w:val="multilevel"/>
    <w:tmpl w:val="9AEE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7E518F"/>
    <w:multiLevelType w:val="multilevel"/>
    <w:tmpl w:val="5A5C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50DD6"/>
    <w:multiLevelType w:val="hybridMultilevel"/>
    <w:tmpl w:val="191EE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C3243E"/>
    <w:multiLevelType w:val="multilevel"/>
    <w:tmpl w:val="4CCE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369012">
    <w:abstractNumId w:val="2"/>
  </w:num>
  <w:num w:numId="2" w16cid:durableId="532423529">
    <w:abstractNumId w:val="5"/>
  </w:num>
  <w:num w:numId="3" w16cid:durableId="2010517508">
    <w:abstractNumId w:val="20"/>
  </w:num>
  <w:num w:numId="4" w16cid:durableId="1576473319">
    <w:abstractNumId w:val="34"/>
  </w:num>
  <w:num w:numId="5" w16cid:durableId="457601078">
    <w:abstractNumId w:val="41"/>
  </w:num>
  <w:num w:numId="6" w16cid:durableId="1636369723">
    <w:abstractNumId w:val="13"/>
  </w:num>
  <w:num w:numId="7" w16cid:durableId="512885386">
    <w:abstractNumId w:val="33"/>
  </w:num>
  <w:num w:numId="8" w16cid:durableId="250479871">
    <w:abstractNumId w:val="26"/>
  </w:num>
  <w:num w:numId="9" w16cid:durableId="1457065549">
    <w:abstractNumId w:val="3"/>
  </w:num>
  <w:num w:numId="10" w16cid:durableId="920674351">
    <w:abstractNumId w:val="11"/>
  </w:num>
  <w:num w:numId="11" w16cid:durableId="756175381">
    <w:abstractNumId w:val="40"/>
  </w:num>
  <w:num w:numId="12" w16cid:durableId="1460801072">
    <w:abstractNumId w:val="27"/>
  </w:num>
  <w:num w:numId="13" w16cid:durableId="1051001014">
    <w:abstractNumId w:val="9"/>
  </w:num>
  <w:num w:numId="14" w16cid:durableId="1600337517">
    <w:abstractNumId w:val="16"/>
  </w:num>
  <w:num w:numId="15" w16cid:durableId="1252734932">
    <w:abstractNumId w:val="28"/>
  </w:num>
  <w:num w:numId="16" w16cid:durableId="1884244472">
    <w:abstractNumId w:val="15"/>
  </w:num>
  <w:num w:numId="17" w16cid:durableId="550926892">
    <w:abstractNumId w:val="24"/>
  </w:num>
  <w:num w:numId="18" w16cid:durableId="521089605">
    <w:abstractNumId w:val="29"/>
  </w:num>
  <w:num w:numId="19" w16cid:durableId="720058221">
    <w:abstractNumId w:val="12"/>
  </w:num>
  <w:num w:numId="20" w16cid:durableId="470444946">
    <w:abstractNumId w:val="4"/>
  </w:num>
  <w:num w:numId="21" w16cid:durableId="926504677">
    <w:abstractNumId w:val="8"/>
  </w:num>
  <w:num w:numId="22" w16cid:durableId="878934928">
    <w:abstractNumId w:val="32"/>
  </w:num>
  <w:num w:numId="23" w16cid:durableId="1658219949">
    <w:abstractNumId w:val="6"/>
  </w:num>
  <w:num w:numId="24" w16cid:durableId="744497978">
    <w:abstractNumId w:val="25"/>
  </w:num>
  <w:num w:numId="25" w16cid:durableId="1435325133">
    <w:abstractNumId w:val="10"/>
  </w:num>
  <w:num w:numId="26" w16cid:durableId="547226521">
    <w:abstractNumId w:val="22"/>
  </w:num>
  <w:num w:numId="27" w16cid:durableId="180432415">
    <w:abstractNumId w:val="21"/>
  </w:num>
  <w:num w:numId="28" w16cid:durableId="1231382527">
    <w:abstractNumId w:val="17"/>
  </w:num>
  <w:num w:numId="29" w16cid:durableId="1853564142">
    <w:abstractNumId w:val="37"/>
  </w:num>
  <w:num w:numId="30" w16cid:durableId="66273971">
    <w:abstractNumId w:val="0"/>
  </w:num>
  <w:num w:numId="31" w16cid:durableId="1053625590">
    <w:abstractNumId w:val="7"/>
  </w:num>
  <w:num w:numId="32" w16cid:durableId="773018702">
    <w:abstractNumId w:val="39"/>
  </w:num>
  <w:num w:numId="33" w16cid:durableId="1136023940">
    <w:abstractNumId w:val="38"/>
  </w:num>
  <w:num w:numId="34" w16cid:durableId="173303278">
    <w:abstractNumId w:val="36"/>
  </w:num>
  <w:num w:numId="35" w16cid:durableId="2076126560">
    <w:abstractNumId w:val="23"/>
  </w:num>
  <w:num w:numId="36" w16cid:durableId="1721784476">
    <w:abstractNumId w:val="35"/>
  </w:num>
  <w:num w:numId="37" w16cid:durableId="1695375846">
    <w:abstractNumId w:val="14"/>
  </w:num>
  <w:num w:numId="38" w16cid:durableId="2000494716">
    <w:abstractNumId w:val="1"/>
  </w:num>
  <w:num w:numId="39" w16cid:durableId="1474299197">
    <w:abstractNumId w:val="30"/>
  </w:num>
  <w:num w:numId="40" w16cid:durableId="1901475457">
    <w:abstractNumId w:val="19"/>
  </w:num>
  <w:num w:numId="41" w16cid:durableId="304088780">
    <w:abstractNumId w:val="18"/>
  </w:num>
  <w:num w:numId="42" w16cid:durableId="106734422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D3C"/>
    <w:rsid w:val="00001616"/>
    <w:rsid w:val="00022133"/>
    <w:rsid w:val="000361DD"/>
    <w:rsid w:val="00047249"/>
    <w:rsid w:val="00055C28"/>
    <w:rsid w:val="00063223"/>
    <w:rsid w:val="00063DBA"/>
    <w:rsid w:val="000701C0"/>
    <w:rsid w:val="00073A21"/>
    <w:rsid w:val="00075DAA"/>
    <w:rsid w:val="0007670A"/>
    <w:rsid w:val="000833E9"/>
    <w:rsid w:val="00084E17"/>
    <w:rsid w:val="00091B4E"/>
    <w:rsid w:val="000A6757"/>
    <w:rsid w:val="000A7B2C"/>
    <w:rsid w:val="000B1527"/>
    <w:rsid w:val="000B46B9"/>
    <w:rsid w:val="000C5DE7"/>
    <w:rsid w:val="000D273A"/>
    <w:rsid w:val="000E5262"/>
    <w:rsid w:val="000E7A62"/>
    <w:rsid w:val="000F0119"/>
    <w:rsid w:val="00110168"/>
    <w:rsid w:val="001164EE"/>
    <w:rsid w:val="00124B0C"/>
    <w:rsid w:val="00135A67"/>
    <w:rsid w:val="0014422E"/>
    <w:rsid w:val="00154C42"/>
    <w:rsid w:val="00155557"/>
    <w:rsid w:val="0016418D"/>
    <w:rsid w:val="00173EC9"/>
    <w:rsid w:val="0018117A"/>
    <w:rsid w:val="0018318E"/>
    <w:rsid w:val="00185BAF"/>
    <w:rsid w:val="001963AF"/>
    <w:rsid w:val="001A207B"/>
    <w:rsid w:val="001B3CEE"/>
    <w:rsid w:val="001B6BC7"/>
    <w:rsid w:val="001C1C5F"/>
    <w:rsid w:val="001D40B5"/>
    <w:rsid w:val="001D732C"/>
    <w:rsid w:val="001D7467"/>
    <w:rsid w:val="001E05F4"/>
    <w:rsid w:val="001E1D6C"/>
    <w:rsid w:val="001F13B7"/>
    <w:rsid w:val="001F791E"/>
    <w:rsid w:val="00201163"/>
    <w:rsid w:val="00214A2C"/>
    <w:rsid w:val="00225218"/>
    <w:rsid w:val="0022747B"/>
    <w:rsid w:val="00231449"/>
    <w:rsid w:val="00231BE5"/>
    <w:rsid w:val="002463B7"/>
    <w:rsid w:val="00250A9C"/>
    <w:rsid w:val="00254004"/>
    <w:rsid w:val="00256D78"/>
    <w:rsid w:val="002665DD"/>
    <w:rsid w:val="00271021"/>
    <w:rsid w:val="002766E8"/>
    <w:rsid w:val="00284F41"/>
    <w:rsid w:val="00287706"/>
    <w:rsid w:val="00294231"/>
    <w:rsid w:val="002A2E42"/>
    <w:rsid w:val="002A4178"/>
    <w:rsid w:val="002A7A4D"/>
    <w:rsid w:val="002F4FF8"/>
    <w:rsid w:val="00322420"/>
    <w:rsid w:val="00323FB9"/>
    <w:rsid w:val="00335633"/>
    <w:rsid w:val="00337C2E"/>
    <w:rsid w:val="00341CE6"/>
    <w:rsid w:val="00346929"/>
    <w:rsid w:val="003502E5"/>
    <w:rsid w:val="00354D44"/>
    <w:rsid w:val="0037384D"/>
    <w:rsid w:val="003743DA"/>
    <w:rsid w:val="003C4148"/>
    <w:rsid w:val="003C4CD5"/>
    <w:rsid w:val="003D767E"/>
    <w:rsid w:val="003E2C5F"/>
    <w:rsid w:val="003F5BB5"/>
    <w:rsid w:val="003F77DC"/>
    <w:rsid w:val="00403358"/>
    <w:rsid w:val="00413B58"/>
    <w:rsid w:val="00417CE0"/>
    <w:rsid w:val="00420E1E"/>
    <w:rsid w:val="00421B1B"/>
    <w:rsid w:val="00436BEC"/>
    <w:rsid w:val="00441279"/>
    <w:rsid w:val="00443551"/>
    <w:rsid w:val="00447EC8"/>
    <w:rsid w:val="00454941"/>
    <w:rsid w:val="00466D7E"/>
    <w:rsid w:val="004702EA"/>
    <w:rsid w:val="00486A13"/>
    <w:rsid w:val="00490E22"/>
    <w:rsid w:val="00491D77"/>
    <w:rsid w:val="004937FA"/>
    <w:rsid w:val="00495DCC"/>
    <w:rsid w:val="00496CFF"/>
    <w:rsid w:val="004A38D9"/>
    <w:rsid w:val="004A4112"/>
    <w:rsid w:val="004B5D30"/>
    <w:rsid w:val="004B69AE"/>
    <w:rsid w:val="004B7E8A"/>
    <w:rsid w:val="004C182B"/>
    <w:rsid w:val="004C774B"/>
    <w:rsid w:val="004D19E9"/>
    <w:rsid w:val="004D39D1"/>
    <w:rsid w:val="004D5DBF"/>
    <w:rsid w:val="004D662C"/>
    <w:rsid w:val="00501A9C"/>
    <w:rsid w:val="00532684"/>
    <w:rsid w:val="005425DC"/>
    <w:rsid w:val="00543C6D"/>
    <w:rsid w:val="00546C3E"/>
    <w:rsid w:val="005553AE"/>
    <w:rsid w:val="00556EC8"/>
    <w:rsid w:val="00557E9F"/>
    <w:rsid w:val="00575A58"/>
    <w:rsid w:val="00581936"/>
    <w:rsid w:val="0058490A"/>
    <w:rsid w:val="00584A15"/>
    <w:rsid w:val="00597BD6"/>
    <w:rsid w:val="005A4DAD"/>
    <w:rsid w:val="005B04E9"/>
    <w:rsid w:val="005C3980"/>
    <w:rsid w:val="005C3BE1"/>
    <w:rsid w:val="005C415D"/>
    <w:rsid w:val="005D1B36"/>
    <w:rsid w:val="005E18AA"/>
    <w:rsid w:val="005E6203"/>
    <w:rsid w:val="0060438F"/>
    <w:rsid w:val="0061410B"/>
    <w:rsid w:val="00641EA1"/>
    <w:rsid w:val="00642E36"/>
    <w:rsid w:val="00642E95"/>
    <w:rsid w:val="0064572A"/>
    <w:rsid w:val="00654B00"/>
    <w:rsid w:val="00655AB8"/>
    <w:rsid w:val="00656557"/>
    <w:rsid w:val="00656D0A"/>
    <w:rsid w:val="006623FB"/>
    <w:rsid w:val="00667E9E"/>
    <w:rsid w:val="0067026B"/>
    <w:rsid w:val="006736C9"/>
    <w:rsid w:val="006837ED"/>
    <w:rsid w:val="006855DD"/>
    <w:rsid w:val="006871FF"/>
    <w:rsid w:val="00691B0B"/>
    <w:rsid w:val="006A5A95"/>
    <w:rsid w:val="006A6ABC"/>
    <w:rsid w:val="006A7CEA"/>
    <w:rsid w:val="006B0A78"/>
    <w:rsid w:val="006B3CBA"/>
    <w:rsid w:val="006B7918"/>
    <w:rsid w:val="006D0430"/>
    <w:rsid w:val="006E25AB"/>
    <w:rsid w:val="006F23CF"/>
    <w:rsid w:val="006F26B0"/>
    <w:rsid w:val="0070264F"/>
    <w:rsid w:val="00703127"/>
    <w:rsid w:val="00703F29"/>
    <w:rsid w:val="007040FA"/>
    <w:rsid w:val="00710770"/>
    <w:rsid w:val="00712A3B"/>
    <w:rsid w:val="0071588F"/>
    <w:rsid w:val="00717BD9"/>
    <w:rsid w:val="0072395B"/>
    <w:rsid w:val="00730DFD"/>
    <w:rsid w:val="0073139B"/>
    <w:rsid w:val="007333EE"/>
    <w:rsid w:val="0074612D"/>
    <w:rsid w:val="007507A6"/>
    <w:rsid w:val="007514A6"/>
    <w:rsid w:val="007521AF"/>
    <w:rsid w:val="007610FD"/>
    <w:rsid w:val="00772154"/>
    <w:rsid w:val="007733DA"/>
    <w:rsid w:val="00776F2A"/>
    <w:rsid w:val="0078477A"/>
    <w:rsid w:val="007868B9"/>
    <w:rsid w:val="00790805"/>
    <w:rsid w:val="00792C12"/>
    <w:rsid w:val="007971FD"/>
    <w:rsid w:val="007A755E"/>
    <w:rsid w:val="007B0AC1"/>
    <w:rsid w:val="007B36C0"/>
    <w:rsid w:val="007B7A5C"/>
    <w:rsid w:val="007C47A7"/>
    <w:rsid w:val="007C514A"/>
    <w:rsid w:val="007C7652"/>
    <w:rsid w:val="007D41F1"/>
    <w:rsid w:val="007E3489"/>
    <w:rsid w:val="007F3686"/>
    <w:rsid w:val="00804635"/>
    <w:rsid w:val="00823000"/>
    <w:rsid w:val="00832011"/>
    <w:rsid w:val="0083719F"/>
    <w:rsid w:val="00842590"/>
    <w:rsid w:val="00843F1A"/>
    <w:rsid w:val="00845305"/>
    <w:rsid w:val="00856E80"/>
    <w:rsid w:val="00860D11"/>
    <w:rsid w:val="008715E3"/>
    <w:rsid w:val="00876858"/>
    <w:rsid w:val="008833B8"/>
    <w:rsid w:val="00894646"/>
    <w:rsid w:val="008A26FF"/>
    <w:rsid w:val="008B3270"/>
    <w:rsid w:val="008C4548"/>
    <w:rsid w:val="008C4E31"/>
    <w:rsid w:val="008D1F18"/>
    <w:rsid w:val="008D20FD"/>
    <w:rsid w:val="008D4FB5"/>
    <w:rsid w:val="008D7261"/>
    <w:rsid w:val="008D7EC3"/>
    <w:rsid w:val="008E5027"/>
    <w:rsid w:val="008E57C2"/>
    <w:rsid w:val="009051D8"/>
    <w:rsid w:val="009079A1"/>
    <w:rsid w:val="00911104"/>
    <w:rsid w:val="009114F8"/>
    <w:rsid w:val="009206C0"/>
    <w:rsid w:val="0093239C"/>
    <w:rsid w:val="00935AA1"/>
    <w:rsid w:val="0093765E"/>
    <w:rsid w:val="009535D6"/>
    <w:rsid w:val="00955970"/>
    <w:rsid w:val="00964835"/>
    <w:rsid w:val="00972D5F"/>
    <w:rsid w:val="0097463E"/>
    <w:rsid w:val="009829D2"/>
    <w:rsid w:val="00991804"/>
    <w:rsid w:val="009A082E"/>
    <w:rsid w:val="009A6207"/>
    <w:rsid w:val="009B2E5C"/>
    <w:rsid w:val="009C233F"/>
    <w:rsid w:val="009C2838"/>
    <w:rsid w:val="009D47BD"/>
    <w:rsid w:val="009E4E17"/>
    <w:rsid w:val="009E7BDE"/>
    <w:rsid w:val="009F2FA9"/>
    <w:rsid w:val="009F40FA"/>
    <w:rsid w:val="00A021F2"/>
    <w:rsid w:val="00A04E8B"/>
    <w:rsid w:val="00A04EDD"/>
    <w:rsid w:val="00A10A4B"/>
    <w:rsid w:val="00A13402"/>
    <w:rsid w:val="00A14165"/>
    <w:rsid w:val="00A16A04"/>
    <w:rsid w:val="00A22A06"/>
    <w:rsid w:val="00A30891"/>
    <w:rsid w:val="00A30B2E"/>
    <w:rsid w:val="00A32653"/>
    <w:rsid w:val="00A375BE"/>
    <w:rsid w:val="00A4022D"/>
    <w:rsid w:val="00A45352"/>
    <w:rsid w:val="00A45A11"/>
    <w:rsid w:val="00A46197"/>
    <w:rsid w:val="00A508C7"/>
    <w:rsid w:val="00A608B2"/>
    <w:rsid w:val="00A6240E"/>
    <w:rsid w:val="00A62D33"/>
    <w:rsid w:val="00A74F22"/>
    <w:rsid w:val="00AA38DA"/>
    <w:rsid w:val="00AA4F26"/>
    <w:rsid w:val="00AC051F"/>
    <w:rsid w:val="00AC180A"/>
    <w:rsid w:val="00AC2471"/>
    <w:rsid w:val="00B00B3D"/>
    <w:rsid w:val="00B04501"/>
    <w:rsid w:val="00B115C2"/>
    <w:rsid w:val="00B13171"/>
    <w:rsid w:val="00B24148"/>
    <w:rsid w:val="00B2450B"/>
    <w:rsid w:val="00B277E2"/>
    <w:rsid w:val="00B3115D"/>
    <w:rsid w:val="00B37474"/>
    <w:rsid w:val="00B51FE7"/>
    <w:rsid w:val="00B53171"/>
    <w:rsid w:val="00B5715B"/>
    <w:rsid w:val="00B64DC3"/>
    <w:rsid w:val="00B65AB2"/>
    <w:rsid w:val="00B73BDF"/>
    <w:rsid w:val="00B746CB"/>
    <w:rsid w:val="00B80D69"/>
    <w:rsid w:val="00B90C6C"/>
    <w:rsid w:val="00B949EF"/>
    <w:rsid w:val="00BA53B3"/>
    <w:rsid w:val="00BA6255"/>
    <w:rsid w:val="00BC04F2"/>
    <w:rsid w:val="00BC097C"/>
    <w:rsid w:val="00BC182D"/>
    <w:rsid w:val="00BC19AB"/>
    <w:rsid w:val="00BC62D5"/>
    <w:rsid w:val="00BD1099"/>
    <w:rsid w:val="00BD20AE"/>
    <w:rsid w:val="00BD44E5"/>
    <w:rsid w:val="00BE4C7A"/>
    <w:rsid w:val="00BF2E3A"/>
    <w:rsid w:val="00C0583A"/>
    <w:rsid w:val="00C34968"/>
    <w:rsid w:val="00C409A3"/>
    <w:rsid w:val="00C41D3C"/>
    <w:rsid w:val="00C50ADD"/>
    <w:rsid w:val="00C54286"/>
    <w:rsid w:val="00C562E6"/>
    <w:rsid w:val="00C64733"/>
    <w:rsid w:val="00C80318"/>
    <w:rsid w:val="00C959A7"/>
    <w:rsid w:val="00CB3526"/>
    <w:rsid w:val="00CB61BA"/>
    <w:rsid w:val="00CC76AF"/>
    <w:rsid w:val="00CD255A"/>
    <w:rsid w:val="00CE0671"/>
    <w:rsid w:val="00CE08EC"/>
    <w:rsid w:val="00CE141D"/>
    <w:rsid w:val="00D014B7"/>
    <w:rsid w:val="00D121ED"/>
    <w:rsid w:val="00D21E44"/>
    <w:rsid w:val="00D22F4B"/>
    <w:rsid w:val="00D25566"/>
    <w:rsid w:val="00D36D20"/>
    <w:rsid w:val="00D37A51"/>
    <w:rsid w:val="00D40F79"/>
    <w:rsid w:val="00D5290F"/>
    <w:rsid w:val="00D849BD"/>
    <w:rsid w:val="00D926B0"/>
    <w:rsid w:val="00DA6583"/>
    <w:rsid w:val="00DC14A7"/>
    <w:rsid w:val="00DC16E8"/>
    <w:rsid w:val="00DC2B6E"/>
    <w:rsid w:val="00DC310A"/>
    <w:rsid w:val="00DC4657"/>
    <w:rsid w:val="00DD5A93"/>
    <w:rsid w:val="00DD778D"/>
    <w:rsid w:val="00DF67B2"/>
    <w:rsid w:val="00DF6D1F"/>
    <w:rsid w:val="00E327FD"/>
    <w:rsid w:val="00E3480A"/>
    <w:rsid w:val="00E348CB"/>
    <w:rsid w:val="00E4415D"/>
    <w:rsid w:val="00E44652"/>
    <w:rsid w:val="00E472F9"/>
    <w:rsid w:val="00E52BB9"/>
    <w:rsid w:val="00E55E44"/>
    <w:rsid w:val="00E64E5B"/>
    <w:rsid w:val="00E67225"/>
    <w:rsid w:val="00E7274E"/>
    <w:rsid w:val="00E81952"/>
    <w:rsid w:val="00E85D3D"/>
    <w:rsid w:val="00EB11FC"/>
    <w:rsid w:val="00EB20A3"/>
    <w:rsid w:val="00EC1ADD"/>
    <w:rsid w:val="00EC20B2"/>
    <w:rsid w:val="00EC389C"/>
    <w:rsid w:val="00ED0237"/>
    <w:rsid w:val="00ED025D"/>
    <w:rsid w:val="00ED3C9B"/>
    <w:rsid w:val="00ED5867"/>
    <w:rsid w:val="00ED5A73"/>
    <w:rsid w:val="00EE389C"/>
    <w:rsid w:val="00EE5CA3"/>
    <w:rsid w:val="00EE6204"/>
    <w:rsid w:val="00EF40AF"/>
    <w:rsid w:val="00F0592C"/>
    <w:rsid w:val="00F17C39"/>
    <w:rsid w:val="00F3332C"/>
    <w:rsid w:val="00F33D06"/>
    <w:rsid w:val="00F34494"/>
    <w:rsid w:val="00F40687"/>
    <w:rsid w:val="00F41673"/>
    <w:rsid w:val="00F4659F"/>
    <w:rsid w:val="00F551E9"/>
    <w:rsid w:val="00F65A2D"/>
    <w:rsid w:val="00F835A3"/>
    <w:rsid w:val="00F8592A"/>
    <w:rsid w:val="00FA1B49"/>
    <w:rsid w:val="00FA21E8"/>
    <w:rsid w:val="00FA3A60"/>
    <w:rsid w:val="00FB2572"/>
    <w:rsid w:val="00FC4D08"/>
    <w:rsid w:val="00FF1733"/>
    <w:rsid w:val="00FF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C31B7"/>
  <w15:docId w15:val="{F760A7D5-71A1-42BC-8BCA-442CA03D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Garamond" w:hAnsi="Garamond" w:cs="Garamond"/>
        <w:color w:val="000000"/>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4494"/>
  </w:style>
  <w:style w:type="paragraph" w:styleId="Heading1">
    <w:name w:val="heading 1"/>
    <w:basedOn w:val="Normal"/>
    <w:next w:val="Normal"/>
    <w:pPr>
      <w:keepNext/>
      <w:keepLines/>
      <w:spacing w:before="240" w:after="240"/>
      <w:ind w:left="-2160"/>
      <w:jc w:val="left"/>
      <w:outlineLvl w:val="0"/>
    </w:pPr>
    <w:rPr>
      <w:smallCaps/>
      <w:sz w:val="23"/>
      <w:szCs w:val="23"/>
    </w:rPr>
  </w:style>
  <w:style w:type="paragraph" w:styleId="Heading2">
    <w:name w:val="heading 2"/>
    <w:basedOn w:val="Normal"/>
    <w:next w:val="Normal"/>
    <w:pPr>
      <w:keepNext/>
      <w:keepLines/>
      <w:spacing w:before="240" w:after="240"/>
      <w:jc w:val="left"/>
      <w:outlineLvl w:val="1"/>
    </w:pPr>
    <w:rPr>
      <w:smallCaps/>
      <w:sz w:val="20"/>
      <w:szCs w:val="20"/>
    </w:rPr>
  </w:style>
  <w:style w:type="paragraph" w:styleId="Heading3">
    <w:name w:val="heading 3"/>
    <w:basedOn w:val="Normal"/>
    <w:next w:val="Normal"/>
    <w:pPr>
      <w:keepNext/>
      <w:keepLines/>
      <w:spacing w:before="240" w:after="220"/>
      <w:jc w:val="left"/>
      <w:outlineLvl w:val="2"/>
    </w:pPr>
    <w:rPr>
      <w:i/>
      <w:smallCaps/>
      <w:sz w:val="20"/>
      <w:szCs w:val="20"/>
    </w:rPr>
  </w:style>
  <w:style w:type="paragraph" w:styleId="Heading4">
    <w:name w:val="heading 4"/>
    <w:basedOn w:val="Normal"/>
    <w:next w:val="Normal"/>
    <w:pPr>
      <w:keepNext/>
      <w:keepLines/>
      <w:spacing w:before="240"/>
      <w:jc w:val="left"/>
      <w:outlineLvl w:val="3"/>
    </w:pPr>
    <w:rPr>
      <w:i/>
      <w:sz w:val="24"/>
      <w:szCs w:val="24"/>
    </w:rPr>
  </w:style>
  <w:style w:type="paragraph" w:styleId="Heading5">
    <w:name w:val="heading 5"/>
    <w:basedOn w:val="Normal"/>
    <w:next w:val="Normal"/>
    <w:pPr>
      <w:keepNext/>
      <w:keepLines/>
      <w:spacing w:before="240" w:after="220"/>
      <w:jc w:val="left"/>
      <w:outlineLvl w:val="4"/>
    </w:pPr>
    <w:rPr>
      <w:b/>
      <w:smallCaps/>
      <w:sz w:val="18"/>
      <w:szCs w:val="18"/>
    </w:rPr>
  </w:style>
  <w:style w:type="paragraph" w:styleId="Heading6">
    <w:name w:val="heading 6"/>
    <w:basedOn w:val="Normal"/>
    <w:next w:val="Normal"/>
    <w:pPr>
      <w:keepNext/>
      <w:keepLines/>
      <w:spacing w:before="2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507A6"/>
    <w:pPr>
      <w:ind w:left="720"/>
      <w:contextualSpacing/>
    </w:pPr>
  </w:style>
  <w:style w:type="paragraph" w:styleId="Header">
    <w:name w:val="header"/>
    <w:basedOn w:val="Normal"/>
    <w:link w:val="HeaderChar"/>
    <w:uiPriority w:val="99"/>
    <w:unhideWhenUsed/>
    <w:rsid w:val="009A6207"/>
    <w:pPr>
      <w:tabs>
        <w:tab w:val="center" w:pos="4680"/>
        <w:tab w:val="right" w:pos="9360"/>
      </w:tabs>
    </w:pPr>
  </w:style>
  <w:style w:type="character" w:customStyle="1" w:styleId="HeaderChar">
    <w:name w:val="Header Char"/>
    <w:basedOn w:val="DefaultParagraphFont"/>
    <w:link w:val="Header"/>
    <w:uiPriority w:val="99"/>
    <w:rsid w:val="009A6207"/>
  </w:style>
  <w:style w:type="paragraph" w:styleId="Footer">
    <w:name w:val="footer"/>
    <w:basedOn w:val="Normal"/>
    <w:link w:val="FooterChar"/>
    <w:uiPriority w:val="99"/>
    <w:unhideWhenUsed/>
    <w:rsid w:val="009A6207"/>
    <w:pPr>
      <w:tabs>
        <w:tab w:val="center" w:pos="4680"/>
        <w:tab w:val="right" w:pos="9360"/>
      </w:tabs>
    </w:pPr>
  </w:style>
  <w:style w:type="character" w:customStyle="1" w:styleId="FooterChar">
    <w:name w:val="Footer Char"/>
    <w:basedOn w:val="DefaultParagraphFont"/>
    <w:link w:val="Footer"/>
    <w:uiPriority w:val="99"/>
    <w:rsid w:val="009A6207"/>
  </w:style>
  <w:style w:type="character" w:styleId="CommentReference">
    <w:name w:val="annotation reference"/>
    <w:basedOn w:val="DefaultParagraphFont"/>
    <w:unhideWhenUsed/>
    <w:rsid w:val="00214A2C"/>
    <w:rPr>
      <w:sz w:val="16"/>
      <w:szCs w:val="16"/>
    </w:rPr>
  </w:style>
  <w:style w:type="paragraph" w:styleId="CommentText">
    <w:name w:val="annotation text"/>
    <w:basedOn w:val="Normal"/>
    <w:link w:val="CommentTextChar"/>
    <w:uiPriority w:val="99"/>
    <w:unhideWhenUsed/>
    <w:rsid w:val="00214A2C"/>
    <w:rPr>
      <w:sz w:val="20"/>
      <w:szCs w:val="20"/>
    </w:rPr>
  </w:style>
  <w:style w:type="character" w:customStyle="1" w:styleId="CommentTextChar">
    <w:name w:val="Comment Text Char"/>
    <w:basedOn w:val="DefaultParagraphFont"/>
    <w:link w:val="CommentText"/>
    <w:uiPriority w:val="99"/>
    <w:rsid w:val="00214A2C"/>
    <w:rPr>
      <w:sz w:val="20"/>
      <w:szCs w:val="20"/>
    </w:rPr>
  </w:style>
  <w:style w:type="paragraph" w:styleId="CommentSubject">
    <w:name w:val="annotation subject"/>
    <w:basedOn w:val="CommentText"/>
    <w:next w:val="CommentText"/>
    <w:link w:val="CommentSubjectChar"/>
    <w:uiPriority w:val="99"/>
    <w:semiHidden/>
    <w:unhideWhenUsed/>
    <w:rsid w:val="00214A2C"/>
    <w:rPr>
      <w:b/>
      <w:bCs/>
    </w:rPr>
  </w:style>
  <w:style w:type="character" w:customStyle="1" w:styleId="CommentSubjectChar">
    <w:name w:val="Comment Subject Char"/>
    <w:basedOn w:val="CommentTextChar"/>
    <w:link w:val="CommentSubject"/>
    <w:uiPriority w:val="99"/>
    <w:semiHidden/>
    <w:rsid w:val="00214A2C"/>
    <w:rPr>
      <w:b/>
      <w:bCs/>
      <w:sz w:val="20"/>
      <w:szCs w:val="20"/>
    </w:rPr>
  </w:style>
  <w:style w:type="paragraph" w:styleId="BalloonText">
    <w:name w:val="Balloon Text"/>
    <w:basedOn w:val="Normal"/>
    <w:link w:val="BalloonTextChar"/>
    <w:uiPriority w:val="99"/>
    <w:semiHidden/>
    <w:unhideWhenUsed/>
    <w:rsid w:val="00214A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4A2C"/>
    <w:rPr>
      <w:rFonts w:ascii="Times New Roman" w:hAnsi="Times New Roman" w:cs="Times New Roman"/>
      <w:sz w:val="18"/>
      <w:szCs w:val="18"/>
    </w:rPr>
  </w:style>
  <w:style w:type="character" w:styleId="Hyperlink">
    <w:name w:val="Hyperlink"/>
    <w:basedOn w:val="DefaultParagraphFont"/>
    <w:uiPriority w:val="99"/>
    <w:unhideWhenUsed/>
    <w:rsid w:val="00214A2C"/>
    <w:rPr>
      <w:color w:val="0563C1" w:themeColor="hyperlink"/>
      <w:u w:val="single"/>
    </w:rPr>
  </w:style>
  <w:style w:type="character" w:customStyle="1" w:styleId="UnresolvedMention1">
    <w:name w:val="Unresolved Mention1"/>
    <w:basedOn w:val="DefaultParagraphFont"/>
    <w:uiPriority w:val="99"/>
    <w:semiHidden/>
    <w:unhideWhenUsed/>
    <w:rsid w:val="00214A2C"/>
    <w:rPr>
      <w:color w:val="808080"/>
      <w:shd w:val="clear" w:color="auto" w:fill="E6E6E6"/>
    </w:rPr>
  </w:style>
  <w:style w:type="paragraph" w:customStyle="1" w:styleId="yiv8558271467msonormal">
    <w:name w:val="yiv8558271467msonormal"/>
    <w:basedOn w:val="Normal"/>
    <w:rsid w:val="00E348CB"/>
    <w:pPr>
      <w:spacing w:before="100" w:beforeAutospacing="1" w:after="100" w:afterAutospacing="1"/>
      <w:jc w:val="left"/>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110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467522">
      <w:bodyDiv w:val="1"/>
      <w:marLeft w:val="0"/>
      <w:marRight w:val="0"/>
      <w:marTop w:val="0"/>
      <w:marBottom w:val="0"/>
      <w:divBdr>
        <w:top w:val="none" w:sz="0" w:space="0" w:color="auto"/>
        <w:left w:val="none" w:sz="0" w:space="0" w:color="auto"/>
        <w:bottom w:val="none" w:sz="0" w:space="0" w:color="auto"/>
        <w:right w:val="none" w:sz="0" w:space="0" w:color="auto"/>
      </w:divBdr>
    </w:div>
    <w:div w:id="1170633606">
      <w:bodyDiv w:val="1"/>
      <w:marLeft w:val="0"/>
      <w:marRight w:val="0"/>
      <w:marTop w:val="0"/>
      <w:marBottom w:val="0"/>
      <w:divBdr>
        <w:top w:val="none" w:sz="0" w:space="0" w:color="auto"/>
        <w:left w:val="none" w:sz="0" w:space="0" w:color="auto"/>
        <w:bottom w:val="none" w:sz="0" w:space="0" w:color="auto"/>
        <w:right w:val="none" w:sz="0" w:space="0" w:color="auto"/>
      </w:divBdr>
      <w:divsChild>
        <w:div w:id="1149130226">
          <w:marLeft w:val="0"/>
          <w:marRight w:val="0"/>
          <w:marTop w:val="0"/>
          <w:marBottom w:val="0"/>
          <w:divBdr>
            <w:top w:val="none" w:sz="0" w:space="0" w:color="auto"/>
            <w:left w:val="none" w:sz="0" w:space="0" w:color="auto"/>
            <w:bottom w:val="none" w:sz="0" w:space="0" w:color="auto"/>
            <w:right w:val="none" w:sz="0" w:space="0" w:color="auto"/>
          </w:divBdr>
          <w:divsChild>
            <w:div w:id="433090643">
              <w:marLeft w:val="0"/>
              <w:marRight w:val="0"/>
              <w:marTop w:val="0"/>
              <w:marBottom w:val="0"/>
              <w:divBdr>
                <w:top w:val="none" w:sz="0" w:space="0" w:color="auto"/>
                <w:left w:val="none" w:sz="0" w:space="0" w:color="auto"/>
                <w:bottom w:val="none" w:sz="0" w:space="0" w:color="auto"/>
                <w:right w:val="none" w:sz="0" w:space="0" w:color="auto"/>
              </w:divBdr>
              <w:divsChild>
                <w:div w:id="1703481075">
                  <w:marLeft w:val="0"/>
                  <w:marRight w:val="0"/>
                  <w:marTop w:val="0"/>
                  <w:marBottom w:val="0"/>
                  <w:divBdr>
                    <w:top w:val="none" w:sz="0" w:space="0" w:color="auto"/>
                    <w:left w:val="none" w:sz="0" w:space="0" w:color="auto"/>
                    <w:bottom w:val="none" w:sz="0" w:space="0" w:color="auto"/>
                    <w:right w:val="none" w:sz="0" w:space="0" w:color="auto"/>
                  </w:divBdr>
                  <w:divsChild>
                    <w:div w:id="1388214176">
                      <w:marLeft w:val="0"/>
                      <w:marRight w:val="0"/>
                      <w:marTop w:val="100"/>
                      <w:marBottom w:val="100"/>
                      <w:divBdr>
                        <w:top w:val="none" w:sz="0" w:space="0" w:color="auto"/>
                        <w:left w:val="none" w:sz="0" w:space="0" w:color="auto"/>
                        <w:bottom w:val="none" w:sz="0" w:space="0" w:color="auto"/>
                        <w:right w:val="none" w:sz="0" w:space="0" w:color="auto"/>
                      </w:divBdr>
                      <w:divsChild>
                        <w:div w:id="116798663">
                          <w:marLeft w:val="0"/>
                          <w:marRight w:val="0"/>
                          <w:marTop w:val="0"/>
                          <w:marBottom w:val="0"/>
                          <w:divBdr>
                            <w:top w:val="single" w:sz="6" w:space="0" w:color="676566"/>
                            <w:left w:val="single" w:sz="6" w:space="0" w:color="676566"/>
                            <w:bottom w:val="single" w:sz="6" w:space="0" w:color="676566"/>
                            <w:right w:val="single" w:sz="6" w:space="0" w:color="676566"/>
                          </w:divBdr>
                          <w:divsChild>
                            <w:div w:id="492451791">
                              <w:marLeft w:val="0"/>
                              <w:marRight w:val="0"/>
                              <w:marTop w:val="0"/>
                              <w:marBottom w:val="0"/>
                              <w:divBdr>
                                <w:top w:val="none" w:sz="0" w:space="0" w:color="auto"/>
                                <w:left w:val="none" w:sz="0" w:space="0" w:color="auto"/>
                                <w:bottom w:val="none" w:sz="0" w:space="0" w:color="auto"/>
                                <w:right w:val="none" w:sz="0" w:space="0" w:color="auto"/>
                              </w:divBdr>
                              <w:divsChild>
                                <w:div w:id="1851800381">
                                  <w:marLeft w:val="0"/>
                                  <w:marRight w:val="0"/>
                                  <w:marTop w:val="0"/>
                                  <w:marBottom w:val="0"/>
                                  <w:divBdr>
                                    <w:top w:val="none" w:sz="0" w:space="0" w:color="auto"/>
                                    <w:left w:val="none" w:sz="0" w:space="0" w:color="auto"/>
                                    <w:bottom w:val="none" w:sz="0" w:space="0" w:color="auto"/>
                                    <w:right w:val="none" w:sz="0" w:space="0" w:color="auto"/>
                                  </w:divBdr>
                                  <w:divsChild>
                                    <w:div w:id="1331327297">
                                      <w:marLeft w:val="0"/>
                                      <w:marRight w:val="0"/>
                                      <w:marTop w:val="0"/>
                                      <w:marBottom w:val="0"/>
                                      <w:divBdr>
                                        <w:top w:val="none" w:sz="0" w:space="0" w:color="auto"/>
                                        <w:left w:val="none" w:sz="0" w:space="0" w:color="auto"/>
                                        <w:bottom w:val="none" w:sz="0" w:space="0" w:color="auto"/>
                                        <w:right w:val="none" w:sz="0" w:space="0" w:color="auto"/>
                                      </w:divBdr>
                                      <w:divsChild>
                                        <w:div w:id="332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866810">
      <w:bodyDiv w:val="1"/>
      <w:marLeft w:val="0"/>
      <w:marRight w:val="0"/>
      <w:marTop w:val="0"/>
      <w:marBottom w:val="0"/>
      <w:divBdr>
        <w:top w:val="none" w:sz="0" w:space="0" w:color="auto"/>
        <w:left w:val="none" w:sz="0" w:space="0" w:color="auto"/>
        <w:bottom w:val="none" w:sz="0" w:space="0" w:color="auto"/>
        <w:right w:val="none" w:sz="0" w:space="0" w:color="auto"/>
      </w:divBdr>
    </w:div>
    <w:div w:id="1970475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musoni8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4770A-FCC1-414E-9980-C40C53A84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Actavis</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Quality1</dc:creator>
  <cp:lastModifiedBy>Terence Musoni</cp:lastModifiedBy>
  <cp:revision>2</cp:revision>
  <dcterms:created xsi:type="dcterms:W3CDTF">2025-06-27T18:24:00Z</dcterms:created>
  <dcterms:modified xsi:type="dcterms:W3CDTF">2025-06-27T18:24:00Z</dcterms:modified>
</cp:coreProperties>
</file>