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Clinical Evaluation Report - Huggler 2000</w:t>
      </w:r>
    </w:p>
    <w:p>
      <w:r>
        <w:rPr>
          <w:b/>
        </w:rPr>
        <w:t xml:space="preserve">Manufacturer: </w:t>
      </w:r>
      <w:r>
        <w:t>Mastropietro Company</w:t>
      </w:r>
    </w:p>
    <w:p>
      <w:r>
        <w:rPr>
          <w:b/>
        </w:rPr>
        <w:t xml:space="preserve">Document number: </w:t>
      </w:r>
      <w:r>
        <w:t>CER-HUG2000 Rev 2</w:t>
      </w:r>
    </w:p>
    <w:p>
      <w:r>
        <w:rPr>
          <w:b/>
        </w:rPr>
        <w:t xml:space="preserve">Date: </w:t>
      </w:r>
      <w:r>
        <w:t>2023-10-20</w:t>
      </w:r>
    </w:p>
    <w:p>
      <w:pPr>
        <w:pStyle w:val="Heading1"/>
      </w:pPr>
      <w:r>
        <w:t>Device Description</w:t>
      </w:r>
    </w:p>
    <w:p>
      <w:r>
        <w:t>The Huggler 2000 is a hypothetical neonatal comfort and positioning device that provides a gentle, controlled hugging sensation to clinically stable infants under direct supervision. It includes a reusable bedside control unit, low-force pneumatic hug bladders, pressure and temperature sensors, alarm functions, and a single-patient-use textile wrap.</w:t>
      </w:r>
    </w:p>
    <w:p>
      <w:pPr>
        <w:pStyle w:val="Heading1"/>
      </w:pPr>
      <w:r>
        <w:t>Intended Purpose and Users</w:t>
      </w:r>
    </w:p>
    <w:p>
      <w:r>
        <w:t>The device is intended to provide supervised comfort positioning and calming pressure for babies in neonatal and pediatric care environments. It is used by trained neonatal or pediatric healthcare professionals and is not intended to restrain, immobilize, or replace direct monitoring.</w:t>
      </w:r>
    </w:p>
    <w:p>
      <w:pPr>
        <w:pStyle w:val="Heading1"/>
      </w:pPr>
      <w:r>
        <w:t>Clinical Background</w:t>
      </w:r>
    </w:p>
    <w:p>
      <w:r>
        <w:t>The relevant clinical concerns for this device family are pressure control, skin integrity, alarm response, textile compatibility, cleaning residue, and correct sizing. Available post-market information supports continued use when labeling, fit checks, maximum cycle duration, and monitoring requirements are followed.</w:t>
      </w:r>
    </w:p>
    <w:p>
      <w:pPr>
        <w:pStyle w:val="Heading1"/>
      </w:pPr>
      <w:r>
        <w:t>Post-Market Clinical Findings</w:t>
      </w:r>
    </w:p>
    <w:p>
      <w:r>
        <w:t>During the 2023 surveillance period, reported events were primarily transient skin redness, pressure marks, alarm or release issues, textile wear, and temperature alarms. No permanent injury was identified in the example data. Corrective actions focused on sensor calibration, alarm-delay thresholds, quick-release tab bond strength, textile acceptance criteria, and user training.</w:t>
      </w:r>
    </w:p>
    <w:p>
      <w:pPr>
        <w:pStyle w:val="Heading1"/>
      </w:pPr>
      <w:r>
        <w:t>Benefit-Risk Conclusion</w:t>
      </w:r>
    </w:p>
    <w:p>
      <w:r>
        <w:t>The benefit-risk profile remains favorable for the hypothetical intended purpose when the device is used under supervision, within the labeled weight range, and according to fit-check and monitoring instructions. The risk management file should continue to monitor compression, skin-contact, alarm/release, and temperature-related signals.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