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3864"/>
          <w:sz w:val="64"/>
          <w:szCs w:val="64"/>
        </w:rPr>
        <w:t xml:space="preserve">CannaQMS</w:t>
      </w:r>
    </w:p>
    <w:p>
      <w:pPr>
        <w:spacing w:after="240"/>
        <w:jc w:val="center"/>
      </w:pPr>
      <w:r>
        <w:rPr>
          <w:rFonts w:ascii="Arial" w:cs="Arial" w:eastAsia="Arial" w:hAnsi="Arial"/>
          <w:b/>
          <w:bCs/>
          <w:sz w:val="40"/>
          <w:szCs w:val="40"/>
        </w:rPr>
        <w:t xml:space="preserve">Build Specification</w:t>
      </w:r>
    </w:p>
    <w:p>
      <w:pPr>
        <w:spacing w:after="240"/>
        <w:jc w:val="center"/>
      </w:pPr>
      <w:r>
        <w:rPr>
          <w:rFonts w:ascii="Arial" w:cs="Arial" w:eastAsia="Arial" w:hAnsi="Arial"/>
          <w:i/>
          <w:iCs/>
          <w:color w:val="595959"/>
          <w:sz w:val="24"/>
          <w:szCs w:val="24"/>
        </w:rPr>
        <w:t xml:space="preserve">AI-Assisted Quality Management System for Licensed Cannabis Processors</w:t>
      </w:r>
    </w:p>
    <w:p>
      <w:pPr>
        <w:spacing w:after="1200"/>
        <w:jc w:val="center"/>
      </w:pPr>
      <w:r>
        <w:rPr>
          <w:rFonts w:ascii="Arial" w:cs="Arial" w:eastAsia="Arial" w:hAnsi="Arial"/>
          <w:color w:val="595959"/>
          <w:sz w:val="22"/>
          <w:szCs w:val="22"/>
        </w:rPr>
        <w:t xml:space="preserve">ISO 13485:2016  |  ISO/IEC 42001:2023  |  21 CFR Part 11  |  Michigan CRA</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Arial" w:cs="Arial" w:eastAsia="Arial" w:hAnsi="Arial"/>
                <w:b/>
                <w:bCs/>
                <w:sz w:val="22"/>
                <w:szCs w:val="22"/>
              </w:rPr>
              <w:t xml:space="preserve">Product Owner</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Jonathan, Founder, Seed International (Detroit, MI)</w:t>
            </w:r>
          </w:p>
        </w:tc>
      </w:tr>
      <w:tr>
        <w:tc>
          <w:tcPr>
            <w:tcW w:type="dxa" w:w="2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Arial" w:cs="Arial" w:eastAsia="Arial" w:hAnsi="Arial"/>
                <w:b/>
                <w:bCs/>
                <w:sz w:val="22"/>
                <w:szCs w:val="22"/>
              </w:rPr>
              <w:t xml:space="preserve">Document Version</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1.0 — Build Specification</w:t>
            </w:r>
          </w:p>
        </w:tc>
      </w:tr>
      <w:tr>
        <w:tc>
          <w:tcPr>
            <w:tcW w:type="dxa" w:w="2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Arial" w:cs="Arial" w:eastAsia="Arial" w:hAnsi="Arial"/>
                <w:b/>
                <w:bCs/>
                <w:sz w:val="22"/>
                <w:szCs w:val="22"/>
              </w:rPr>
              <w:t xml:space="preserve">Document Date</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May 2, 2026</w:t>
            </w:r>
          </w:p>
        </w:tc>
      </w:tr>
      <w:tr>
        <w:tc>
          <w:tcPr>
            <w:tcW w:type="dxa" w:w="2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Arial" w:cs="Arial" w:eastAsia="Arial" w:hAnsi="Arial"/>
                <w:b/>
                <w:bCs/>
                <w:sz w:val="22"/>
                <w:szCs w:val="22"/>
              </w:rPr>
              <w:t xml:space="preserve">Source Sessions</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Sessions 1 through 49 (March – April 2026)</w:t>
            </w:r>
          </w:p>
        </w:tc>
      </w:tr>
      <w:tr>
        <w:tc>
          <w:tcPr>
            <w:tcW w:type="dxa" w:w="2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MVP build complete; pre-go-live testing in progress</w:t>
            </w:r>
          </w:p>
        </w:tc>
      </w:tr>
    </w:tbl>
    <w:p>
      <w:r>
        <w:br w:type="page"/>
      </w:r>
    </w:p>
    <w:p>
      <w:pPr>
        <w:pStyle w:val="Heading1"/>
        <w:spacing w:after="200" w:before="360"/>
      </w:pPr>
      <w:r>
        <w:rPr>
          <w:rFonts w:ascii="Arial" w:cs="Arial" w:eastAsia="Arial" w:hAnsi="Arial"/>
          <w:b/>
          <w:bCs/>
          <w:color w:val="1F3864"/>
          <w:sz w:val="32"/>
          <w:szCs w:val="32"/>
        </w:rPr>
        <w:t xml:space="preserve">1. Purpose and Positioning</w:t>
      </w:r>
    </w:p>
    <w:p>
      <w:pPr>
        <w:pStyle w:val="Heading2"/>
        <w:spacing w:after="160" w:before="280"/>
      </w:pPr>
      <w:r>
        <w:rPr>
          <w:rFonts w:ascii="Arial" w:cs="Arial" w:eastAsia="Arial" w:hAnsi="Arial"/>
          <w:b/>
          <w:bCs/>
          <w:color w:val="1F3864"/>
          <w:sz w:val="26"/>
          <w:szCs w:val="26"/>
        </w:rPr>
        <w:t xml:space="preserve">1.1 What CannaQMS Is</w:t>
      </w:r>
    </w:p>
    <w:p>
      <w:pPr>
        <w:spacing w:after="120"/>
      </w:pPr>
      <w:r>
        <w:rPr>
          <w:rFonts w:ascii="Arial" w:cs="Arial" w:eastAsia="Arial" w:hAnsi="Arial"/>
          <w:sz w:val="22"/>
          <w:szCs w:val="22"/>
        </w:rPr>
        <w:t xml:space="preserve">CannaQMS is a commercial multi-state SaaS electronic Quality Management System (eQMS) designed specifically for licensed cannabis processors. It is built and sold by Seed International, headquartered in Detroit, Michigan. Michigan is the first commercial market; Illinois, New York, and Pennsylvania follow.</w:t>
      </w:r>
    </w:p>
    <w:p>
      <w:pPr>
        <w:spacing w:after="120"/>
      </w:pPr>
      <w:r>
        <w:rPr>
          <w:rFonts w:ascii="Arial" w:cs="Arial" w:eastAsia="Arial" w:hAnsi="Arial"/>
          <w:sz w:val="22"/>
          <w:szCs w:val="22"/>
        </w:rPr>
        <w:t xml:space="preserve">The product connects two domains that are normally siloed inside cannabis processing operations: the Quality Management System (anchored to ISO 13485:2016 and ISO/IEC 42001:2023) and the production inventory and traceability layer (anchored initially to METRC, with BioTrackTHC and Leaf Data Systems planned). It also integrates AI-assisted workflows throughout, which is itself a differentiator and the reason ISO 42001 is in scope.</w:t>
      </w:r>
    </w:p>
    <w:p>
      <w:pPr>
        <w:pStyle w:val="Heading2"/>
        <w:spacing w:after="160" w:before="280"/>
      </w:pPr>
      <w:r>
        <w:rPr>
          <w:rFonts w:ascii="Arial" w:cs="Arial" w:eastAsia="Arial" w:hAnsi="Arial"/>
          <w:b/>
          <w:bCs/>
          <w:color w:val="1F3864"/>
          <w:sz w:val="26"/>
          <w:szCs w:val="26"/>
        </w:rPr>
        <w:t xml:space="preserve">1.2 What CannaQMS Is Not</w:t>
      </w:r>
    </w:p>
    <w:p>
      <w:pPr>
        <w:pStyle w:val="ListParagraph"/>
        <w:numPr>
          <w:ilvl w:val="0"/>
          <w:numId w:val="2"/>
        </w:numPr>
        <w:spacing w:after="80"/>
      </w:pPr>
      <w:r>
        <w:rPr>
          <w:rFonts w:ascii="Arial" w:cs="Arial" w:eastAsia="Arial" w:hAnsi="Arial"/>
          <w:sz w:val="22"/>
          <w:szCs w:val="22"/>
        </w:rPr>
        <w:t xml:space="preserve">It is not a document repository. It actively guides operators through compliance workflows and automates decisions wherever automation reduces manual error.</w:t>
      </w:r>
    </w:p>
    <w:p>
      <w:pPr>
        <w:pStyle w:val="ListParagraph"/>
        <w:numPr>
          <w:ilvl w:val="0"/>
          <w:numId w:val="2"/>
        </w:numPr>
        <w:spacing w:after="80"/>
      </w:pPr>
      <w:r>
        <w:rPr>
          <w:rFonts w:ascii="Arial" w:cs="Arial" w:eastAsia="Arial" w:hAnsi="Arial"/>
          <w:sz w:val="22"/>
          <w:szCs w:val="22"/>
        </w:rPr>
        <w:t xml:space="preserve">It is not a METRC replacement. METRC remains the state's authoritative seed-to-sale system. CannaQMS hands finished goods off to METRC at batch closure.</w:t>
      </w:r>
    </w:p>
    <w:p>
      <w:pPr>
        <w:pStyle w:val="ListParagraph"/>
        <w:numPr>
          <w:ilvl w:val="0"/>
          <w:numId w:val="2"/>
        </w:numPr>
        <w:spacing w:after="80"/>
      </w:pPr>
      <w:r>
        <w:rPr>
          <w:rFonts w:ascii="Arial" w:cs="Arial" w:eastAsia="Arial" w:hAnsi="Arial"/>
          <w:sz w:val="22"/>
          <w:szCs w:val="22"/>
        </w:rPr>
        <w:t xml:space="preserve">It is not a facility GMP infrastructure system. Food handler training, Food Protection Manager certification, formulation R&amp;D, and facility-level GMP design happen outside the system. CannaQMS captures the regulated outputs of those programs.</w:t>
      </w:r>
    </w:p>
    <w:p>
      <w:pPr>
        <w:pStyle w:val="Heading2"/>
        <w:spacing w:after="160" w:before="280"/>
      </w:pPr>
      <w:r>
        <w:rPr>
          <w:rFonts w:ascii="Arial" w:cs="Arial" w:eastAsia="Arial" w:hAnsi="Arial"/>
          <w:b/>
          <w:bCs/>
          <w:color w:val="1F3864"/>
          <w:sz w:val="26"/>
          <w:szCs w:val="26"/>
        </w:rPr>
        <w:t xml:space="preserve">1.3 Competitive Differentiators</w:t>
      </w:r>
    </w:p>
    <w:p>
      <w:pPr>
        <w:pStyle w:val="ListParagraph"/>
        <w:numPr>
          <w:ilvl w:val="0"/>
          <w:numId w:val="2"/>
        </w:numPr>
        <w:spacing w:after="80"/>
      </w:pPr>
      <w:r>
        <w:rPr>
          <w:rFonts w:ascii="Arial" w:cs="Arial" w:eastAsia="Arial" w:hAnsi="Arial"/>
          <w:sz w:val="22"/>
          <w:szCs w:val="22"/>
        </w:rPr>
        <w:t xml:space="preserve">Workflow-driven compliance, not document storage.</w:t>
      </w:r>
    </w:p>
    <w:p>
      <w:pPr>
        <w:pStyle w:val="ListParagraph"/>
        <w:numPr>
          <w:ilvl w:val="0"/>
          <w:numId w:val="2"/>
        </w:numPr>
        <w:spacing w:after="80"/>
      </w:pPr>
      <w:r>
        <w:rPr>
          <w:rFonts w:ascii="Arial" w:cs="Arial" w:eastAsia="Arial" w:hAnsi="Arial"/>
          <w:sz w:val="22"/>
          <w:szCs w:val="22"/>
        </w:rPr>
        <w:t xml:space="preserve">AI-assisted automation woven into every module — not bolted on as a feature.</w:t>
      </w:r>
    </w:p>
    <w:p>
      <w:pPr>
        <w:pStyle w:val="ListParagraph"/>
        <w:numPr>
          <w:ilvl w:val="0"/>
          <w:numId w:val="2"/>
        </w:numPr>
        <w:spacing w:after="80"/>
      </w:pPr>
      <w:r>
        <w:rPr>
          <w:rFonts w:ascii="Arial" w:cs="Arial" w:eastAsia="Arial" w:hAnsi="Arial"/>
          <w:sz w:val="22"/>
          <w:szCs w:val="22"/>
        </w:rPr>
        <w:t xml:space="preserve">Built for multi-state scaling from day one. State-specific values are configuration, not code.</w:t>
      </w:r>
    </w:p>
    <w:p>
      <w:pPr>
        <w:pStyle w:val="ListParagraph"/>
        <w:numPr>
          <w:ilvl w:val="0"/>
          <w:numId w:val="2"/>
        </w:numPr>
        <w:spacing w:after="80"/>
      </w:pPr>
      <w:r>
        <w:rPr>
          <w:rFonts w:ascii="Arial" w:cs="Arial" w:eastAsia="Arial" w:hAnsi="Arial"/>
          <w:sz w:val="22"/>
          <w:szCs w:val="22"/>
        </w:rPr>
        <w:t xml:space="preserve">Part 11-compliant electronic signatures and a full audit trail on every regulated table from the start, not as a retrofit.</w:t>
      </w:r>
    </w:p>
    <w:p>
      <w:pPr>
        <w:pStyle w:val="ListParagraph"/>
        <w:numPr>
          <w:ilvl w:val="0"/>
          <w:numId w:val="2"/>
        </w:numPr>
        <w:spacing w:after="80"/>
      </w:pPr>
      <w:r>
        <w:rPr>
          <w:rFonts w:ascii="Arial" w:cs="Arial" w:eastAsia="Arial" w:hAnsi="Arial"/>
          <w:sz w:val="22"/>
          <w:szCs w:val="22"/>
        </w:rPr>
        <w:t xml:space="preserve">Designed against the actual regulatory text of each target state, not against generic GMP templates.</w:t>
      </w:r>
    </w:p>
    <w:p>
      <w:r>
        <w:br w:type="page"/>
      </w:r>
    </w:p>
    <w:p>
      <w:pPr>
        <w:pStyle w:val="Heading1"/>
        <w:spacing w:after="200" w:before="360"/>
      </w:pPr>
      <w:r>
        <w:rPr>
          <w:rFonts w:ascii="Arial" w:cs="Arial" w:eastAsia="Arial" w:hAnsi="Arial"/>
          <w:b/>
          <w:bCs/>
          <w:color w:val="1F3864"/>
          <w:sz w:val="32"/>
          <w:szCs w:val="32"/>
        </w:rPr>
        <w:t xml:space="preserve">2. Regulatory Scope</w:t>
      </w:r>
    </w:p>
    <w:p>
      <w:pPr>
        <w:pStyle w:val="Heading2"/>
        <w:spacing w:after="160" w:before="280"/>
      </w:pPr>
      <w:r>
        <w:rPr>
          <w:rFonts w:ascii="Arial" w:cs="Arial" w:eastAsia="Arial" w:hAnsi="Arial"/>
          <w:b/>
          <w:bCs/>
          <w:color w:val="1F3864"/>
          <w:sz w:val="26"/>
          <w:szCs w:val="26"/>
        </w:rPr>
        <w:t xml:space="preserve">2.1 Compliance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Framework</w:t>
            </w:r>
          </w:p>
        </w:tc>
        <w:tc>
          <w:tcPr>
            <w:tcW w:type="dxa" w:w="63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Role in the System</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ISO 13485:2016</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Primary QMS standard. Defines structure for document control, management responsibility, resource management, product realization, measurement and improvement.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ISO/IEC 42001:2023</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AI Management System standard. Governs how the system's AI-assisted features are designed, documented, validated, monitored, and risk-managed. Compliance design session required before first customer deployment.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21 CFR Part 11</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Electronic records and electronic signatures. Every sign-off captures signer initials (validated against the users table), timestamp, signature meaning, and signer user ID.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Michigan CRA — R 420.1 to R 420.1004</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State administrative rules for adult-use marihuana. 119 pages, modified March 18, 2026. Authoritative source for all Michigan-specific labeling, testing, packaging, and processing requirements.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CRA Technical Bulletins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Agency guidance issued outside the rule set. Currently in scope: Sept. 24, 2024 bulletin on MCT oil and Vitamin E Acetate testing for concentrates, effective Oct. 1, 2024.</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METRC</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State track-and-trace system. CannaQMS does not replicate METRC; it parallel-records what METRC requires and hands off finished goods at batch closure.</w:t>
            </w:r>
          </w:p>
        </w:tc>
      </w:tr>
    </w:tbl>
    <w:p>
      <w:pPr>
        <w:pStyle w:val="Heading2"/>
        <w:spacing w:after="160" w:before="280"/>
      </w:pPr>
      <w:r>
        <w:rPr>
          <w:rFonts w:ascii="Arial" w:cs="Arial" w:eastAsia="Arial" w:hAnsi="Arial"/>
          <w:b/>
          <w:bCs/>
          <w:color w:val="1F3864"/>
          <w:sz w:val="26"/>
          <w:szCs w:val="26"/>
        </w:rPr>
        <w:t xml:space="preserve">2.2 Target Market by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State</w:t>
            </w:r>
          </w:p>
        </w:tc>
        <w:tc>
          <w:tcPr>
            <w:tcW w:type="dxa" w:w="2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49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Michigan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Phase 1 — Active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First commercial market. Full rule set verified and wired.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Illinois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Statutory framework loaded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Cannabis Regulation and Tax Act loaded; agency rules pending mapping.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New York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Statutory framework loaded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Cannabis Law loaded; OCM rules pending mapping.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Pennsylvania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Planned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Medical-only market with restricted product forms. Limits scope of the topical and edible modules.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Missouri</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Reference loaded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19 CSR 100 final rules in project for future expansion.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Ohio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Regulatory hold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Processor license statute repealed under S.B. 56 effective March 2026. Hold pending legislative resolution.</w:t>
            </w:r>
          </w:p>
        </w:tc>
      </w:tr>
    </w:tbl>
    <w:p>
      <w:pPr>
        <w:pStyle w:val="Heading2"/>
        <w:spacing w:after="160" w:before="280"/>
      </w:pPr>
      <w:r>
        <w:rPr>
          <w:rFonts w:ascii="Arial" w:cs="Arial" w:eastAsia="Arial" w:hAnsi="Arial"/>
          <w:b/>
          <w:bCs/>
          <w:color w:val="1F3864"/>
          <w:sz w:val="26"/>
          <w:szCs w:val="26"/>
        </w:rPr>
        <w:t xml:space="preserve">2.3 Multi-State Architecture Principle</w:t>
      </w:r>
    </w:p>
    <w:p>
      <w:pPr>
        <w:spacing w:after="120"/>
      </w:pPr>
      <w:r>
        <w:rPr>
          <w:rFonts w:ascii="Arial" w:cs="Arial" w:eastAsia="Arial" w:hAnsi="Arial"/>
          <w:sz w:val="22"/>
          <w:szCs w:val="22"/>
        </w:rPr>
        <w:t xml:space="preserve">Every architectural decision is evaluated for national scalability. State-specific values live in the regulatory_config table, never hardcoded inside a module. This includes potency limits, serving and container thresholds, labeling tolerances, banned analyte lists, action limits, retention periods, and traceability system identifiers.</w:t>
      </w:r>
    </w:p>
    <w:p>
      <w:pPr>
        <w:spacing w:after="120"/>
      </w:pPr>
      <w:r>
        <w:rPr>
          <w:rFonts w:ascii="Arial" w:cs="Arial" w:eastAsia="Arial" w:hAnsi="Arial"/>
          <w:sz w:val="22"/>
          <w:szCs w:val="22"/>
        </w:rPr>
        <w:t xml:space="preserve">The Michigan-specific values currently in use include: 10 mg THC per serving, 200 mg THC per container, ±10% labeled potency tolerance, 4-year records retention. These values exist as data, not constants.</w:t>
      </w:r>
    </w:p>
    <w:p>
      <w:r>
        <w:br w:type="page"/>
      </w:r>
    </w:p>
    <w:p>
      <w:pPr>
        <w:pStyle w:val="Heading1"/>
        <w:spacing w:after="200" w:before="360"/>
      </w:pPr>
      <w:r>
        <w:rPr>
          <w:rFonts w:ascii="Arial" w:cs="Arial" w:eastAsia="Arial" w:hAnsi="Arial"/>
          <w:b/>
          <w:bCs/>
          <w:color w:val="1F3864"/>
          <w:sz w:val="32"/>
          <w:szCs w:val="32"/>
        </w:rPr>
        <w:t xml:space="preserve">3. Technology Stack</w:t>
      </w:r>
    </w:p>
    <w:p>
      <w:pPr>
        <w:pStyle w:val="Heading2"/>
        <w:spacing w:after="160" w:before="280"/>
      </w:pPr>
      <w:r>
        <w:rPr>
          <w:rFonts w:ascii="Arial" w:cs="Arial" w:eastAsia="Arial" w:hAnsi="Arial"/>
          <w:b/>
          <w:bCs/>
          <w:color w:val="1F3864"/>
          <w:sz w:val="26"/>
          <w:szCs w:val="26"/>
        </w:rPr>
        <w:t xml:space="preserve">3.1 Current Stack (Validation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9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Frontend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Retool — drag-and-drop application builder. Used for validation-stage UI only. Replaceable.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Backend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Supabase (PostgreSQL). Schema, RPC functions, views, and row-level security live here. Frontend portability is preserved by keeping business logic in views and RPCs where practical.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Authentication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Interim: localStorage userId resolved at page init against the users table. Production auth (proper session management, MFA, SSO) is deferred to React migration.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Document Generation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Node.js docx package for letter and report generation. TextArea preview pattern in Retool with clipboard copy.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File Attachments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Interim: URL/link references stored in attachment tables. Direct upload to object storage deferred to React migration.</w:t>
            </w:r>
          </w:p>
        </w:tc>
      </w:tr>
    </w:tbl>
    <w:p>
      <w:pPr>
        <w:pStyle w:val="Heading2"/>
        <w:spacing w:after="160" w:before="280"/>
      </w:pPr>
      <w:r>
        <w:rPr>
          <w:rFonts w:ascii="Arial" w:cs="Arial" w:eastAsia="Arial" w:hAnsi="Arial"/>
          <w:b/>
          <w:bCs/>
          <w:color w:val="1F3864"/>
          <w:sz w:val="26"/>
          <w:szCs w:val="26"/>
        </w:rPr>
        <w:t xml:space="preserve">3.2 Production Stack (Post-Migration)</w:t>
      </w:r>
    </w:p>
    <w:p>
      <w:pPr>
        <w:spacing w:after="120"/>
      </w:pPr>
      <w:r>
        <w:rPr>
          <w:rFonts w:ascii="Arial" w:cs="Arial" w:eastAsia="Arial" w:hAnsi="Arial"/>
          <w:sz w:val="22"/>
          <w:szCs w:val="22"/>
        </w:rPr>
        <w:t xml:space="preserve">Migration from Retool/Supabase to React/Next.js is planned once the system is past early-customer validation. Documented gaps to close during migration:</w:t>
      </w:r>
    </w:p>
    <w:p>
      <w:pPr>
        <w:pStyle w:val="ListParagraph"/>
        <w:numPr>
          <w:ilvl w:val="0"/>
          <w:numId w:val="2"/>
        </w:numPr>
        <w:spacing w:after="80"/>
      </w:pPr>
      <w:r>
        <w:rPr>
          <w:rFonts w:ascii="Arial" w:cs="Arial" w:eastAsia="Arial" w:hAnsi="Arial"/>
          <w:sz w:val="22"/>
          <w:szCs w:val="22"/>
        </w:rPr>
        <w:t xml:space="preserve">Direct file upload to S3 or equivalent object storage (replacing the URL placeholder pattern used today).</w:t>
      </w:r>
    </w:p>
    <w:p>
      <w:pPr>
        <w:pStyle w:val="ListParagraph"/>
        <w:numPr>
          <w:ilvl w:val="0"/>
          <w:numId w:val="2"/>
        </w:numPr>
        <w:spacing w:after="80"/>
      </w:pPr>
      <w:r>
        <w:rPr>
          <w:rFonts w:ascii="Arial" w:cs="Arial" w:eastAsia="Arial" w:hAnsi="Arial"/>
          <w:sz w:val="22"/>
          <w:szCs w:val="22"/>
        </w:rPr>
        <w:t xml:space="preserve">Proper authentication with session management, role-based access control enforced server-side, and MFA.</w:t>
      </w:r>
    </w:p>
    <w:p>
      <w:pPr>
        <w:pStyle w:val="ListParagraph"/>
        <w:numPr>
          <w:ilvl w:val="0"/>
          <w:numId w:val="2"/>
        </w:numPr>
        <w:spacing w:after="80"/>
      </w:pPr>
      <w:r>
        <w:rPr>
          <w:rFonts w:ascii="Arial" w:cs="Arial" w:eastAsia="Arial" w:hAnsi="Arial"/>
          <w:sz w:val="22"/>
          <w:szCs w:val="22"/>
        </w:rPr>
        <w:t xml:space="preserve">Server-side enforcement of state-machine guards (currently enforced in the Retool client with Postgres trigger backstop pending).</w:t>
      </w:r>
    </w:p>
    <w:p>
      <w:pPr>
        <w:pStyle w:val="ListParagraph"/>
        <w:numPr>
          <w:ilvl w:val="0"/>
          <w:numId w:val="2"/>
        </w:numPr>
        <w:spacing w:after="80"/>
      </w:pPr>
      <w:r>
        <w:rPr>
          <w:rFonts w:ascii="Arial" w:cs="Arial" w:eastAsia="Arial" w:hAnsi="Arial"/>
          <w:sz w:val="22"/>
          <w:szCs w:val="22"/>
        </w:rPr>
        <w:t xml:space="preserve">METRC API Phase 2 — automated COA result fetching (Phase 1 is manual entry).</w:t>
      </w:r>
    </w:p>
    <w:p>
      <w:pPr>
        <w:pStyle w:val="ListParagraph"/>
        <w:numPr>
          <w:ilvl w:val="0"/>
          <w:numId w:val="2"/>
        </w:numPr>
        <w:spacing w:after="80"/>
      </w:pPr>
      <w:r>
        <w:rPr>
          <w:rFonts w:ascii="Arial" w:cs="Arial" w:eastAsia="Arial" w:hAnsi="Arial"/>
          <w:sz w:val="22"/>
          <w:szCs w:val="22"/>
        </w:rPr>
        <w:t xml:space="preserve">BioTrackTHC and Leaf Data Systems integration.</w:t>
      </w:r>
    </w:p>
    <w:p>
      <w:pPr>
        <w:pStyle w:val="ListParagraph"/>
        <w:numPr>
          <w:ilvl w:val="0"/>
          <w:numId w:val="2"/>
        </w:numPr>
        <w:spacing w:after="80"/>
      </w:pPr>
      <w:r>
        <w:rPr>
          <w:rFonts w:ascii="Arial" w:cs="Arial" w:eastAsia="Arial" w:hAnsi="Arial"/>
          <w:sz w:val="22"/>
          <w:szCs w:val="22"/>
        </w:rPr>
        <w:t xml:space="preserve">Illinois, New York, and Pennsylvania module wiring against state-specific rule sets.</w:t>
      </w:r>
    </w:p>
    <w:p>
      <w:pPr>
        <w:pStyle w:val="Heading2"/>
        <w:spacing w:after="160" w:before="280"/>
      </w:pPr>
      <w:r>
        <w:rPr>
          <w:rFonts w:ascii="Arial" w:cs="Arial" w:eastAsia="Arial" w:hAnsi="Arial"/>
          <w:b/>
          <w:bCs/>
          <w:color w:val="1F3864"/>
          <w:sz w:val="26"/>
          <w:szCs w:val="26"/>
        </w:rPr>
        <w:t xml:space="preserve">3.3 Architectural Constraints (Non-Negotiable)</w:t>
      </w:r>
    </w:p>
    <w:p>
      <w:pPr>
        <w:pStyle w:val="ListParagraph"/>
        <w:numPr>
          <w:ilvl w:val="0"/>
          <w:numId w:val="2"/>
        </w:numPr>
        <w:spacing w:after="80"/>
      </w:pPr>
      <w:r>
        <w:rPr>
          <w:rFonts w:ascii="Arial" w:cs="Arial" w:eastAsia="Arial" w:hAnsi="Arial"/>
          <w:sz w:val="22"/>
          <w:szCs w:val="22"/>
        </w:rPr>
        <w:t xml:space="preserve">Compliance correctness is the highest-priority constraint. A licensed processor relying on incorrect compliance guidance faces license revocation, fines up to $10,000 per day per violation, and potential criminal liability.</w:t>
      </w:r>
    </w:p>
    <w:p>
      <w:pPr>
        <w:pStyle w:val="ListParagraph"/>
        <w:numPr>
          <w:ilvl w:val="0"/>
          <w:numId w:val="2"/>
        </w:numPr>
        <w:spacing w:after="80"/>
      </w:pPr>
      <w:r>
        <w:rPr>
          <w:rFonts w:ascii="Arial" w:cs="Arial" w:eastAsia="Arial" w:hAnsi="Arial"/>
          <w:sz w:val="22"/>
          <w:szCs w:val="22"/>
        </w:rPr>
        <w:t xml:space="preserve">Regulatory source documents are authoritative. When in conflict with developer memory, AI memory, or convenience, the source document wins.</w:t>
      </w:r>
    </w:p>
    <w:p>
      <w:pPr>
        <w:pStyle w:val="ListParagraph"/>
        <w:numPr>
          <w:ilvl w:val="0"/>
          <w:numId w:val="2"/>
        </w:numPr>
        <w:spacing w:after="80"/>
      </w:pPr>
      <w:r>
        <w:rPr>
          <w:rFonts w:ascii="Arial" w:cs="Arial" w:eastAsia="Arial" w:hAnsi="Arial"/>
          <w:sz w:val="22"/>
          <w:szCs w:val="22"/>
        </w:rPr>
        <w:t xml:space="preserve">Multi-state scalability. No state-specific value lives in a module.</w:t>
      </w:r>
    </w:p>
    <w:p>
      <w:pPr>
        <w:pStyle w:val="ListParagraph"/>
        <w:numPr>
          <w:ilvl w:val="0"/>
          <w:numId w:val="2"/>
        </w:numPr>
        <w:spacing w:after="80"/>
      </w:pPr>
      <w:r>
        <w:rPr>
          <w:rFonts w:ascii="Arial" w:cs="Arial" w:eastAsia="Arial" w:hAnsi="Arial"/>
          <w:sz w:val="22"/>
          <w:szCs w:val="22"/>
        </w:rPr>
        <w:t xml:space="preserve">Part 11 enforcement on every electronic signature event from day one.</w:t>
      </w:r>
    </w:p>
    <w:p>
      <w:pPr>
        <w:pStyle w:val="ListParagraph"/>
        <w:numPr>
          <w:ilvl w:val="0"/>
          <w:numId w:val="2"/>
        </w:numPr>
        <w:spacing w:after="80"/>
      </w:pPr>
      <w:r>
        <w:rPr>
          <w:rFonts w:ascii="Arial" w:cs="Arial" w:eastAsia="Arial" w:hAnsi="Arial"/>
          <w:sz w:val="22"/>
          <w:szCs w:val="22"/>
        </w:rPr>
        <w:t xml:space="preserve">Full audit trail on every regulated table — currently 139 active triggers covering all regulated tables.</w:t>
      </w:r>
    </w:p>
    <w:p>
      <w:r>
        <w:br w:type="page"/>
      </w:r>
    </w:p>
    <w:p>
      <w:pPr>
        <w:pStyle w:val="Heading1"/>
        <w:spacing w:after="200" w:before="360"/>
      </w:pPr>
      <w:r>
        <w:rPr>
          <w:rFonts w:ascii="Arial" w:cs="Arial" w:eastAsia="Arial" w:hAnsi="Arial"/>
          <w:b/>
          <w:bCs/>
          <w:color w:val="1F3864"/>
          <w:sz w:val="32"/>
          <w:szCs w:val="32"/>
        </w:rPr>
        <w:t xml:space="preserve">4. System Architecture</w:t>
      </w:r>
    </w:p>
    <w:p>
      <w:pPr>
        <w:pStyle w:val="Heading2"/>
        <w:spacing w:after="160" w:before="280"/>
      </w:pPr>
      <w:r>
        <w:rPr>
          <w:rFonts w:ascii="Arial" w:cs="Arial" w:eastAsia="Arial" w:hAnsi="Arial"/>
          <w:b/>
          <w:bCs/>
          <w:color w:val="1F3864"/>
          <w:sz w:val="26"/>
          <w:szCs w:val="26"/>
        </w:rPr>
        <w:t xml:space="preserve">4.1 Module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W w:type="dxa" w:w="1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49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Function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Suppliers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Complete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CRUD for all supplier types (cannabis material, packaging, production material, testing labs, service providers). Attachments sub-section for COAs, licenses, certifications, insurance, SDS.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Incoming Inspection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Complete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Records inspection of received materials. Wired to Suppliers via supplier_id. Captures inspection number, PO/manifest number, supplier, date, and inspection results.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Inventory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Complete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Tracks ingredients and consumables. Reorder point and reorder quantity per ingredient. Sign convention fixed (consumption negative, receipt positive). Supplier wiring pending.</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Batch Records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Complete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End-to-end production lifecycle with 9-state machine. Sections for ingredients, output, testing, packaging, labeling and compliance, review and release. Auto-creates labeling records by product type.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Testing &amp; Sampling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Complete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Two-section model: sampling record (Section 1) and result entry (Section 2). Auto-flips batch status on result. NC hook on Fail. Latest-result-wins semantics.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Non-Conformances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Complete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Unified NC and CAPA workflow with conditional sections by severity. Corrective actions as child records. Supplier wiring pending.</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Complaints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Complete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Customer complaint capture and triage. Feeds Field Actions when escalation is required.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Field Actions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Complete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Five-section workflow for recalls, withdrawals, and advisory notices. Letter generation. Due-diligence guard. Closure section. Governed by Michigan CRA and ISO 13485 Section 8.3, not 21 CFR Part 806.</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Packaging Design Approval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Complete (core)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Per-design checklist workflow with attachments. File upload is a placeholder pending React migration.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Dashboard Metrics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Complete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Five containers showing live operational and compliance metrics. Drill-down deferred post-MVP.</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Audit Trail (system-wide)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Complete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Postgres trigger-based audit on every regulated table. 139 triggers active. Captures who, what, when, before, after.</w:t>
            </w:r>
          </w:p>
        </w:tc>
      </w:tr>
    </w:tbl>
    <w:p>
      <w:pPr>
        <w:pStyle w:val="Heading2"/>
        <w:spacing w:after="160" w:before="280"/>
      </w:pPr>
      <w:r>
        <w:rPr>
          <w:rFonts w:ascii="Arial" w:cs="Arial" w:eastAsia="Arial" w:hAnsi="Arial"/>
          <w:b/>
          <w:bCs/>
          <w:color w:val="1F3864"/>
          <w:sz w:val="26"/>
          <w:szCs w:val="26"/>
        </w:rPr>
        <w:t xml:space="preserve">4.2 Cross-Cutting Capabilities</w:t>
      </w:r>
    </w:p>
    <w:p>
      <w:pPr>
        <w:pStyle w:val="ListParagraph"/>
        <w:numPr>
          <w:ilvl w:val="0"/>
          <w:numId w:val="2"/>
        </w:numPr>
        <w:spacing w:after="80"/>
      </w:pPr>
      <w:r>
        <w:rPr>
          <w:rFonts w:ascii="Arial" w:cs="Arial" w:eastAsia="Arial" w:hAnsi="Arial"/>
          <w:b/>
          <w:bCs/>
          <w:sz w:val="22"/>
          <w:szCs w:val="22"/>
        </w:rPr>
        <w:t xml:space="preserve">Part 11 sign-off pattern. </w:t>
      </w:r>
      <w:r>
        <w:rPr>
          <w:rFonts w:ascii="Arial" w:cs="Arial" w:eastAsia="Arial" w:hAnsi="Arial"/>
          <w:sz w:val="22"/>
          <w:szCs w:val="22"/>
        </w:rPr>
        <w:t xml:space="preserve">Standardized across releaseBatch, saveBatchEdit, all checklist response saves, and all section approvals. Reads initials from input, fetches the current user's initials from the users table via localStorage.values.userId, compares case-insensitively, blocks on mismatch, writes initials/timestamp/user_id/meaning on success.</w:t>
      </w:r>
    </w:p>
    <w:p>
      <w:pPr>
        <w:pStyle w:val="ListParagraph"/>
        <w:numPr>
          <w:ilvl w:val="0"/>
          <w:numId w:val="2"/>
        </w:numPr>
        <w:spacing w:after="80"/>
      </w:pPr>
      <w:r>
        <w:rPr>
          <w:rFonts w:ascii="Arial" w:cs="Arial" w:eastAsia="Arial" w:hAnsi="Arial"/>
          <w:b/>
          <w:bCs/>
          <w:sz w:val="22"/>
          <w:szCs w:val="22"/>
        </w:rPr>
        <w:t xml:space="preserve">Role-based action gates. </w:t>
      </w:r>
      <w:r>
        <w:rPr>
          <w:rFonts w:ascii="Arial" w:cs="Arial" w:eastAsia="Arial" w:hAnsi="Arial"/>
          <w:sz w:val="22"/>
          <w:szCs w:val="22"/>
        </w:rPr>
        <w:t xml:space="preserve">Enforced on button Disabled bindings. Examples: btn_save_response — Supervisor, Manager, Quality only; btn_qa_release — Quality, Manager, Admin only. Currently client-enforced; server-side enforcement deferred to React migration.</w:t>
      </w:r>
    </w:p>
    <w:p>
      <w:pPr>
        <w:pStyle w:val="ListParagraph"/>
        <w:numPr>
          <w:ilvl w:val="0"/>
          <w:numId w:val="2"/>
        </w:numPr>
        <w:spacing w:after="80"/>
      </w:pPr>
      <w:r>
        <w:rPr>
          <w:rFonts w:ascii="Arial" w:cs="Arial" w:eastAsia="Arial" w:hAnsi="Arial"/>
          <w:b/>
          <w:bCs/>
          <w:sz w:val="22"/>
          <w:szCs w:val="22"/>
        </w:rPr>
        <w:t xml:space="preserve">Container-locking pattern. </w:t>
      </w:r>
      <w:r>
        <w:rPr>
          <w:rFonts w:ascii="Arial" w:cs="Arial" w:eastAsia="Arial" w:hAnsi="Arial"/>
          <w:sz w:val="22"/>
          <w:szCs w:val="22"/>
        </w:rPr>
        <w:t xml:space="preserve">After save, sections collapse to a read-only summary view. Edit requires an authorized role and re-signature. Consistent with Part 11.</w:t>
      </w:r>
    </w:p>
    <w:p>
      <w:pPr>
        <w:pStyle w:val="ListParagraph"/>
        <w:numPr>
          <w:ilvl w:val="0"/>
          <w:numId w:val="2"/>
        </w:numPr>
        <w:spacing w:after="80"/>
      </w:pPr>
      <w:r>
        <w:rPr>
          <w:rFonts w:ascii="Arial" w:cs="Arial" w:eastAsia="Arial" w:hAnsi="Arial"/>
          <w:b/>
          <w:bCs/>
          <w:sz w:val="22"/>
          <w:szCs w:val="22"/>
        </w:rPr>
        <w:t xml:space="preserve">Inline containers, never modals. </w:t>
      </w:r>
      <w:r>
        <w:rPr>
          <w:rFonts w:ascii="Arial" w:cs="Arial" w:eastAsia="Arial" w:hAnsi="Arial"/>
          <w:sz w:val="22"/>
          <w:szCs w:val="22"/>
        </w:rPr>
        <w:t xml:space="preserve">Modals proved unreliable for setValue and lose selectedRow on open. Every creation form, detail panel, and edit form uses an inline container controlled by a state variable.</w:t>
      </w:r>
    </w:p>
    <w:p>
      <w:pPr>
        <w:pStyle w:val="ListParagraph"/>
        <w:numPr>
          <w:ilvl w:val="0"/>
          <w:numId w:val="2"/>
        </w:numPr>
        <w:spacing w:after="80"/>
      </w:pPr>
      <w:r>
        <w:rPr>
          <w:rFonts w:ascii="Arial" w:cs="Arial" w:eastAsia="Arial" w:hAnsi="Arial"/>
          <w:b/>
          <w:bCs/>
          <w:sz w:val="22"/>
          <w:szCs w:val="22"/>
        </w:rPr>
        <w:t xml:space="preserve">Page initialization pattern. </w:t>
      </w:r>
      <w:r>
        <w:rPr>
          <w:rFonts w:ascii="Arial" w:cs="Arial" w:eastAsia="Arial" w:hAnsi="Arial"/>
          <w:sz w:val="22"/>
          <w:szCs w:val="22"/>
        </w:rPr>
        <w:t xml:space="preserve">Each page has a Resource query (Automatic) whose Success handler triggers the page-scoped JS query that loads the current user. JS queries are never set to Automatic — this is a hard platform constraint.</w:t>
      </w:r>
    </w:p>
    <w:p>
      <w:pPr>
        <w:pStyle w:val="ListParagraph"/>
        <w:numPr>
          <w:ilvl w:val="0"/>
          <w:numId w:val="2"/>
        </w:numPr>
        <w:spacing w:after="80"/>
      </w:pPr>
      <w:r>
        <w:rPr>
          <w:rFonts w:ascii="Arial" w:cs="Arial" w:eastAsia="Arial" w:hAnsi="Arial"/>
          <w:b/>
          <w:bCs/>
          <w:sz w:val="22"/>
          <w:szCs w:val="22"/>
        </w:rPr>
        <w:t xml:space="preserve">Form-fetch separation. </w:t>
      </w:r>
      <w:r>
        <w:rPr>
          <w:rFonts w:ascii="Arial" w:cs="Arial" w:eastAsia="Arial" w:hAnsi="Arial"/>
          <w:sz w:val="22"/>
          <w:szCs w:val="22"/>
        </w:rPr>
        <w:t xml:space="preserve">Queries that both return data and call setValue cause Retool tables to show empty data sources. The pattern is to split into one fetch query and one form-init query, both triggered together.</w:t>
      </w:r>
    </w:p>
    <w:p>
      <w:r>
        <w:br w:type="page"/>
      </w:r>
    </w:p>
    <w:p>
      <w:pPr>
        <w:pStyle w:val="Heading1"/>
        <w:spacing w:after="200" w:before="360"/>
      </w:pPr>
      <w:r>
        <w:rPr>
          <w:rFonts w:ascii="Arial" w:cs="Arial" w:eastAsia="Arial" w:hAnsi="Arial"/>
          <w:b/>
          <w:bCs/>
          <w:color w:val="1F3864"/>
          <w:sz w:val="32"/>
          <w:szCs w:val="32"/>
        </w:rPr>
        <w:t xml:space="preserve">5. Batch Lifecycle (Core State Machine)</w:t>
      </w:r>
    </w:p>
    <w:p>
      <w:pPr>
        <w:spacing w:after="120"/>
      </w:pPr>
      <w:r>
        <w:rPr>
          <w:rFonts w:ascii="Arial" w:cs="Arial" w:eastAsia="Arial" w:hAnsi="Arial"/>
          <w:sz w:val="22"/>
          <w:szCs w:val="22"/>
        </w:rPr>
        <w:t xml:space="preserve">The batch_records.status column enforces a nine-state lifecycle via a Postgres CHECK constraint. State transitions are gated at the application layer today and will be backed by a Postgres trigger as a defense-in-depth backstop in a later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State</w:t>
            </w:r>
          </w:p>
        </w:tc>
        <w:tc>
          <w:tcPr>
            <w:tcW w:type="dxa" w:w="67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in_production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Batch actively being produced. Not yet in final form.</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in_inventory_untested</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Production complete, final form, no test samples submitted yet.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testing_in_progress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Samples submitted to a testing agency, awaiting results.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passed_awaiting_packaging</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Final Form / Finished Good has passed testing. Quarantine ended per R 420.303a. Awaiting packaging before finished_goods.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released_to_inventory</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Bulk Production batch has passed testing. Available as an ingredient for downstream batches. Terminal state for that batch.</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finished_goods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Terminal — Final Form / Finished Good cleared for retail. Handoff to METRC.</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failed</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Test failed. Retest-eligible per R 420.306(2). Not releasable.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on_hold</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Quarantined pending NC disposition. Not releasable.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destroyed</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Terminal. Material removed from METRC inventory.</w:t>
            </w:r>
          </w:p>
        </w:tc>
      </w:tr>
    </w:tbl>
    <w:p>
      <w:pPr>
        <w:pStyle w:val="Heading2"/>
        <w:spacing w:after="160" w:before="280"/>
      </w:pPr>
      <w:r>
        <w:rPr>
          <w:rFonts w:ascii="Arial" w:cs="Arial" w:eastAsia="Arial" w:hAnsi="Arial"/>
          <w:b/>
          <w:bCs/>
          <w:color w:val="1F3864"/>
          <w:sz w:val="26"/>
          <w:szCs w:val="26"/>
        </w:rPr>
        <w:t xml:space="preserve">5.1 Auto-Transitions</w:t>
      </w:r>
    </w:p>
    <w:p>
      <w:pPr>
        <w:spacing w:after="120"/>
      </w:pPr>
      <w:r>
        <w:rPr>
          <w:rFonts w:ascii="Arial" w:cs="Arial" w:eastAsia="Arial" w:hAnsi="Arial"/>
          <w:sz w:val="22"/>
          <w:szCs w:val="22"/>
        </w:rPr>
        <w:t xml:space="preserve">State transitions are written by the same query that records the trigger event, eliminating the need for separate transition buttons:</w:t>
      </w:r>
    </w:p>
    <w:p>
      <w:pPr>
        <w:pStyle w:val="ListParagraph"/>
        <w:numPr>
          <w:ilvl w:val="0"/>
          <w:numId w:val="2"/>
        </w:numPr>
        <w:spacing w:after="80"/>
      </w:pPr>
      <w:r>
        <w:rPr>
          <w:rFonts w:ascii="Arial" w:cs="Arial" w:eastAsia="Arial" w:hAnsi="Arial"/>
          <w:sz w:val="22"/>
          <w:szCs w:val="22"/>
        </w:rPr>
        <w:t xml:space="preserve">Final Form or Finished Good batch + Pass result → passed_awaiting_packaging.</w:t>
      </w:r>
    </w:p>
    <w:p>
      <w:pPr>
        <w:pStyle w:val="ListParagraph"/>
        <w:numPr>
          <w:ilvl w:val="0"/>
          <w:numId w:val="2"/>
        </w:numPr>
        <w:spacing w:after="80"/>
      </w:pPr>
      <w:r>
        <w:rPr>
          <w:rFonts w:ascii="Arial" w:cs="Arial" w:eastAsia="Arial" w:hAnsi="Arial"/>
          <w:sz w:val="22"/>
          <w:szCs w:val="22"/>
        </w:rPr>
        <w:t xml:space="preserve">Bulk Production batch + Pass result → released_to_inventory.</w:t>
      </w:r>
    </w:p>
    <w:p>
      <w:pPr>
        <w:pStyle w:val="ListParagraph"/>
        <w:numPr>
          <w:ilvl w:val="0"/>
          <w:numId w:val="2"/>
        </w:numPr>
        <w:spacing w:after="80"/>
      </w:pPr>
      <w:r>
        <w:rPr>
          <w:rFonts w:ascii="Arial" w:cs="Arial" w:eastAsia="Arial" w:hAnsi="Arial"/>
          <w:sz w:val="22"/>
          <w:szCs w:val="22"/>
        </w:rPr>
        <w:t xml:space="preserve">Any batch type + Fail result → failed (with NC hook).</w:t>
      </w:r>
    </w:p>
    <w:p>
      <w:pPr>
        <w:pStyle w:val="ListParagraph"/>
        <w:numPr>
          <w:ilvl w:val="0"/>
          <w:numId w:val="2"/>
        </w:numPr>
        <w:spacing w:after="80"/>
      </w:pPr>
      <w:r>
        <w:rPr>
          <w:rFonts w:ascii="Arial" w:cs="Arial" w:eastAsia="Arial" w:hAnsi="Arial"/>
          <w:sz w:val="22"/>
          <w:szCs w:val="22"/>
        </w:rPr>
        <w:t xml:space="preserve">releaseBatch source-state guard requires passed_awaiting_packaging and writes finished_goods on success.</w:t>
      </w:r>
    </w:p>
    <w:p>
      <w:pPr>
        <w:pStyle w:val="Heading2"/>
        <w:spacing w:after="160" w:before="280"/>
      </w:pPr>
      <w:r>
        <w:rPr>
          <w:rFonts w:ascii="Arial" w:cs="Arial" w:eastAsia="Arial" w:hAnsi="Arial"/>
          <w:b/>
          <w:bCs/>
          <w:color w:val="1F3864"/>
          <w:sz w:val="26"/>
          <w:szCs w:val="26"/>
        </w:rPr>
        <w:t xml:space="preserve">5.2 R 420.306(2) Two-Consecutive-Passes Gate</w:t>
      </w:r>
    </w:p>
    <w:p>
      <w:pPr>
        <w:spacing w:after="120"/>
      </w:pPr>
      <w:r>
        <w:rPr>
          <w:rFonts w:ascii="Arial" w:cs="Arial" w:eastAsia="Arial" w:hAnsi="Arial"/>
          <w:sz w:val="22"/>
          <w:szCs w:val="22"/>
        </w:rPr>
        <w:t xml:space="preserve">releaseBatch enforces the Michigan two-consecutive-passes-after-remediation rule. The gate fires only when remediation_status is 'Remediation Complete'. The query reads the two most recent batch_testing rows by sequence_number descending; both must be Pass. This protects against premature release of a batch that failed and was remediated.</w:t>
      </w:r>
    </w:p>
    <w:p>
      <w:pPr>
        <w:pStyle w:val="Heading2"/>
        <w:spacing w:after="160" w:before="280"/>
      </w:pPr>
      <w:r>
        <w:rPr>
          <w:rFonts w:ascii="Arial" w:cs="Arial" w:eastAsia="Arial" w:hAnsi="Arial"/>
          <w:b/>
          <w:bCs/>
          <w:color w:val="1F3864"/>
          <w:sz w:val="26"/>
          <w:szCs w:val="26"/>
        </w:rPr>
        <w:t xml:space="preserve">5.3 Latest-Result-Wins Semantics</w:t>
      </w:r>
    </w:p>
    <w:p>
      <w:pPr>
        <w:spacing w:after="120"/>
      </w:pPr>
      <w:r>
        <w:rPr>
          <w:rFonts w:ascii="Arial" w:cs="Arial" w:eastAsia="Arial" w:hAnsi="Arial"/>
          <w:sz w:val="22"/>
          <w:szCs w:val="22"/>
        </w:rPr>
        <w:t xml:space="preserve">After a result is PATCHed, the auto-flip query reads the highest-sequence batch_testing row for the batch and uses that row's result to decide the status. This protects against a user editing an older sequence when a newer one already exists.</w:t>
      </w:r>
    </w:p>
    <w:p>
      <w:r>
        <w:br w:type="page"/>
      </w:r>
    </w:p>
    <w:p>
      <w:pPr>
        <w:pStyle w:val="Heading1"/>
        <w:spacing w:after="200" w:before="360"/>
      </w:pPr>
      <w:r>
        <w:rPr>
          <w:rFonts w:ascii="Arial" w:cs="Arial" w:eastAsia="Arial" w:hAnsi="Arial"/>
          <w:b/>
          <w:bCs/>
          <w:color w:val="1F3864"/>
          <w:sz w:val="32"/>
          <w:szCs w:val="32"/>
        </w:rPr>
        <w:t xml:space="preserve">6. Compliance Checklists</w:t>
      </w:r>
    </w:p>
    <w:p>
      <w:pPr>
        <w:spacing w:after="120"/>
      </w:pPr>
      <w:r>
        <w:rPr>
          <w:rFonts w:ascii="Arial" w:cs="Arial" w:eastAsia="Arial" w:hAnsi="Arial"/>
          <w:sz w:val="22"/>
          <w:szCs w:val="22"/>
        </w:rPr>
        <w:t xml:space="preserve">Each product type has a labeling and compliance checklist generated automatically at batch creation. Multipack batches generate two labeling records, switchable via a Select component. The checklists are not stored as static text — each item carries an explicit regulation reference back to the source rule.</w:t>
      </w:r>
    </w:p>
    <w:p>
      <w:pPr>
        <w:pStyle w:val="Heading2"/>
        <w:spacing w:after="160" w:before="280"/>
      </w:pPr>
      <w:r>
        <w:rPr>
          <w:rFonts w:ascii="Arial" w:cs="Arial" w:eastAsia="Arial" w:hAnsi="Arial"/>
          <w:b/>
          <w:bCs/>
          <w:color w:val="1F3864"/>
          <w:sz w:val="26"/>
          <w:szCs w:val="26"/>
        </w:rPr>
        <w:t xml:space="preserve">6.1 Verified Checklist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Checklist</w:t>
            </w:r>
          </w:p>
        </w:tc>
        <w:tc>
          <w:tcPr>
            <w:tcW w:type="dxa" w:w="2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Verified</w:t>
            </w:r>
          </w:p>
        </w:tc>
        <w:tc>
          <w:tcPr>
            <w:tcW w:type="dxa" w:w="47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Authority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Flower (incl. Blunt)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April 10, 2026</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R 420.504. Blunt maps to Flower checklist per CRA classification.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Infused Edible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April 10 &amp; 13, 2026</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R 420.504 and R 420.403. Three items added: expiration date (R 420.403(11)), child-resistant packaging (R 420.403(10)), minor-appeal prohibition (R 420.403(9)).</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Concentrate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April 13, 2026</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R 420.504(1) plus CRA Technical Bulletin Sept. 24, 2024 (effective Oct. 1, 2024). MCT oil and Vitamin E Acetate testing items included.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Infused Non-Edible / Topical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April 13, 2026</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R 420.504(1) plus R 420.403(7) only. Subsections (8)–(11) are edible-specific and do not apply.</w:t>
            </w:r>
          </w:p>
        </w:tc>
      </w:tr>
    </w:tbl>
    <w:p>
      <w:pPr>
        <w:pStyle w:val="Heading2"/>
        <w:spacing w:after="160" w:before="280"/>
      </w:pPr>
      <w:r>
        <w:rPr>
          <w:rFonts w:ascii="Arial" w:cs="Arial" w:eastAsia="Arial" w:hAnsi="Arial"/>
          <w:b/>
          <w:bCs/>
          <w:color w:val="1F3864"/>
          <w:sz w:val="26"/>
          <w:szCs w:val="26"/>
        </w:rPr>
        <w:t xml:space="preserve">6.2 Concentrate-Specific Notes</w:t>
      </w:r>
    </w:p>
    <w:p>
      <w:pPr>
        <w:pStyle w:val="ListParagraph"/>
        <w:numPr>
          <w:ilvl w:val="0"/>
          <w:numId w:val="2"/>
        </w:numPr>
        <w:spacing w:after="80"/>
      </w:pPr>
      <w:r>
        <w:rPr>
          <w:rFonts w:ascii="Arial" w:cs="Arial" w:eastAsia="Arial" w:hAnsi="Arial"/>
          <w:sz w:val="22"/>
          <w:szCs w:val="22"/>
        </w:rPr>
        <w:t xml:space="preserve">Concentrates are not marihuana-infused products. R 420.403 does not apply.</w:t>
      </w:r>
    </w:p>
    <w:p>
      <w:pPr>
        <w:pStyle w:val="ListParagraph"/>
        <w:numPr>
          <w:ilvl w:val="0"/>
          <w:numId w:val="2"/>
        </w:numPr>
        <w:spacing w:after="80"/>
      </w:pPr>
      <w:r>
        <w:rPr>
          <w:rFonts w:ascii="Arial" w:cs="Arial" w:eastAsia="Arial" w:hAnsi="Arial"/>
          <w:sz w:val="22"/>
          <w:szCs w:val="22"/>
        </w:rPr>
        <w:t xml:space="preserve">Vitamin E Acetate test is required per R 420.305(3)(i) and CRA Technical Bulletin Sept. 24, 2024. LOQ 100 ppm.</w:t>
      </w:r>
    </w:p>
    <w:p>
      <w:pPr>
        <w:pStyle w:val="ListParagraph"/>
        <w:numPr>
          <w:ilvl w:val="0"/>
          <w:numId w:val="2"/>
        </w:numPr>
        <w:spacing w:after="80"/>
      </w:pPr>
      <w:r>
        <w:rPr>
          <w:rFonts w:ascii="Arial" w:cs="Arial" w:eastAsia="Arial" w:hAnsi="Arial"/>
          <w:sz w:val="22"/>
          <w:szCs w:val="22"/>
        </w:rPr>
        <w:t xml:space="preserve">MCT oil testing required by the same bulletin.</w:t>
      </w:r>
    </w:p>
    <w:p>
      <w:pPr>
        <w:pStyle w:val="ListParagraph"/>
        <w:numPr>
          <w:ilvl w:val="0"/>
          <w:numId w:val="2"/>
        </w:numPr>
        <w:spacing w:after="80"/>
      </w:pPr>
      <w:r>
        <w:rPr>
          <w:rFonts w:ascii="Arial" w:cs="Arial" w:eastAsia="Arial" w:hAnsi="Arial"/>
          <w:sz w:val="22"/>
          <w:szCs w:val="22"/>
        </w:rPr>
        <w:t xml:space="preserve">Warning labeling references corrected from MCL 333.27953 to R 420.504(1)(j).</w:t>
      </w:r>
    </w:p>
    <w:p>
      <w:pPr>
        <w:pStyle w:val="Heading2"/>
        <w:spacing w:after="160" w:before="280"/>
      </w:pPr>
      <w:r>
        <w:rPr>
          <w:rFonts w:ascii="Arial" w:cs="Arial" w:eastAsia="Arial" w:hAnsi="Arial"/>
          <w:b/>
          <w:bCs/>
          <w:color w:val="1F3864"/>
          <w:sz w:val="26"/>
          <w:szCs w:val="26"/>
        </w:rPr>
        <w:t xml:space="preserve">6.3 R 420.403(8) GMP Scope Decision</w:t>
      </w:r>
    </w:p>
    <w:p>
      <w:pPr>
        <w:spacing w:after="120"/>
      </w:pPr>
      <w:r>
        <w:rPr>
          <w:rFonts w:ascii="Arial" w:cs="Arial" w:eastAsia="Arial" w:hAnsi="Arial"/>
          <w:sz w:val="22"/>
          <w:szCs w:val="22"/>
        </w:rPr>
        <w:t xml:space="preserve">R 420.403(8) operational GMP requirements (21 CFR Part 117, food handler training, Food Protection Manager, formulation records) are met through facility-level GMP program design that happens outside the system. CannaQMS documents the regulated outputs (batch records, labeling compliance) but does not capture GMP infrastructure. This is the correct scope boundary for a processor-facing eQMS.</w:t>
      </w:r>
    </w:p>
    <w:p>
      <w:r>
        <w:br w:type="page"/>
      </w:r>
    </w:p>
    <w:p>
      <w:pPr>
        <w:pStyle w:val="Heading1"/>
        <w:spacing w:after="200" w:before="360"/>
      </w:pPr>
      <w:r>
        <w:rPr>
          <w:rFonts w:ascii="Arial" w:cs="Arial" w:eastAsia="Arial" w:hAnsi="Arial"/>
          <w:b/>
          <w:bCs/>
          <w:color w:val="1F3864"/>
          <w:sz w:val="32"/>
          <w:szCs w:val="32"/>
        </w:rPr>
        <w:t xml:space="preserve">7. Data Model (Selected Tables)</w:t>
      </w:r>
    </w:p>
    <w:p>
      <w:pPr>
        <w:spacing w:after="120"/>
      </w:pPr>
      <w:r>
        <w:rPr>
          <w:rFonts w:ascii="Arial" w:cs="Arial" w:eastAsia="Arial" w:hAnsi="Arial"/>
          <w:sz w:val="22"/>
          <w:szCs w:val="22"/>
        </w:rPr>
        <w:t xml:space="preserve">Full schema lives in Supabase. Highlights below are the regulated tables most relevant to compliance and the lifecycle. All regulated tables are protected by audit-trail triggers.</w:t>
      </w:r>
    </w:p>
    <w:p>
      <w:pPr>
        <w:pStyle w:val="Heading2"/>
        <w:spacing w:after="160" w:before="280"/>
      </w:pPr>
      <w:r>
        <w:rPr>
          <w:rFonts w:ascii="Arial" w:cs="Arial" w:eastAsia="Arial" w:hAnsi="Arial"/>
          <w:b/>
          <w:bCs/>
          <w:color w:val="1F3864"/>
          <w:sz w:val="26"/>
          <w:szCs w:val="26"/>
        </w:rPr>
        <w:t xml:space="preserve">7.1 batch_records</w:t>
      </w:r>
    </w:p>
    <w:p>
      <w:pPr>
        <w:spacing w:after="120"/>
      </w:pPr>
      <w:r>
        <w:rPr>
          <w:rFonts w:ascii="Arial" w:cs="Arial" w:eastAsia="Arial" w:hAnsi="Arial"/>
          <w:sz w:val="22"/>
          <w:szCs w:val="22"/>
        </w:rPr>
        <w:t xml:space="preserve">Core lifecycle table. Holds the 9-state status enum, batch_type, strain_name, output_quantity, unit_of_measure, approval fields (approved_by uuid, approval_name varchar, approval_date timestamptz), remediation_status, and timestamps.</w:t>
      </w:r>
    </w:p>
    <w:p>
      <w:pPr>
        <w:pStyle w:val="Heading2"/>
        <w:spacing w:after="160" w:before="280"/>
      </w:pPr>
      <w:r>
        <w:rPr>
          <w:rFonts w:ascii="Arial" w:cs="Arial" w:eastAsia="Arial" w:hAnsi="Arial"/>
          <w:b/>
          <w:bCs/>
          <w:color w:val="1F3864"/>
          <w:sz w:val="26"/>
          <w:szCs w:val="26"/>
        </w:rPr>
        <w:t xml:space="preserve">7.2 batch_testing</w:t>
      </w:r>
    </w:p>
    <w:p>
      <w:pPr>
        <w:spacing w:after="120"/>
      </w:pPr>
      <w:r>
        <w:rPr>
          <w:rFonts w:ascii="Arial" w:cs="Arial" w:eastAsia="Arial" w:hAnsi="Arial"/>
          <w:sz w:val="22"/>
          <w:szCs w:val="22"/>
        </w:rPr>
        <w:t xml:space="preserve">Each row is one test result. Carries sequence_number for latest-result-wins logic, test_result (Pass/Fail/Pending), submitted_date, result_date, testing_agency, attachments. Saving a result auto-flips the parent batch_records.status.</w:t>
      </w:r>
    </w:p>
    <w:p>
      <w:pPr>
        <w:pStyle w:val="Heading2"/>
        <w:spacing w:after="160" w:before="280"/>
      </w:pPr>
      <w:r>
        <w:rPr>
          <w:rFonts w:ascii="Arial" w:cs="Arial" w:eastAsia="Arial" w:hAnsi="Arial"/>
          <w:b/>
          <w:bCs/>
          <w:color w:val="1F3864"/>
          <w:sz w:val="26"/>
          <w:szCs w:val="26"/>
        </w:rPr>
        <w:t xml:space="preserve">7.3 suppliers</w:t>
      </w:r>
    </w:p>
    <w:p>
      <w:pPr>
        <w:spacing w:after="120"/>
      </w:pPr>
      <w:r>
        <w:rPr>
          <w:rFonts w:ascii="Arial" w:cs="Arial" w:eastAsia="Arial" w:hAnsi="Arial"/>
          <w:sz w:val="22"/>
          <w:szCs w:val="22"/>
        </w:rPr>
        <w:t xml:space="preserve">CRUD for all supplier types. Columns: supplier_name, contact_person, email, phone, address, license_number, status (Approved / Unapproved / Pending Review / Suspended), quality_rating (free text), supplier_type (Cannabis Material / Packaging Material / Production Material / Testing Laboratory / Service Provider / Other).</w:t>
      </w:r>
    </w:p>
    <w:p>
      <w:pPr>
        <w:pStyle w:val="Heading2"/>
        <w:spacing w:after="160" w:before="280"/>
      </w:pPr>
      <w:r>
        <w:rPr>
          <w:rFonts w:ascii="Arial" w:cs="Arial" w:eastAsia="Arial" w:hAnsi="Arial"/>
          <w:b/>
          <w:bCs/>
          <w:color w:val="1F3864"/>
          <w:sz w:val="26"/>
          <w:szCs w:val="26"/>
        </w:rPr>
        <w:t xml:space="preserve">7.4 supplier_attachments</w:t>
      </w:r>
    </w:p>
    <w:p>
      <w:pPr>
        <w:spacing w:after="120"/>
      </w:pPr>
      <w:r>
        <w:rPr>
          <w:rFonts w:ascii="Arial" w:cs="Arial" w:eastAsia="Arial" w:hAnsi="Arial"/>
          <w:sz w:val="22"/>
          <w:szCs w:val="22"/>
        </w:rPr>
        <w:t xml:space="preserve">URL-based attachment store while on Retool Free plan. file_path holds a URL today; will hold an object-storage path post-migration without schema change. file_type values: COA, License, Certification, Insurance, SDS, Other.</w:t>
      </w:r>
    </w:p>
    <w:p>
      <w:pPr>
        <w:pStyle w:val="Heading2"/>
        <w:spacing w:after="160" w:before="280"/>
      </w:pPr>
      <w:r>
        <w:rPr>
          <w:rFonts w:ascii="Arial" w:cs="Arial" w:eastAsia="Arial" w:hAnsi="Arial"/>
          <w:b/>
          <w:bCs/>
          <w:color w:val="1F3864"/>
          <w:sz w:val="26"/>
          <w:szCs w:val="26"/>
        </w:rPr>
        <w:t xml:space="preserve">7.5 incoming_inspection</w:t>
      </w:r>
    </w:p>
    <w:p>
      <w:pPr>
        <w:spacing w:after="120"/>
      </w:pPr>
      <w:r>
        <w:rPr>
          <w:rFonts w:ascii="Arial" w:cs="Arial" w:eastAsia="Arial" w:hAnsi="Arial"/>
          <w:sz w:val="22"/>
          <w:szCs w:val="22"/>
        </w:rPr>
        <w:t xml:space="preserve">Receipt-side inspection records. supplier_id wired to suppliers. Captures inspection number, PO/manifest number, inspection date, inspection results, attachments.</w:t>
      </w:r>
    </w:p>
    <w:p>
      <w:pPr>
        <w:pStyle w:val="Heading2"/>
        <w:spacing w:after="160" w:before="280"/>
      </w:pPr>
      <w:r>
        <w:rPr>
          <w:rFonts w:ascii="Arial" w:cs="Arial" w:eastAsia="Arial" w:hAnsi="Arial"/>
          <w:b/>
          <w:bCs/>
          <w:color w:val="1F3864"/>
          <w:sz w:val="26"/>
          <w:szCs w:val="26"/>
        </w:rPr>
        <w:t xml:space="preserve">7.6 inventory and batch_ingredients</w:t>
      </w:r>
    </w:p>
    <w:p>
      <w:pPr>
        <w:spacing w:after="120"/>
      </w:pPr>
      <w:r>
        <w:rPr>
          <w:rFonts w:ascii="Arial" w:cs="Arial" w:eastAsia="Arial" w:hAnsi="Arial"/>
          <w:sz w:val="22"/>
          <w:szCs w:val="22"/>
        </w:rPr>
        <w:t xml:space="preserve">Inventory tracks ingredients and consumables with reorder_point (customer-set trigger threshold) and reorder_quantity (suggested order amount). batch_ingredients is lot-level: one row per lot per ingredient consumed. Finished goods exit CannaQMS at batch closure and transfer to METRC — they are not tracked in CannaQMS inventory.</w:t>
      </w:r>
    </w:p>
    <w:p>
      <w:pPr>
        <w:pStyle w:val="Heading2"/>
        <w:spacing w:after="160" w:before="280"/>
      </w:pPr>
      <w:r>
        <w:rPr>
          <w:rFonts w:ascii="Arial" w:cs="Arial" w:eastAsia="Arial" w:hAnsi="Arial"/>
          <w:b/>
          <w:bCs/>
          <w:color w:val="1F3864"/>
          <w:sz w:val="26"/>
          <w:szCs w:val="26"/>
        </w:rPr>
        <w:t xml:space="preserve">7.7 non_conformances</w:t>
      </w:r>
    </w:p>
    <w:p>
      <w:pPr>
        <w:spacing w:after="120"/>
      </w:pPr>
      <w:r>
        <w:rPr>
          <w:rFonts w:ascii="Arial" w:cs="Arial" w:eastAsia="Arial" w:hAnsi="Arial"/>
          <w:sz w:val="22"/>
          <w:szCs w:val="22"/>
        </w:rPr>
        <w:t xml:space="preserve">Unified NC + CAPA record with conditional sections by severity. Corrective actions sit in a child table. Severity-driven gates determine whether full CAPA workflow is required. Supplier wiring pending.</w:t>
      </w:r>
    </w:p>
    <w:p>
      <w:pPr>
        <w:pStyle w:val="Heading2"/>
        <w:spacing w:after="160" w:before="280"/>
      </w:pPr>
      <w:r>
        <w:rPr>
          <w:rFonts w:ascii="Arial" w:cs="Arial" w:eastAsia="Arial" w:hAnsi="Arial"/>
          <w:b/>
          <w:bCs/>
          <w:color w:val="1F3864"/>
          <w:sz w:val="26"/>
          <w:szCs w:val="26"/>
        </w:rPr>
        <w:t xml:space="preserve">7.8 complaints</w:t>
      </w:r>
    </w:p>
    <w:p>
      <w:pPr>
        <w:spacing w:after="120"/>
      </w:pPr>
      <w:r>
        <w:rPr>
          <w:rFonts w:ascii="Arial" w:cs="Arial" w:eastAsia="Arial" w:hAnsi="Arial"/>
          <w:sz w:val="22"/>
          <w:szCs w:val="22"/>
        </w:rPr>
        <w:t xml:space="preserve">Customer complaint capture, triage, and disposition. Can spawn a Field Action via createFAFromComplaint.</w:t>
      </w:r>
    </w:p>
    <w:p>
      <w:pPr>
        <w:pStyle w:val="Heading2"/>
        <w:spacing w:after="160" w:before="280"/>
      </w:pPr>
      <w:r>
        <w:rPr>
          <w:rFonts w:ascii="Arial" w:cs="Arial" w:eastAsia="Arial" w:hAnsi="Arial"/>
          <w:b/>
          <w:bCs/>
          <w:color w:val="1F3864"/>
          <w:sz w:val="26"/>
          <w:szCs w:val="26"/>
        </w:rPr>
        <w:t xml:space="preserve">7.9 field_actions</w:t>
      </w:r>
    </w:p>
    <w:p>
      <w:pPr>
        <w:spacing w:after="120"/>
      </w:pPr>
      <w:r>
        <w:rPr>
          <w:rFonts w:ascii="Arial" w:cs="Arial" w:eastAsia="Arial" w:hAnsi="Arial"/>
          <w:sz w:val="22"/>
          <w:szCs w:val="22"/>
        </w:rPr>
        <w:t xml:space="preserve">Five sections: initiation, scope and impact, response actions, due diligence, closure. Letter generation produces customer notifications via the docx package. company_profile table holds the issuing-company information. Michigan does not allow product return for remediation; tracking ends when product is accepted at retail and destruction confirmation typically arrives as a retailer attachment.</w:t>
      </w:r>
    </w:p>
    <w:p>
      <w:pPr>
        <w:pStyle w:val="Heading2"/>
        <w:spacing w:after="160" w:before="280"/>
      </w:pPr>
      <w:r>
        <w:rPr>
          <w:rFonts w:ascii="Arial" w:cs="Arial" w:eastAsia="Arial" w:hAnsi="Arial"/>
          <w:b/>
          <w:bCs/>
          <w:color w:val="1F3864"/>
          <w:sz w:val="26"/>
          <w:szCs w:val="26"/>
        </w:rPr>
        <w:t xml:space="preserve">7.10 packaging_design_approvals</w:t>
      </w:r>
    </w:p>
    <w:p>
      <w:pPr>
        <w:spacing w:after="120"/>
      </w:pPr>
      <w:r>
        <w:rPr>
          <w:rFonts w:ascii="Arial" w:cs="Arial" w:eastAsia="Arial" w:hAnsi="Arial"/>
          <w:sz w:val="22"/>
          <w:szCs w:val="22"/>
        </w:rPr>
        <w:t xml:space="preserve">Per-design approval records with checklist responses and attachments. File upload is a placeholder; URL references store packaging artwork pointers today.</w:t>
      </w:r>
    </w:p>
    <w:p>
      <w:pPr>
        <w:pStyle w:val="Heading2"/>
        <w:spacing w:after="160" w:before="280"/>
      </w:pPr>
      <w:r>
        <w:rPr>
          <w:rFonts w:ascii="Arial" w:cs="Arial" w:eastAsia="Arial" w:hAnsi="Arial"/>
          <w:b/>
          <w:bCs/>
          <w:color w:val="1F3864"/>
          <w:sz w:val="26"/>
          <w:szCs w:val="26"/>
        </w:rPr>
        <w:t xml:space="preserve">7.11 regulatory_config</w:t>
      </w:r>
    </w:p>
    <w:p>
      <w:pPr>
        <w:spacing w:after="120"/>
      </w:pPr>
      <w:r>
        <w:rPr>
          <w:rFonts w:ascii="Arial" w:cs="Arial" w:eastAsia="Arial" w:hAnsi="Arial"/>
          <w:sz w:val="22"/>
          <w:szCs w:val="22"/>
        </w:rPr>
        <w:t xml:space="preserve">State-keyed configuration table. Holds potency limits, container thresholds, tolerance percentages, retention periods, and any other state-specific value. This is the spine of multi-state scalability — module logic reads from this table rather than hardcoding values.</w:t>
      </w:r>
    </w:p>
    <w:p>
      <w:pPr>
        <w:pStyle w:val="Heading2"/>
        <w:spacing w:after="160" w:before="280"/>
      </w:pPr>
      <w:r>
        <w:rPr>
          <w:rFonts w:ascii="Arial" w:cs="Arial" w:eastAsia="Arial" w:hAnsi="Arial"/>
          <w:b/>
          <w:bCs/>
          <w:color w:val="1F3864"/>
          <w:sz w:val="26"/>
          <w:szCs w:val="26"/>
        </w:rPr>
        <w:t xml:space="preserve">7.12 users and company_profile</w:t>
      </w:r>
    </w:p>
    <w:p>
      <w:pPr>
        <w:spacing w:after="120"/>
      </w:pPr>
      <w:r>
        <w:rPr>
          <w:rFonts w:ascii="Arial" w:cs="Arial" w:eastAsia="Arial" w:hAnsi="Arial"/>
          <w:sz w:val="22"/>
          <w:szCs w:val="22"/>
        </w:rPr>
        <w:t xml:space="preserve">users holds initials, role, full name, email, and active flag. Initials are the basis for Part 11 signature validation. company_profile holds the licensee's information used in generated letters and reports.</w:t>
      </w:r>
    </w:p>
    <w:p>
      <w:pPr>
        <w:pStyle w:val="Heading2"/>
        <w:spacing w:after="160" w:before="280"/>
      </w:pPr>
      <w:r>
        <w:rPr>
          <w:rFonts w:ascii="Arial" w:cs="Arial" w:eastAsia="Arial" w:hAnsi="Arial"/>
          <w:b/>
          <w:bCs/>
          <w:color w:val="1F3864"/>
          <w:sz w:val="26"/>
          <w:szCs w:val="26"/>
        </w:rPr>
        <w:t xml:space="preserve">7.13 audit_log</w:t>
      </w:r>
    </w:p>
    <w:p>
      <w:pPr>
        <w:spacing w:after="120"/>
      </w:pPr>
      <w:r>
        <w:rPr>
          <w:rFonts w:ascii="Arial" w:cs="Arial" w:eastAsia="Arial" w:hAnsi="Arial"/>
          <w:sz w:val="22"/>
          <w:szCs w:val="22"/>
        </w:rPr>
        <w:t xml:space="preserve">Single destination table written by 139 active Postgres triggers across all regulated tables. Each row captures table_name, row_id, operation (INSERT/UPDATE/DELETE), changed_by user_id, changed_at timestamp, before-state JSON, after-state JSON.</w:t>
      </w:r>
    </w:p>
    <w:p>
      <w:r>
        <w:br w:type="page"/>
      </w:r>
    </w:p>
    <w:p>
      <w:pPr>
        <w:pStyle w:val="Heading1"/>
        <w:spacing w:after="200" w:before="360"/>
      </w:pPr>
      <w:r>
        <w:rPr>
          <w:rFonts w:ascii="Arial" w:cs="Arial" w:eastAsia="Arial" w:hAnsi="Arial"/>
          <w:b/>
          <w:bCs/>
          <w:color w:val="1F3864"/>
          <w:sz w:val="32"/>
          <w:szCs w:val="32"/>
        </w:rPr>
        <w:t xml:space="preserve">8. 21 CFR Part 11 Implementation</w:t>
      </w:r>
    </w:p>
    <w:p>
      <w:pPr>
        <w:spacing w:after="120"/>
      </w:pPr>
      <w:r>
        <w:rPr>
          <w:rFonts w:ascii="Arial" w:cs="Arial" w:eastAsia="Arial" w:hAnsi="Arial"/>
          <w:sz w:val="22"/>
          <w:szCs w:val="22"/>
        </w:rPr>
        <w:t xml:space="preserve">Every electronic signature event in CannaQMS captures four elements:</w:t>
      </w:r>
    </w:p>
    <w:p>
      <w:pPr>
        <w:pStyle w:val="ListParagraph"/>
        <w:numPr>
          <w:ilvl w:val="0"/>
          <w:numId w:val="2"/>
        </w:numPr>
        <w:spacing w:after="80"/>
      </w:pPr>
      <w:r>
        <w:rPr>
          <w:rFonts w:ascii="Arial" w:cs="Arial" w:eastAsia="Arial" w:hAnsi="Arial"/>
          <w:sz w:val="22"/>
          <w:szCs w:val="22"/>
        </w:rPr>
        <w:t xml:space="preserve">Signer initials, validated against the user record before the action is permitted.</w:t>
      </w:r>
    </w:p>
    <w:p>
      <w:pPr>
        <w:pStyle w:val="ListParagraph"/>
        <w:numPr>
          <w:ilvl w:val="0"/>
          <w:numId w:val="2"/>
        </w:numPr>
        <w:spacing w:after="80"/>
      </w:pPr>
      <w:r>
        <w:rPr>
          <w:rFonts w:ascii="Arial" w:cs="Arial" w:eastAsia="Arial" w:hAnsi="Arial"/>
          <w:sz w:val="22"/>
          <w:szCs w:val="22"/>
        </w:rPr>
        <w:t xml:space="preserve">Date and time of signing, written as a timestamp.</w:t>
      </w:r>
    </w:p>
    <w:p>
      <w:pPr>
        <w:pStyle w:val="ListParagraph"/>
        <w:numPr>
          <w:ilvl w:val="0"/>
          <w:numId w:val="2"/>
        </w:numPr>
        <w:spacing w:after="80"/>
      </w:pPr>
      <w:r>
        <w:rPr>
          <w:rFonts w:ascii="Arial" w:cs="Arial" w:eastAsia="Arial" w:hAnsi="Arial"/>
          <w:sz w:val="22"/>
          <w:szCs w:val="22"/>
        </w:rPr>
        <w:t xml:space="preserve">The meaning of the signature, context-specific (Released, Approved, Responded, Verified, etc.).</w:t>
      </w:r>
    </w:p>
    <w:p>
      <w:pPr>
        <w:pStyle w:val="ListParagraph"/>
        <w:numPr>
          <w:ilvl w:val="0"/>
          <w:numId w:val="2"/>
        </w:numPr>
        <w:spacing w:after="80"/>
      </w:pPr>
      <w:r>
        <w:rPr>
          <w:rFonts w:ascii="Arial" w:cs="Arial" w:eastAsia="Arial" w:hAnsi="Arial"/>
          <w:sz w:val="22"/>
          <w:szCs w:val="22"/>
        </w:rPr>
        <w:t xml:space="preserve">The signer's user ID, written to a UUID column alongside the initials.</w:t>
      </w:r>
    </w:p>
    <w:p>
      <w:pPr>
        <w:pStyle w:val="Heading2"/>
        <w:spacing w:after="160" w:before="280"/>
      </w:pPr>
      <w:r>
        <w:rPr>
          <w:rFonts w:ascii="Arial" w:cs="Arial" w:eastAsia="Arial" w:hAnsi="Arial"/>
          <w:b/>
          <w:bCs/>
          <w:color w:val="1F3864"/>
          <w:sz w:val="26"/>
          <w:szCs w:val="26"/>
        </w:rPr>
        <w:t xml:space="preserve">8.1 Validation Pattern</w:t>
      </w:r>
    </w:p>
    <w:p>
      <w:pPr>
        <w:spacing w:after="120"/>
      </w:pPr>
      <w:r>
        <w:rPr>
          <w:rFonts w:ascii="Arial" w:cs="Arial" w:eastAsia="Arial" w:hAnsi="Arial"/>
          <w:sz w:val="22"/>
          <w:szCs w:val="22"/>
        </w:rPr>
        <w:t xml:space="preserve">Read initials from input component → fetch current user's initials from users table via localStorage.values.userId → compare case-insensitively → block if mismatch with user-facing notification → on match, write to the target table with Prefer: return=representation → update state from the returned row → trigger downstream refresh.</w:t>
      </w:r>
    </w:p>
    <w:p>
      <w:pPr>
        <w:pStyle w:val="Heading2"/>
        <w:spacing w:after="160" w:before="280"/>
      </w:pPr>
      <w:r>
        <w:rPr>
          <w:rFonts w:ascii="Arial" w:cs="Arial" w:eastAsia="Arial" w:hAnsi="Arial"/>
          <w:b/>
          <w:bCs/>
          <w:color w:val="1F3864"/>
          <w:sz w:val="26"/>
          <w:szCs w:val="26"/>
        </w:rPr>
        <w:t xml:space="preserve">8.2 Duplicate Action Guards</w:t>
      </w:r>
    </w:p>
    <w:p>
      <w:pPr>
        <w:spacing w:after="120"/>
      </w:pPr>
      <w:r>
        <w:rPr>
          <w:rFonts w:ascii="Arial" w:cs="Arial" w:eastAsia="Arial" w:hAnsi="Arial"/>
          <w:sz w:val="22"/>
          <w:szCs w:val="22"/>
        </w:rPr>
        <w:t xml:space="preserve">Every release/sign-off path includes a duplicate-action guard. releaseBatch checks current status before acting; checklist response saves check whether a prior response exists for the same item; section approvals check approval_date for non-null.</w:t>
      </w:r>
    </w:p>
    <w:p>
      <w:pPr>
        <w:pStyle w:val="Heading2"/>
        <w:spacing w:after="160" w:before="280"/>
      </w:pPr>
      <w:r>
        <w:rPr>
          <w:rFonts w:ascii="Arial" w:cs="Arial" w:eastAsia="Arial" w:hAnsi="Arial"/>
          <w:b/>
          <w:bCs/>
          <w:color w:val="1F3864"/>
          <w:sz w:val="26"/>
          <w:szCs w:val="26"/>
        </w:rPr>
        <w:t xml:space="preserve">8.3 Audit Trail Coverage</w:t>
      </w:r>
    </w:p>
    <w:p>
      <w:pPr>
        <w:spacing w:after="120"/>
      </w:pPr>
      <w:r>
        <w:rPr>
          <w:rFonts w:ascii="Arial" w:cs="Arial" w:eastAsia="Arial" w:hAnsi="Arial"/>
          <w:sz w:val="22"/>
          <w:szCs w:val="22"/>
        </w:rPr>
        <w:t xml:space="preserve">139 triggers cover every regulated table. Triggers fire on INSERT, UPDATE, and DELETE; capture before and after states as JSONB; write to the central audit_log with the acting user_id.</w:t>
      </w:r>
    </w:p>
    <w:p>
      <w:r>
        <w:br w:type="page"/>
      </w:r>
    </w:p>
    <w:p>
      <w:pPr>
        <w:pStyle w:val="Heading1"/>
        <w:spacing w:after="200" w:before="360"/>
      </w:pPr>
      <w:r>
        <w:rPr>
          <w:rFonts w:ascii="Arial" w:cs="Arial" w:eastAsia="Arial" w:hAnsi="Arial"/>
          <w:b/>
          <w:bCs/>
          <w:color w:val="1F3864"/>
          <w:sz w:val="32"/>
          <w:szCs w:val="32"/>
        </w:rPr>
        <w:t xml:space="preserve">9. AI Integration and ISO 42001</w:t>
      </w:r>
    </w:p>
    <w:p>
      <w:pPr>
        <w:pStyle w:val="Heading2"/>
        <w:spacing w:after="160" w:before="280"/>
      </w:pPr>
      <w:r>
        <w:rPr>
          <w:rFonts w:ascii="Arial" w:cs="Arial" w:eastAsia="Arial" w:hAnsi="Arial"/>
          <w:b/>
          <w:bCs/>
          <w:color w:val="1F3864"/>
          <w:sz w:val="26"/>
          <w:szCs w:val="26"/>
        </w:rPr>
        <w:t xml:space="preserve">9.1 AI Differentiator</w:t>
      </w:r>
    </w:p>
    <w:p>
      <w:pPr>
        <w:spacing w:after="120"/>
      </w:pPr>
      <w:r>
        <w:rPr>
          <w:rFonts w:ascii="Arial" w:cs="Arial" w:eastAsia="Arial" w:hAnsi="Arial"/>
          <w:sz w:val="22"/>
          <w:szCs w:val="22"/>
        </w:rPr>
        <w:t xml:space="preserve">AI-assisted automation is a stated competitive differentiator and is applied across modules — not bolted on as a single feature. Examples include guided checklist completion, anomaly detection in batch data, suggested classifications, and (planned) OCR for handwritten batch records.</w:t>
      </w:r>
    </w:p>
    <w:p>
      <w:pPr>
        <w:pStyle w:val="Heading2"/>
        <w:spacing w:after="160" w:before="280"/>
      </w:pPr>
      <w:r>
        <w:rPr>
          <w:rFonts w:ascii="Arial" w:cs="Arial" w:eastAsia="Arial" w:hAnsi="Arial"/>
          <w:b/>
          <w:bCs/>
          <w:color w:val="1F3864"/>
          <w:sz w:val="26"/>
          <w:szCs w:val="26"/>
        </w:rPr>
        <w:t xml:space="preserve">9.2 ISO 42001 Compliance Posture</w:t>
      </w:r>
    </w:p>
    <w:p>
      <w:pPr>
        <w:spacing w:after="120"/>
      </w:pPr>
      <w:r>
        <w:rPr>
          <w:rFonts w:ascii="Arial" w:cs="Arial" w:eastAsia="Arial" w:hAnsi="Arial"/>
          <w:sz w:val="22"/>
          <w:szCs w:val="22"/>
        </w:rPr>
        <w:t xml:space="preserve">ISO/IEC 42001:2023 requires an AI Management System covering AI life-cycle documentation, risk management, data quality, verification and validation, human oversight, and impact assessment. CannaQMS commits to this standard because we ship AI-assisted workflows that influence regulated decisions. A formal compliance design session is required before first customer deployment to produce:</w:t>
      </w:r>
    </w:p>
    <w:p>
      <w:pPr>
        <w:pStyle w:val="ListParagraph"/>
        <w:numPr>
          <w:ilvl w:val="0"/>
          <w:numId w:val="2"/>
        </w:numPr>
        <w:spacing w:after="80"/>
      </w:pPr>
      <w:r>
        <w:rPr>
          <w:rFonts w:ascii="Arial" w:cs="Arial" w:eastAsia="Arial" w:hAnsi="Arial"/>
          <w:sz w:val="22"/>
          <w:szCs w:val="22"/>
        </w:rPr>
        <w:t xml:space="preserve">AI system design and architecture documentation per ISO 42001 B.6.2.3.</w:t>
      </w:r>
    </w:p>
    <w:p>
      <w:pPr>
        <w:pStyle w:val="ListParagraph"/>
        <w:numPr>
          <w:ilvl w:val="0"/>
          <w:numId w:val="2"/>
        </w:numPr>
        <w:spacing w:after="80"/>
      </w:pPr>
      <w:r>
        <w:rPr>
          <w:rFonts w:ascii="Arial" w:cs="Arial" w:eastAsia="Arial" w:hAnsi="Arial"/>
          <w:sz w:val="22"/>
          <w:szCs w:val="22"/>
        </w:rPr>
        <w:t xml:space="preserve">Verification and validation plan per ISO 42001 B.6.2.4.</w:t>
      </w:r>
    </w:p>
    <w:p>
      <w:pPr>
        <w:pStyle w:val="ListParagraph"/>
        <w:numPr>
          <w:ilvl w:val="0"/>
          <w:numId w:val="2"/>
        </w:numPr>
        <w:spacing w:after="80"/>
      </w:pPr>
      <w:r>
        <w:rPr>
          <w:rFonts w:ascii="Arial" w:cs="Arial" w:eastAsia="Arial" w:hAnsi="Arial"/>
          <w:sz w:val="22"/>
          <w:szCs w:val="22"/>
        </w:rPr>
        <w:t xml:space="preserve">Data quality controls and assumptions per ISO 42001 B.7.</w:t>
      </w:r>
    </w:p>
    <w:p>
      <w:pPr>
        <w:pStyle w:val="ListParagraph"/>
        <w:numPr>
          <w:ilvl w:val="0"/>
          <w:numId w:val="2"/>
        </w:numPr>
        <w:spacing w:after="80"/>
      </w:pPr>
      <w:r>
        <w:rPr>
          <w:rFonts w:ascii="Arial" w:cs="Arial" w:eastAsia="Arial" w:hAnsi="Arial"/>
          <w:sz w:val="22"/>
          <w:szCs w:val="22"/>
        </w:rPr>
        <w:t xml:space="preserve">Risk assessment for AI-influenced regulated decisions.</w:t>
      </w:r>
    </w:p>
    <w:p>
      <w:pPr>
        <w:pStyle w:val="ListParagraph"/>
        <w:numPr>
          <w:ilvl w:val="0"/>
          <w:numId w:val="2"/>
        </w:numPr>
        <w:spacing w:after="80"/>
      </w:pPr>
      <w:r>
        <w:rPr>
          <w:rFonts w:ascii="Arial" w:cs="Arial" w:eastAsia="Arial" w:hAnsi="Arial"/>
          <w:sz w:val="22"/>
          <w:szCs w:val="22"/>
        </w:rPr>
        <w:t xml:space="preserve">Human-in-the-loop controls for any decision that has compliance consequences.</w:t>
      </w:r>
    </w:p>
    <w:p>
      <w:pPr>
        <w:pStyle w:val="Heading2"/>
        <w:spacing w:after="160" w:before="280"/>
      </w:pPr>
      <w:r>
        <w:rPr>
          <w:rFonts w:ascii="Arial" w:cs="Arial" w:eastAsia="Arial" w:hAnsi="Arial"/>
          <w:b/>
          <w:bCs/>
          <w:color w:val="1F3864"/>
          <w:sz w:val="26"/>
          <w:szCs w:val="26"/>
        </w:rPr>
        <w:t xml:space="preserve">9.3 In-Scope AI-Assisted Capabilities (Planned and Active)</w:t>
      </w:r>
    </w:p>
    <w:p>
      <w:pPr>
        <w:pStyle w:val="ListParagraph"/>
        <w:numPr>
          <w:ilvl w:val="0"/>
          <w:numId w:val="2"/>
        </w:numPr>
        <w:spacing w:after="80"/>
      </w:pPr>
      <w:r>
        <w:rPr>
          <w:rFonts w:ascii="Arial" w:cs="Arial" w:eastAsia="Arial" w:hAnsi="Arial"/>
          <w:sz w:val="22"/>
          <w:szCs w:val="22"/>
        </w:rPr>
        <w:t xml:space="preserve">Guided compliance checklist completion.</w:t>
      </w:r>
    </w:p>
    <w:p>
      <w:pPr>
        <w:pStyle w:val="ListParagraph"/>
        <w:numPr>
          <w:ilvl w:val="0"/>
          <w:numId w:val="2"/>
        </w:numPr>
        <w:spacing w:after="80"/>
      </w:pPr>
      <w:r>
        <w:rPr>
          <w:rFonts w:ascii="Arial" w:cs="Arial" w:eastAsia="Arial" w:hAnsi="Arial"/>
          <w:sz w:val="22"/>
          <w:szCs w:val="22"/>
        </w:rPr>
        <w:t xml:space="preserve">Suggested checklist responses based on batch context.</w:t>
      </w:r>
    </w:p>
    <w:p>
      <w:pPr>
        <w:pStyle w:val="ListParagraph"/>
        <w:numPr>
          <w:ilvl w:val="0"/>
          <w:numId w:val="2"/>
        </w:numPr>
        <w:spacing w:after="80"/>
      </w:pPr>
      <w:r>
        <w:rPr>
          <w:rFonts w:ascii="Arial" w:cs="Arial" w:eastAsia="Arial" w:hAnsi="Arial"/>
          <w:sz w:val="22"/>
          <w:szCs w:val="22"/>
        </w:rPr>
        <w:t xml:space="preserve">Anomaly detection on batch yield, potency, and timing data.</w:t>
      </w:r>
    </w:p>
    <w:p>
      <w:pPr>
        <w:pStyle w:val="ListParagraph"/>
        <w:numPr>
          <w:ilvl w:val="0"/>
          <w:numId w:val="2"/>
        </w:numPr>
        <w:spacing w:after="80"/>
      </w:pPr>
      <w:r>
        <w:rPr>
          <w:rFonts w:ascii="Arial" w:cs="Arial" w:eastAsia="Arial" w:hAnsi="Arial"/>
          <w:sz w:val="22"/>
          <w:szCs w:val="22"/>
        </w:rPr>
        <w:t xml:space="preserve">OCR for handwritten batch records (planned, longer-term).</w:t>
      </w:r>
    </w:p>
    <w:p>
      <w:pPr>
        <w:pStyle w:val="ListParagraph"/>
        <w:numPr>
          <w:ilvl w:val="0"/>
          <w:numId w:val="2"/>
        </w:numPr>
        <w:spacing w:after="80"/>
      </w:pPr>
      <w:r>
        <w:rPr>
          <w:rFonts w:ascii="Arial" w:cs="Arial" w:eastAsia="Arial" w:hAnsi="Arial"/>
          <w:sz w:val="22"/>
          <w:szCs w:val="22"/>
        </w:rPr>
        <w:t xml:space="preserve">Regulatory source tracking with staleness alerts (planned).</w:t>
      </w:r>
    </w:p>
    <w:p>
      <w:r>
        <w:br w:type="page"/>
      </w:r>
    </w:p>
    <w:p>
      <w:pPr>
        <w:pStyle w:val="Heading1"/>
        <w:spacing w:after="200" w:before="360"/>
      </w:pPr>
      <w:r>
        <w:rPr>
          <w:rFonts w:ascii="Arial" w:cs="Arial" w:eastAsia="Arial" w:hAnsi="Arial"/>
          <w:b/>
          <w:bCs/>
          <w:color w:val="1F3864"/>
          <w:sz w:val="32"/>
          <w:szCs w:val="32"/>
        </w:rPr>
        <w:t xml:space="preserve">10. Integrations</w:t>
      </w:r>
    </w:p>
    <w:p>
      <w:pPr>
        <w:pStyle w:val="Heading2"/>
        <w:spacing w:after="160" w:before="280"/>
      </w:pPr>
      <w:r>
        <w:rPr>
          <w:rFonts w:ascii="Arial" w:cs="Arial" w:eastAsia="Arial" w:hAnsi="Arial"/>
          <w:b/>
          <w:bCs/>
          <w:color w:val="1F3864"/>
          <w:sz w:val="26"/>
          <w:szCs w:val="26"/>
        </w:rPr>
        <w:t xml:space="preserve">10.1 METRC (Active — Manual)</w:t>
      </w:r>
    </w:p>
    <w:p>
      <w:pPr>
        <w:spacing w:after="120"/>
      </w:pPr>
      <w:r>
        <w:rPr>
          <w:rFonts w:ascii="Arial" w:cs="Arial" w:eastAsia="Arial" w:hAnsi="Arial"/>
          <w:sz w:val="22"/>
          <w:szCs w:val="22"/>
        </w:rPr>
        <w:t xml:space="preserve">Phase 1 is manual parallel entry. Operators enter data in CannaQMS and METRC separately. The system is designed to accept METRC package and tag identifiers as data fields so Phase 2 can transition to API-based linkage without schema change. Customers must be told explicitly that parallel entry is the current state.</w:t>
      </w:r>
    </w:p>
    <w:p>
      <w:pPr>
        <w:pStyle w:val="Heading2"/>
        <w:spacing w:after="160" w:before="280"/>
      </w:pPr>
      <w:r>
        <w:rPr>
          <w:rFonts w:ascii="Arial" w:cs="Arial" w:eastAsia="Arial" w:hAnsi="Arial"/>
          <w:b/>
          <w:bCs/>
          <w:color w:val="1F3864"/>
          <w:sz w:val="26"/>
          <w:szCs w:val="26"/>
        </w:rPr>
        <w:t xml:space="preserve">10.2 METRC (Phase 2 — API)</w:t>
      </w:r>
    </w:p>
    <w:p>
      <w:pPr>
        <w:spacing w:after="120"/>
      </w:pPr>
      <w:r>
        <w:rPr>
          <w:rFonts w:ascii="Arial" w:cs="Arial" w:eastAsia="Arial" w:hAnsi="Arial"/>
          <w:sz w:val="22"/>
          <w:szCs w:val="22"/>
        </w:rPr>
        <w:t xml:space="preserve">Automated COA result fetching is the first API integration priority. After that, package linkage and tag pull. Phase 2 is part of React migration scope.</w:t>
      </w:r>
    </w:p>
    <w:p>
      <w:pPr>
        <w:pStyle w:val="Heading2"/>
        <w:spacing w:after="160" w:before="280"/>
      </w:pPr>
      <w:r>
        <w:rPr>
          <w:rFonts w:ascii="Arial" w:cs="Arial" w:eastAsia="Arial" w:hAnsi="Arial"/>
          <w:b/>
          <w:bCs/>
          <w:color w:val="1F3864"/>
          <w:sz w:val="26"/>
          <w:szCs w:val="26"/>
        </w:rPr>
        <w:t xml:space="preserve">10.3 BioTrackTHC and Leaf Data Systems (Future)</w:t>
      </w:r>
    </w:p>
    <w:p>
      <w:pPr>
        <w:spacing w:after="120"/>
      </w:pPr>
      <w:r>
        <w:rPr>
          <w:rFonts w:ascii="Arial" w:cs="Arial" w:eastAsia="Arial" w:hAnsi="Arial"/>
          <w:sz w:val="22"/>
          <w:szCs w:val="22"/>
        </w:rPr>
        <w:t xml:space="preserve">State-level traceability remains a first-class consideration. BioTrackTHC (used in Washington, Hawaii, others) and Leaf Data Systems (used in Pennsylvania) integrations are scoped as part of state expansion.</w:t>
      </w:r>
    </w:p>
    <w:p>
      <w:pPr>
        <w:pStyle w:val="Heading2"/>
        <w:spacing w:after="160" w:before="280"/>
      </w:pPr>
      <w:r>
        <w:rPr>
          <w:rFonts w:ascii="Arial" w:cs="Arial" w:eastAsia="Arial" w:hAnsi="Arial"/>
          <w:b/>
          <w:bCs/>
          <w:color w:val="1F3864"/>
          <w:sz w:val="26"/>
          <w:szCs w:val="26"/>
        </w:rPr>
        <w:t xml:space="preserve">10.4 Document Generation</w:t>
      </w:r>
    </w:p>
    <w:p>
      <w:pPr>
        <w:spacing w:after="120"/>
      </w:pPr>
      <w:r>
        <w:rPr>
          <w:rFonts w:ascii="Arial" w:cs="Arial" w:eastAsia="Arial" w:hAnsi="Arial"/>
          <w:sz w:val="22"/>
          <w:szCs w:val="22"/>
        </w:rPr>
        <w:t xml:space="preserve">Letter generation for Field Actions uses the docx Node.js package. Output is previewed in a TextArea inside Retool with clipboard copy. External print software produces physical labels — no in-app print is required.</w:t>
      </w:r>
    </w:p>
    <w:p>
      <w:r>
        <w:br w:type="page"/>
      </w:r>
    </w:p>
    <w:p>
      <w:pPr>
        <w:pStyle w:val="Heading1"/>
        <w:spacing w:after="200" w:before="360"/>
      </w:pPr>
      <w:r>
        <w:rPr>
          <w:rFonts w:ascii="Arial" w:cs="Arial" w:eastAsia="Arial" w:hAnsi="Arial"/>
          <w:b/>
          <w:bCs/>
          <w:color w:val="1F3864"/>
          <w:sz w:val="32"/>
          <w:szCs w:val="32"/>
        </w:rPr>
        <w:t xml:space="preserve">11. Security, Privacy, and Records Retention</w:t>
      </w:r>
    </w:p>
    <w:p>
      <w:pPr>
        <w:pStyle w:val="Heading2"/>
        <w:spacing w:after="160" w:before="280"/>
      </w:pPr>
      <w:r>
        <w:rPr>
          <w:rFonts w:ascii="Arial" w:cs="Arial" w:eastAsia="Arial" w:hAnsi="Arial"/>
          <w:b/>
          <w:bCs/>
          <w:color w:val="1F3864"/>
          <w:sz w:val="26"/>
          <w:szCs w:val="26"/>
        </w:rPr>
        <w:t xml:space="preserve">11.1 Records Retention</w:t>
      </w:r>
    </w:p>
    <w:p>
      <w:pPr>
        <w:spacing w:after="120"/>
      </w:pPr>
      <w:r>
        <w:rPr>
          <w:rFonts w:ascii="Arial" w:cs="Arial" w:eastAsia="Arial" w:hAnsi="Arial"/>
          <w:sz w:val="22"/>
          <w:szCs w:val="22"/>
        </w:rPr>
        <w:t xml:space="preserve">Michigan requires four-year retention of all batch records, testing records, complaints, NCs, field actions, and supplier records. This must be communicated to customers as a contractual requirement. The data model is designed to support retention via soft-delete patterns and audit-trail preservation rather than hard deletion.</w:t>
      </w:r>
    </w:p>
    <w:p>
      <w:pPr>
        <w:pStyle w:val="Heading2"/>
        <w:spacing w:after="160" w:before="280"/>
      </w:pPr>
      <w:r>
        <w:rPr>
          <w:rFonts w:ascii="Arial" w:cs="Arial" w:eastAsia="Arial" w:hAnsi="Arial"/>
          <w:b/>
          <w:bCs/>
          <w:color w:val="1F3864"/>
          <w:sz w:val="26"/>
          <w:szCs w:val="26"/>
        </w:rPr>
        <w:t xml:space="preserve">11.2 Authentication and Access</w:t>
      </w:r>
    </w:p>
    <w:p>
      <w:pPr>
        <w:spacing w:after="120"/>
      </w:pPr>
      <w:r>
        <w:rPr>
          <w:rFonts w:ascii="Arial" w:cs="Arial" w:eastAsia="Arial" w:hAnsi="Arial"/>
          <w:sz w:val="22"/>
          <w:szCs w:val="22"/>
        </w:rPr>
        <w:t xml:space="preserve">Interim auth is localStorage-based with role enforcement on the client. Production auth (post-migration) requires server-side session management, role enforcement at the API layer, MFA, and SSO support.</w:t>
      </w:r>
    </w:p>
    <w:p>
      <w:pPr>
        <w:pStyle w:val="Heading2"/>
        <w:spacing w:after="160" w:before="280"/>
      </w:pPr>
      <w:r>
        <w:rPr>
          <w:rFonts w:ascii="Arial" w:cs="Arial" w:eastAsia="Arial" w:hAnsi="Arial"/>
          <w:b/>
          <w:bCs/>
          <w:color w:val="1F3864"/>
          <w:sz w:val="26"/>
          <w:szCs w:val="26"/>
        </w:rPr>
        <w:t xml:space="preserve">11.3 Row-Level Security</w:t>
      </w:r>
    </w:p>
    <w:p>
      <w:pPr>
        <w:spacing w:after="120"/>
      </w:pPr>
      <w:r>
        <w:rPr>
          <w:rFonts w:ascii="Arial" w:cs="Arial" w:eastAsia="Arial" w:hAnsi="Arial"/>
          <w:sz w:val="22"/>
          <w:szCs w:val="22"/>
        </w:rPr>
        <w:t xml:space="preserve">RLS is explicitly enabled per table in Supabase. Each new table requires both ENABLE ROW LEVEL SECURITY and an explicit anon-role policy. Multi-tenant isolation is part of the React migration scope.</w:t>
      </w:r>
    </w:p>
    <w:p>
      <w:pPr>
        <w:pStyle w:val="Heading2"/>
        <w:spacing w:after="160" w:before="280"/>
      </w:pPr>
      <w:r>
        <w:rPr>
          <w:rFonts w:ascii="Arial" w:cs="Arial" w:eastAsia="Arial" w:hAnsi="Arial"/>
          <w:b/>
          <w:bCs/>
          <w:color w:val="1F3864"/>
          <w:sz w:val="26"/>
          <w:szCs w:val="26"/>
        </w:rPr>
        <w:t xml:space="preserve">11.4 Data Sensitivity</w:t>
      </w:r>
    </w:p>
    <w:p>
      <w:pPr>
        <w:spacing w:after="120"/>
      </w:pPr>
      <w:r>
        <w:rPr>
          <w:rFonts w:ascii="Arial" w:cs="Arial" w:eastAsia="Arial" w:hAnsi="Arial"/>
          <w:sz w:val="22"/>
          <w:szCs w:val="22"/>
        </w:rPr>
        <w:t xml:space="preserve">CannaQMS holds operational and compliance data. It does not hold consumer PHI or PII beyond the limited customer information captured in complaints. Customer contact data captured during complaint intake is treated as confidential and not exposed in dashboards or reports.</w:t>
      </w:r>
    </w:p>
    <w:p>
      <w:r>
        <w:br w:type="page"/>
      </w:r>
    </w:p>
    <w:p>
      <w:pPr>
        <w:pStyle w:val="Heading1"/>
        <w:spacing w:after="200" w:before="360"/>
      </w:pPr>
      <w:r>
        <w:rPr>
          <w:rFonts w:ascii="Arial" w:cs="Arial" w:eastAsia="Arial" w:hAnsi="Arial"/>
          <w:b/>
          <w:bCs/>
          <w:color w:val="1F3864"/>
          <w:sz w:val="32"/>
          <w:szCs w:val="32"/>
        </w:rPr>
        <w:t xml:space="preserve">12. Known Limitations and Open Items</w:t>
      </w:r>
    </w:p>
    <w:p>
      <w:pPr>
        <w:pStyle w:val="Heading2"/>
        <w:spacing w:after="160" w:before="280"/>
      </w:pPr>
      <w:r>
        <w:rPr>
          <w:rFonts w:ascii="Arial" w:cs="Arial" w:eastAsia="Arial" w:hAnsi="Arial"/>
          <w:b/>
          <w:bCs/>
          <w:color w:val="1F3864"/>
          <w:sz w:val="26"/>
          <w:szCs w:val="26"/>
        </w:rPr>
        <w:t xml:space="preserve">12.1 Pre-Go-Live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49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Fresh-start onboarding simulation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High</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Clear all test data and run complete operator scenario from scratch. Go-live gate.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Drop legacy compliance_checklist_records table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Low</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Empty; cleanup only.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Batch checklist static item removal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High</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Items 17–18 (Flower) and 22–23, 25–26 (Edible). Blocked by FK constraint until test data cleared.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Section read-only locking after save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Medium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Container locking pattern, applied consistently across all batch sections post-save.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Section status indicators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Medium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"Saved on DATE" pattern across Ingredients, Output, Testing, Packaging.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Batch output quantity definition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High</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Formal decision needed: individual units (Option A) vs finished packages (Option B).</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Testing Agency field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Low</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Convert to Select bound to Suppliers table filtered by supplier_type='Testing Laboratory'.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Workflow F items 3–5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High</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Wire supplier Select into Inventory and Non-Conformances; Testing Agency Select.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Manager-role Batch Ingredients Actual Qty bug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Medium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Quantities not displaying for Manager role. Root cause not identified.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Customer communication: METRC parallel entry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High</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Documented expectation that operators enter into both CannaQMS and METRC during Phase 1.</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Customer communication: 4-year retention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High</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2"/>
                <w:szCs w:val="22"/>
              </w:rPr>
              <w:t xml:space="preserve">Contractual requirement.</w:t>
            </w:r>
          </w:p>
        </w:tc>
      </w:tr>
    </w:tbl>
    <w:p>
      <w:pPr>
        <w:pStyle w:val="Heading2"/>
        <w:spacing w:after="160" w:before="280"/>
      </w:pPr>
      <w:r>
        <w:rPr>
          <w:rFonts w:ascii="Arial" w:cs="Arial" w:eastAsia="Arial" w:hAnsi="Arial"/>
          <w:b/>
          <w:bCs/>
          <w:color w:val="1F3864"/>
          <w:sz w:val="26"/>
          <w:szCs w:val="26"/>
        </w:rPr>
        <w:t xml:space="preserve">12.2 Post-MVP Items</w:t>
      </w:r>
    </w:p>
    <w:p>
      <w:pPr>
        <w:pStyle w:val="ListParagraph"/>
        <w:numPr>
          <w:ilvl w:val="0"/>
          <w:numId w:val="2"/>
        </w:numPr>
        <w:spacing w:after="80"/>
      </w:pPr>
      <w:r>
        <w:rPr>
          <w:rFonts w:ascii="Arial" w:cs="Arial" w:eastAsia="Arial" w:hAnsi="Arial"/>
          <w:sz w:val="22"/>
          <w:szCs w:val="22"/>
        </w:rPr>
        <w:t xml:space="preserve">Dashboard drill-down (parked — requires RPC schema changes).</w:t>
      </w:r>
    </w:p>
    <w:p>
      <w:pPr>
        <w:pStyle w:val="ListParagraph"/>
        <w:numPr>
          <w:ilvl w:val="0"/>
          <w:numId w:val="2"/>
        </w:numPr>
        <w:spacing w:after="80"/>
      </w:pPr>
      <w:r>
        <w:rPr>
          <w:rFonts w:ascii="Arial" w:cs="Arial" w:eastAsia="Arial" w:hAnsi="Arial"/>
          <w:sz w:val="22"/>
          <w:szCs w:val="22"/>
        </w:rPr>
        <w:t xml:space="preserve">Proper authentication implementation (currently localStorage).</w:t>
      </w:r>
    </w:p>
    <w:p>
      <w:pPr>
        <w:pStyle w:val="ListParagraph"/>
        <w:numPr>
          <w:ilvl w:val="0"/>
          <w:numId w:val="2"/>
        </w:numPr>
        <w:spacing w:after="80"/>
      </w:pPr>
      <w:r>
        <w:rPr>
          <w:rFonts w:ascii="Arial" w:cs="Arial" w:eastAsia="Arial" w:hAnsi="Arial"/>
          <w:sz w:val="22"/>
          <w:szCs w:val="22"/>
        </w:rPr>
        <w:t xml:space="preserve">regulatory_config wiring into module validation logic.</w:t>
      </w:r>
    </w:p>
    <w:p>
      <w:pPr>
        <w:pStyle w:val="ListParagraph"/>
        <w:numPr>
          <w:ilvl w:val="0"/>
          <w:numId w:val="2"/>
        </w:numPr>
        <w:spacing w:after="80"/>
      </w:pPr>
      <w:r>
        <w:rPr>
          <w:rFonts w:ascii="Arial" w:cs="Arial" w:eastAsia="Arial" w:hAnsi="Arial"/>
          <w:sz w:val="22"/>
          <w:szCs w:val="22"/>
        </w:rPr>
        <w:t xml:space="preserve">Rename batch_ingredients to batch_materials for clarity.</w:t>
      </w:r>
    </w:p>
    <w:p>
      <w:pPr>
        <w:pStyle w:val="Heading2"/>
        <w:spacing w:after="160" w:before="280"/>
      </w:pPr>
      <w:r>
        <w:rPr>
          <w:rFonts w:ascii="Arial" w:cs="Arial" w:eastAsia="Arial" w:hAnsi="Arial"/>
          <w:b/>
          <w:bCs/>
          <w:color w:val="1F3864"/>
          <w:sz w:val="26"/>
          <w:szCs w:val="26"/>
        </w:rPr>
        <w:t xml:space="preserve">12.3 Deferred to React/Next.js Migration</w:t>
      </w:r>
    </w:p>
    <w:p>
      <w:pPr>
        <w:pStyle w:val="ListParagraph"/>
        <w:numPr>
          <w:ilvl w:val="0"/>
          <w:numId w:val="2"/>
        </w:numPr>
        <w:spacing w:after="80"/>
      </w:pPr>
      <w:r>
        <w:rPr>
          <w:rFonts w:ascii="Arial" w:cs="Arial" w:eastAsia="Arial" w:hAnsi="Arial"/>
          <w:sz w:val="22"/>
          <w:szCs w:val="22"/>
        </w:rPr>
        <w:t xml:space="preserve">Direct file upload for Packaging Design Approval and supplier attachments.</w:t>
      </w:r>
    </w:p>
    <w:p>
      <w:pPr>
        <w:pStyle w:val="ListParagraph"/>
        <w:numPr>
          <w:ilvl w:val="0"/>
          <w:numId w:val="2"/>
        </w:numPr>
        <w:spacing w:after="80"/>
      </w:pPr>
      <w:r>
        <w:rPr>
          <w:rFonts w:ascii="Arial" w:cs="Arial" w:eastAsia="Arial" w:hAnsi="Arial"/>
          <w:sz w:val="22"/>
          <w:szCs w:val="22"/>
        </w:rPr>
        <w:t xml:space="preserve">Server-side authentication and role enforcement.</w:t>
      </w:r>
    </w:p>
    <w:p>
      <w:pPr>
        <w:pStyle w:val="ListParagraph"/>
        <w:numPr>
          <w:ilvl w:val="0"/>
          <w:numId w:val="2"/>
        </w:numPr>
        <w:spacing w:after="80"/>
      </w:pPr>
      <w:r>
        <w:rPr>
          <w:rFonts w:ascii="Arial" w:cs="Arial" w:eastAsia="Arial" w:hAnsi="Arial"/>
          <w:sz w:val="22"/>
          <w:szCs w:val="22"/>
        </w:rPr>
        <w:t xml:space="preserve">METRC API Phase 2.</w:t>
      </w:r>
    </w:p>
    <w:p>
      <w:pPr>
        <w:pStyle w:val="ListParagraph"/>
        <w:numPr>
          <w:ilvl w:val="0"/>
          <w:numId w:val="2"/>
        </w:numPr>
        <w:spacing w:after="80"/>
      </w:pPr>
      <w:r>
        <w:rPr>
          <w:rFonts w:ascii="Arial" w:cs="Arial" w:eastAsia="Arial" w:hAnsi="Arial"/>
          <w:sz w:val="22"/>
          <w:szCs w:val="22"/>
        </w:rPr>
        <w:t xml:space="preserve">BioTrackTHC and Leaf Data Systems integration.</w:t>
      </w:r>
    </w:p>
    <w:p>
      <w:pPr>
        <w:pStyle w:val="ListParagraph"/>
        <w:numPr>
          <w:ilvl w:val="0"/>
          <w:numId w:val="2"/>
        </w:numPr>
        <w:spacing w:after="80"/>
      </w:pPr>
      <w:r>
        <w:rPr>
          <w:rFonts w:ascii="Arial" w:cs="Arial" w:eastAsia="Arial" w:hAnsi="Arial"/>
          <w:sz w:val="22"/>
          <w:szCs w:val="22"/>
        </w:rPr>
        <w:t xml:space="preserve">Illinois, New York, Pennsylvania state-specific module wiring.</w:t>
      </w:r>
    </w:p>
    <w:p>
      <w:pPr>
        <w:pStyle w:val="ListParagraph"/>
        <w:numPr>
          <w:ilvl w:val="0"/>
          <w:numId w:val="2"/>
        </w:numPr>
        <w:spacing w:after="80"/>
      </w:pPr>
      <w:r>
        <w:rPr>
          <w:rFonts w:ascii="Arial" w:cs="Arial" w:eastAsia="Arial" w:hAnsi="Arial"/>
          <w:sz w:val="22"/>
          <w:szCs w:val="22"/>
        </w:rPr>
        <w:t xml:space="preserve">Ohio — held pending S.B. 56 resolution.</w:t>
      </w:r>
    </w:p>
    <w:p>
      <w:pPr>
        <w:pStyle w:val="ListParagraph"/>
        <w:numPr>
          <w:ilvl w:val="0"/>
          <w:numId w:val="2"/>
        </w:numPr>
        <w:spacing w:after="80"/>
      </w:pPr>
      <w:r>
        <w:rPr>
          <w:rFonts w:ascii="Arial" w:cs="Arial" w:eastAsia="Arial" w:hAnsi="Arial"/>
          <w:sz w:val="22"/>
          <w:szCs w:val="22"/>
        </w:rPr>
        <w:t xml:space="preserve">ISO 42001 formal compliance design session and documentation.</w:t>
      </w:r>
    </w:p>
    <w:p>
      <w:pPr>
        <w:pStyle w:val="ListParagraph"/>
        <w:numPr>
          <w:ilvl w:val="0"/>
          <w:numId w:val="2"/>
        </w:numPr>
        <w:spacing w:after="80"/>
      </w:pPr>
      <w:r>
        <w:rPr>
          <w:rFonts w:ascii="Arial" w:cs="Arial" w:eastAsia="Arial" w:hAnsi="Arial"/>
          <w:sz w:val="22"/>
          <w:szCs w:val="22"/>
        </w:rPr>
        <w:t xml:space="preserve">Regulatory source tracking table with staleness alerts for users.</w:t>
      </w:r>
    </w:p>
    <w:p>
      <w:r>
        <w:br w:type="page"/>
      </w:r>
    </w:p>
    <w:p>
      <w:pPr>
        <w:pStyle w:val="Heading1"/>
        <w:spacing w:after="200" w:before="360"/>
      </w:pPr>
      <w:r>
        <w:rPr>
          <w:rFonts w:ascii="Arial" w:cs="Arial" w:eastAsia="Arial" w:hAnsi="Arial"/>
          <w:b/>
          <w:bCs/>
          <w:color w:val="1F3864"/>
          <w:sz w:val="32"/>
          <w:szCs w:val="32"/>
        </w:rPr>
        <w:t xml:space="preserve">13. Roadmap</w:t>
      </w:r>
    </w:p>
    <w:p>
      <w:pPr>
        <w:pStyle w:val="Heading2"/>
        <w:spacing w:after="160" w:before="280"/>
      </w:pPr>
      <w:r>
        <w:rPr>
          <w:rFonts w:ascii="Arial" w:cs="Arial" w:eastAsia="Arial" w:hAnsi="Arial"/>
          <w:b/>
          <w:bCs/>
          <w:color w:val="1F3864"/>
          <w:sz w:val="26"/>
          <w:szCs w:val="26"/>
        </w:rPr>
        <w:t xml:space="preserve">13.1 Near-Term (Pre-Go-Live)</w:t>
      </w:r>
    </w:p>
    <w:p>
      <w:pPr>
        <w:pStyle w:val="ListParagraph"/>
        <w:numPr>
          <w:ilvl w:val="0"/>
          <w:numId w:val="2"/>
        </w:numPr>
        <w:spacing w:after="80"/>
      </w:pPr>
      <w:r>
        <w:rPr>
          <w:rFonts w:ascii="Arial" w:cs="Arial" w:eastAsia="Arial" w:hAnsi="Arial"/>
          <w:sz w:val="22"/>
          <w:szCs w:val="22"/>
        </w:rPr>
        <w:t xml:space="preserve">Close Workstream F items 3–5 (supplier wiring into Inventory, Non-Conformances; Testing Agency Select).</w:t>
      </w:r>
    </w:p>
    <w:p>
      <w:pPr>
        <w:pStyle w:val="ListParagraph"/>
        <w:numPr>
          <w:ilvl w:val="0"/>
          <w:numId w:val="2"/>
        </w:numPr>
        <w:spacing w:after="80"/>
      </w:pPr>
      <w:r>
        <w:rPr>
          <w:rFonts w:ascii="Arial" w:cs="Arial" w:eastAsia="Arial" w:hAnsi="Arial"/>
          <w:sz w:val="22"/>
          <w:szCs w:val="22"/>
        </w:rPr>
        <w:t xml:space="preserve">Resolve open form-reset bug on Incoming Inspection.</w:t>
      </w:r>
    </w:p>
    <w:p>
      <w:pPr>
        <w:pStyle w:val="ListParagraph"/>
        <w:numPr>
          <w:ilvl w:val="0"/>
          <w:numId w:val="2"/>
        </w:numPr>
        <w:spacing w:after="80"/>
      </w:pPr>
      <w:r>
        <w:rPr>
          <w:rFonts w:ascii="Arial" w:cs="Arial" w:eastAsia="Arial" w:hAnsi="Arial"/>
          <w:sz w:val="22"/>
          <w:szCs w:val="22"/>
        </w:rPr>
        <w:t xml:space="preserve">Fresh-start onboarding simulation as final go-live gate.</w:t>
      </w:r>
    </w:p>
    <w:p>
      <w:pPr>
        <w:pStyle w:val="ListParagraph"/>
        <w:numPr>
          <w:ilvl w:val="0"/>
          <w:numId w:val="2"/>
        </w:numPr>
        <w:spacing w:after="80"/>
      </w:pPr>
      <w:r>
        <w:rPr>
          <w:rFonts w:ascii="Arial" w:cs="Arial" w:eastAsia="Arial" w:hAnsi="Arial"/>
          <w:sz w:val="22"/>
          <w:szCs w:val="22"/>
        </w:rPr>
        <w:t xml:space="preserve">Resolve batch output quantity design question (Option A vs Option B).</w:t>
      </w:r>
    </w:p>
    <w:p>
      <w:pPr>
        <w:pStyle w:val="ListParagraph"/>
        <w:numPr>
          <w:ilvl w:val="0"/>
          <w:numId w:val="2"/>
        </w:numPr>
        <w:spacing w:after="80"/>
      </w:pPr>
      <w:r>
        <w:rPr>
          <w:rFonts w:ascii="Arial" w:cs="Arial" w:eastAsia="Arial" w:hAnsi="Arial"/>
          <w:sz w:val="22"/>
          <w:szCs w:val="22"/>
        </w:rPr>
        <w:t xml:space="preserve">Section locking pattern applied consistently across all batch sections.</w:t>
      </w:r>
    </w:p>
    <w:p>
      <w:pPr>
        <w:pStyle w:val="Heading2"/>
        <w:spacing w:after="160" w:before="280"/>
      </w:pPr>
      <w:r>
        <w:rPr>
          <w:rFonts w:ascii="Arial" w:cs="Arial" w:eastAsia="Arial" w:hAnsi="Arial"/>
          <w:b/>
          <w:bCs/>
          <w:color w:val="1F3864"/>
          <w:sz w:val="26"/>
          <w:szCs w:val="26"/>
        </w:rPr>
        <w:t xml:space="preserve">13.2 Phase 1 (Michigan Live)</w:t>
      </w:r>
    </w:p>
    <w:p>
      <w:pPr>
        <w:pStyle w:val="ListParagraph"/>
        <w:numPr>
          <w:ilvl w:val="0"/>
          <w:numId w:val="2"/>
        </w:numPr>
        <w:spacing w:after="80"/>
      </w:pPr>
      <w:r>
        <w:rPr>
          <w:rFonts w:ascii="Arial" w:cs="Arial" w:eastAsia="Arial" w:hAnsi="Arial"/>
          <w:sz w:val="22"/>
          <w:szCs w:val="22"/>
        </w:rPr>
        <w:t xml:space="preserve">Onboard first commercial Michigan customer.</w:t>
      </w:r>
    </w:p>
    <w:p>
      <w:pPr>
        <w:pStyle w:val="ListParagraph"/>
        <w:numPr>
          <w:ilvl w:val="0"/>
          <w:numId w:val="2"/>
        </w:numPr>
        <w:spacing w:after="80"/>
      </w:pPr>
      <w:r>
        <w:rPr>
          <w:rFonts w:ascii="Arial" w:cs="Arial" w:eastAsia="Arial" w:hAnsi="Arial"/>
          <w:sz w:val="22"/>
          <w:szCs w:val="22"/>
        </w:rPr>
        <w:t xml:space="preserve">Operate in production. Capture real-world feedback.</w:t>
      </w:r>
    </w:p>
    <w:p>
      <w:pPr>
        <w:pStyle w:val="ListParagraph"/>
        <w:numPr>
          <w:ilvl w:val="0"/>
          <w:numId w:val="2"/>
        </w:numPr>
        <w:spacing w:after="80"/>
      </w:pPr>
      <w:r>
        <w:rPr>
          <w:rFonts w:ascii="Arial" w:cs="Arial" w:eastAsia="Arial" w:hAnsi="Arial"/>
          <w:sz w:val="22"/>
          <w:szCs w:val="22"/>
        </w:rPr>
        <w:t xml:space="preserve">Begin React/Next.js migration in parallel.</w:t>
      </w:r>
    </w:p>
    <w:p>
      <w:pPr>
        <w:pStyle w:val="Heading2"/>
        <w:spacing w:after="160" w:before="280"/>
      </w:pPr>
      <w:r>
        <w:rPr>
          <w:rFonts w:ascii="Arial" w:cs="Arial" w:eastAsia="Arial" w:hAnsi="Arial"/>
          <w:b/>
          <w:bCs/>
          <w:color w:val="1F3864"/>
          <w:sz w:val="26"/>
          <w:szCs w:val="26"/>
        </w:rPr>
        <w:t xml:space="preserve">13.3 Phase 2 (Multi-State + Migration)</w:t>
      </w:r>
    </w:p>
    <w:p>
      <w:pPr>
        <w:pStyle w:val="ListParagraph"/>
        <w:numPr>
          <w:ilvl w:val="0"/>
          <w:numId w:val="2"/>
        </w:numPr>
        <w:spacing w:after="80"/>
      </w:pPr>
      <w:r>
        <w:rPr>
          <w:rFonts w:ascii="Arial" w:cs="Arial" w:eastAsia="Arial" w:hAnsi="Arial"/>
          <w:sz w:val="22"/>
          <w:szCs w:val="22"/>
        </w:rPr>
        <w:t xml:space="preserve">Complete React/Next.js migration.</w:t>
      </w:r>
    </w:p>
    <w:p>
      <w:pPr>
        <w:pStyle w:val="ListParagraph"/>
        <w:numPr>
          <w:ilvl w:val="0"/>
          <w:numId w:val="2"/>
        </w:numPr>
        <w:spacing w:after="80"/>
      </w:pPr>
      <w:r>
        <w:rPr>
          <w:rFonts w:ascii="Arial" w:cs="Arial" w:eastAsia="Arial" w:hAnsi="Arial"/>
          <w:sz w:val="22"/>
          <w:szCs w:val="22"/>
        </w:rPr>
        <w:t xml:space="preserve">METRC API integration Phase 2.</w:t>
      </w:r>
    </w:p>
    <w:p>
      <w:pPr>
        <w:pStyle w:val="ListParagraph"/>
        <w:numPr>
          <w:ilvl w:val="0"/>
          <w:numId w:val="2"/>
        </w:numPr>
        <w:spacing w:after="80"/>
      </w:pPr>
      <w:r>
        <w:rPr>
          <w:rFonts w:ascii="Arial" w:cs="Arial" w:eastAsia="Arial" w:hAnsi="Arial"/>
          <w:sz w:val="22"/>
          <w:szCs w:val="22"/>
        </w:rPr>
        <w:t xml:space="preserve">Wire Illinois rules and launch.</w:t>
      </w:r>
    </w:p>
    <w:p>
      <w:pPr>
        <w:pStyle w:val="ListParagraph"/>
        <w:numPr>
          <w:ilvl w:val="0"/>
          <w:numId w:val="2"/>
        </w:numPr>
        <w:spacing w:after="80"/>
      </w:pPr>
      <w:r>
        <w:rPr>
          <w:rFonts w:ascii="Arial" w:cs="Arial" w:eastAsia="Arial" w:hAnsi="Arial"/>
          <w:sz w:val="22"/>
          <w:szCs w:val="22"/>
        </w:rPr>
        <w:t xml:space="preserve">Wire New York rules and launch.</w:t>
      </w:r>
    </w:p>
    <w:p>
      <w:pPr>
        <w:pStyle w:val="ListParagraph"/>
        <w:numPr>
          <w:ilvl w:val="0"/>
          <w:numId w:val="2"/>
        </w:numPr>
        <w:spacing w:after="80"/>
      </w:pPr>
      <w:r>
        <w:rPr>
          <w:rFonts w:ascii="Arial" w:cs="Arial" w:eastAsia="Arial" w:hAnsi="Arial"/>
          <w:sz w:val="22"/>
          <w:szCs w:val="22"/>
        </w:rPr>
        <w:t xml:space="preserve">Wire Pennsylvania (medical-only) rules and launch.</w:t>
      </w:r>
    </w:p>
    <w:p>
      <w:pPr>
        <w:pStyle w:val="Heading2"/>
        <w:spacing w:after="160" w:before="280"/>
      </w:pPr>
      <w:r>
        <w:rPr>
          <w:rFonts w:ascii="Arial" w:cs="Arial" w:eastAsia="Arial" w:hAnsi="Arial"/>
          <w:b/>
          <w:bCs/>
          <w:color w:val="1F3864"/>
          <w:sz w:val="26"/>
          <w:szCs w:val="26"/>
        </w:rPr>
        <w:t xml:space="preserve">13.4 Phase 3 (Scale and Differentiate)</w:t>
      </w:r>
    </w:p>
    <w:p>
      <w:pPr>
        <w:pStyle w:val="ListParagraph"/>
        <w:numPr>
          <w:ilvl w:val="0"/>
          <w:numId w:val="2"/>
        </w:numPr>
        <w:spacing w:after="80"/>
      </w:pPr>
      <w:r>
        <w:rPr>
          <w:rFonts w:ascii="Arial" w:cs="Arial" w:eastAsia="Arial" w:hAnsi="Arial"/>
          <w:sz w:val="22"/>
          <w:szCs w:val="22"/>
        </w:rPr>
        <w:t xml:space="preserve">BioTrackTHC and Leaf Data Systems integration.</w:t>
      </w:r>
    </w:p>
    <w:p>
      <w:pPr>
        <w:pStyle w:val="ListParagraph"/>
        <w:numPr>
          <w:ilvl w:val="0"/>
          <w:numId w:val="2"/>
        </w:numPr>
        <w:spacing w:after="80"/>
      </w:pPr>
      <w:r>
        <w:rPr>
          <w:rFonts w:ascii="Arial" w:cs="Arial" w:eastAsia="Arial" w:hAnsi="Arial"/>
          <w:sz w:val="22"/>
          <w:szCs w:val="22"/>
        </w:rPr>
        <w:t xml:space="preserve">OCR for handwritten batch records.</w:t>
      </w:r>
    </w:p>
    <w:p>
      <w:pPr>
        <w:pStyle w:val="ListParagraph"/>
        <w:numPr>
          <w:ilvl w:val="0"/>
          <w:numId w:val="2"/>
        </w:numPr>
        <w:spacing w:after="80"/>
      </w:pPr>
      <w:r>
        <w:rPr>
          <w:rFonts w:ascii="Arial" w:cs="Arial" w:eastAsia="Arial" w:hAnsi="Arial"/>
          <w:sz w:val="22"/>
          <w:szCs w:val="22"/>
        </w:rPr>
        <w:t xml:space="preserve">Regulatory source tracking with staleness alerts.</w:t>
      </w:r>
    </w:p>
    <w:p>
      <w:pPr>
        <w:pStyle w:val="ListParagraph"/>
        <w:numPr>
          <w:ilvl w:val="0"/>
          <w:numId w:val="2"/>
        </w:numPr>
        <w:spacing w:after="80"/>
      </w:pPr>
      <w:r>
        <w:rPr>
          <w:rFonts w:ascii="Arial" w:cs="Arial" w:eastAsia="Arial" w:hAnsi="Arial"/>
          <w:sz w:val="22"/>
          <w:szCs w:val="22"/>
        </w:rPr>
        <w:t xml:space="preserve">Additional state expansion as the regulatory landscape clarifies (including Missouri, Ohio if S.B. 56 resolves).</w:t>
      </w:r>
    </w:p>
    <w:p>
      <w:r>
        <w:br w:type="page"/>
      </w:r>
    </w:p>
    <w:p>
      <w:pPr>
        <w:pStyle w:val="Heading1"/>
        <w:spacing w:after="200" w:before="360"/>
      </w:pPr>
      <w:r>
        <w:rPr>
          <w:rFonts w:ascii="Arial" w:cs="Arial" w:eastAsia="Arial" w:hAnsi="Arial"/>
          <w:b/>
          <w:bCs/>
          <w:color w:val="1F3864"/>
          <w:sz w:val="32"/>
          <w:szCs w:val="32"/>
        </w:rPr>
        <w:t xml:space="preserve">14. Engineering Working Principles</w:t>
      </w:r>
    </w:p>
    <w:p>
      <w:pPr>
        <w:spacing w:after="120"/>
      </w:pPr>
      <w:r>
        <w:rPr>
          <w:rFonts w:ascii="Arial" w:cs="Arial" w:eastAsia="Arial" w:hAnsi="Arial"/>
          <w:sz w:val="22"/>
          <w:szCs w:val="22"/>
        </w:rPr>
        <w:t xml:space="preserve">These are the operating principles under which CannaQMS is being built. They are documented here because they materially shape what gets shipped.</w:t>
      </w:r>
    </w:p>
    <w:p>
      <w:pPr>
        <w:pStyle w:val="Heading2"/>
        <w:spacing w:after="160" w:before="280"/>
      </w:pPr>
      <w:r>
        <w:rPr>
          <w:rFonts w:ascii="Arial" w:cs="Arial" w:eastAsia="Arial" w:hAnsi="Arial"/>
          <w:b/>
          <w:bCs/>
          <w:color w:val="1F3864"/>
          <w:sz w:val="26"/>
          <w:szCs w:val="26"/>
        </w:rPr>
        <w:t xml:space="preserve">14.1 Compliance Discipline</w:t>
      </w:r>
    </w:p>
    <w:p>
      <w:pPr>
        <w:pStyle w:val="ListParagraph"/>
        <w:numPr>
          <w:ilvl w:val="0"/>
          <w:numId w:val="2"/>
        </w:numPr>
        <w:spacing w:after="80"/>
      </w:pPr>
      <w:r>
        <w:rPr>
          <w:rFonts w:ascii="Arial" w:cs="Arial" w:eastAsia="Arial" w:hAnsi="Arial"/>
          <w:sz w:val="22"/>
          <w:szCs w:val="22"/>
        </w:rPr>
        <w:t xml:space="preserve">Regulatory source documents are authoritative. No checklist item, regulation reference, or workflow ships without verification against the actual rule text.</w:t>
      </w:r>
    </w:p>
    <w:p>
      <w:pPr>
        <w:pStyle w:val="ListParagraph"/>
        <w:numPr>
          <w:ilvl w:val="0"/>
          <w:numId w:val="2"/>
        </w:numPr>
        <w:spacing w:after="80"/>
      </w:pPr>
      <w:r>
        <w:rPr>
          <w:rFonts w:ascii="Arial" w:cs="Arial" w:eastAsia="Arial" w:hAnsi="Arial"/>
          <w:sz w:val="22"/>
          <w:szCs w:val="22"/>
        </w:rPr>
        <w:t xml:space="preserve">When user memory or AI memory conflicts with a source document, flag the discrepancy and re-verify.</w:t>
      </w:r>
    </w:p>
    <w:p>
      <w:pPr>
        <w:pStyle w:val="ListParagraph"/>
        <w:numPr>
          <w:ilvl w:val="0"/>
          <w:numId w:val="2"/>
        </w:numPr>
        <w:spacing w:after="80"/>
      </w:pPr>
      <w:r>
        <w:rPr>
          <w:rFonts w:ascii="Arial" w:cs="Arial" w:eastAsia="Arial" w:hAnsi="Arial"/>
          <w:sz w:val="22"/>
          <w:szCs w:val="22"/>
        </w:rPr>
        <w:t xml:space="preserve">Compliance content generated from training data is not authoritative and requires human review before go-live.</w:t>
      </w:r>
    </w:p>
    <w:p>
      <w:pPr>
        <w:pStyle w:val="Heading2"/>
        <w:spacing w:after="160" w:before="280"/>
      </w:pPr>
      <w:r>
        <w:rPr>
          <w:rFonts w:ascii="Arial" w:cs="Arial" w:eastAsia="Arial" w:hAnsi="Arial"/>
          <w:b/>
          <w:bCs/>
          <w:color w:val="1F3864"/>
          <w:sz w:val="26"/>
          <w:szCs w:val="26"/>
        </w:rPr>
        <w:t xml:space="preserve">14.2 Build Discipline</w:t>
      </w:r>
    </w:p>
    <w:p>
      <w:pPr>
        <w:pStyle w:val="ListParagraph"/>
        <w:numPr>
          <w:ilvl w:val="0"/>
          <w:numId w:val="2"/>
        </w:numPr>
        <w:spacing w:after="80"/>
      </w:pPr>
      <w:r>
        <w:rPr>
          <w:rFonts w:ascii="Arial" w:cs="Arial" w:eastAsia="Arial" w:hAnsi="Arial"/>
          <w:sz w:val="22"/>
          <w:szCs w:val="22"/>
        </w:rPr>
        <w:t xml:space="preserve">Strictly iterative development. One change at a time, tested before the next.</w:t>
      </w:r>
    </w:p>
    <w:p>
      <w:pPr>
        <w:pStyle w:val="ListParagraph"/>
        <w:numPr>
          <w:ilvl w:val="0"/>
          <w:numId w:val="2"/>
        </w:numPr>
        <w:spacing w:after="80"/>
      </w:pPr>
      <w:r>
        <w:rPr>
          <w:rFonts w:ascii="Arial" w:cs="Arial" w:eastAsia="Arial" w:hAnsi="Arial"/>
          <w:sz w:val="22"/>
          <w:szCs w:val="22"/>
        </w:rPr>
        <w:t xml:space="preserve">Complete deliverables, never snippets to insert.</w:t>
      </w:r>
    </w:p>
    <w:p>
      <w:pPr>
        <w:pStyle w:val="ListParagraph"/>
        <w:numPr>
          <w:ilvl w:val="0"/>
          <w:numId w:val="2"/>
        </w:numPr>
        <w:spacing w:after="80"/>
      </w:pPr>
      <w:r>
        <w:rPr>
          <w:rFonts w:ascii="Arial" w:cs="Arial" w:eastAsia="Arial" w:hAnsi="Arial"/>
          <w:sz w:val="22"/>
          <w:szCs w:val="22"/>
        </w:rPr>
        <w:t xml:space="preserve">Diagnose from known constraints, not trial and error.</w:t>
      </w:r>
    </w:p>
    <w:p>
      <w:pPr>
        <w:pStyle w:val="ListParagraph"/>
        <w:numPr>
          <w:ilvl w:val="0"/>
          <w:numId w:val="2"/>
        </w:numPr>
        <w:spacing w:after="80"/>
      </w:pPr>
      <w:r>
        <w:rPr>
          <w:rFonts w:ascii="Arial" w:cs="Arial" w:eastAsia="Arial" w:hAnsi="Arial"/>
          <w:sz w:val="22"/>
          <w:szCs w:val="22"/>
        </w:rPr>
        <w:t xml:space="preserve">Wait for complete context before acting; ask clarifying questions before suggesting changes.</w:t>
      </w:r>
    </w:p>
    <w:p>
      <w:pPr>
        <w:pStyle w:val="ListParagraph"/>
        <w:numPr>
          <w:ilvl w:val="0"/>
          <w:numId w:val="2"/>
        </w:numPr>
        <w:spacing w:after="80"/>
      </w:pPr>
      <w:r>
        <w:rPr>
          <w:rFonts w:ascii="Arial" w:cs="Arial" w:eastAsia="Arial" w:hAnsi="Arial"/>
          <w:sz w:val="22"/>
          <w:szCs w:val="22"/>
        </w:rPr>
        <w:t xml:space="preserve">Present all options before requiring a decision — never lead with one option when the user must choose.</w:t>
      </w:r>
    </w:p>
    <w:p>
      <w:pPr>
        <w:pStyle w:val="Heading2"/>
        <w:spacing w:after="160" w:before="280"/>
      </w:pPr>
      <w:r>
        <w:rPr>
          <w:rFonts w:ascii="Arial" w:cs="Arial" w:eastAsia="Arial" w:hAnsi="Arial"/>
          <w:b/>
          <w:bCs/>
          <w:color w:val="1F3864"/>
          <w:sz w:val="26"/>
          <w:szCs w:val="26"/>
        </w:rPr>
        <w:t xml:space="preserve">14.3 Architecture Discipline</w:t>
      </w:r>
    </w:p>
    <w:p>
      <w:pPr>
        <w:pStyle w:val="ListParagraph"/>
        <w:numPr>
          <w:ilvl w:val="0"/>
          <w:numId w:val="2"/>
        </w:numPr>
        <w:spacing w:after="80"/>
      </w:pPr>
      <w:r>
        <w:rPr>
          <w:rFonts w:ascii="Arial" w:cs="Arial" w:eastAsia="Arial" w:hAnsi="Arial"/>
          <w:sz w:val="22"/>
          <w:szCs w:val="22"/>
        </w:rPr>
        <w:t xml:space="preserve">Every decision evaluated for national scalability.</w:t>
      </w:r>
    </w:p>
    <w:p>
      <w:pPr>
        <w:pStyle w:val="ListParagraph"/>
        <w:numPr>
          <w:ilvl w:val="0"/>
          <w:numId w:val="2"/>
        </w:numPr>
        <w:spacing w:after="80"/>
      </w:pPr>
      <w:r>
        <w:rPr>
          <w:rFonts w:ascii="Arial" w:cs="Arial" w:eastAsia="Arial" w:hAnsi="Arial"/>
          <w:sz w:val="22"/>
          <w:szCs w:val="22"/>
        </w:rPr>
        <w:t xml:space="preserve">State-specific values in regulatory_config, never in module code.</w:t>
      </w:r>
    </w:p>
    <w:p>
      <w:pPr>
        <w:pStyle w:val="ListParagraph"/>
        <w:numPr>
          <w:ilvl w:val="0"/>
          <w:numId w:val="2"/>
        </w:numPr>
        <w:spacing w:after="80"/>
      </w:pPr>
      <w:r>
        <w:rPr>
          <w:rFonts w:ascii="Arial" w:cs="Arial" w:eastAsia="Arial" w:hAnsi="Arial"/>
          <w:sz w:val="22"/>
          <w:szCs w:val="22"/>
        </w:rPr>
        <w:t xml:space="preserve">Defense in depth on regulated state transitions: client guard now, Postgres trigger backstop later.</w:t>
      </w:r>
    </w:p>
    <w:p>
      <w:pPr>
        <w:pStyle w:val="ListParagraph"/>
        <w:numPr>
          <w:ilvl w:val="0"/>
          <w:numId w:val="2"/>
        </w:numPr>
        <w:spacing w:after="80"/>
      </w:pPr>
      <w:r>
        <w:rPr>
          <w:rFonts w:ascii="Arial" w:cs="Arial" w:eastAsia="Arial" w:hAnsi="Arial"/>
          <w:sz w:val="22"/>
          <w:szCs w:val="22"/>
        </w:rPr>
        <w:t xml:space="preserve">Audit trail on every regulated table from day one.</w:t>
      </w:r>
    </w:p>
    <w:p>
      <w:pPr>
        <w:pStyle w:val="ListParagraph"/>
        <w:numPr>
          <w:ilvl w:val="0"/>
          <w:numId w:val="2"/>
        </w:numPr>
        <w:spacing w:after="80"/>
      </w:pPr>
      <w:r>
        <w:rPr>
          <w:rFonts w:ascii="Arial" w:cs="Arial" w:eastAsia="Arial" w:hAnsi="Arial"/>
          <w:sz w:val="22"/>
          <w:szCs w:val="22"/>
        </w:rPr>
        <w:t xml:space="preserve">Don't over-invest in Retool UI polish beyond what early customers need — React migration is the right place for visual refinement.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CannaQMS  |  Build Specification  |  May 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CannaQMS Build Specification</dc:title>
  <dc:creator>Seed International</dc:creator>
  <cp:lastModifiedBy>Un-named</cp:lastModifiedBy>
  <cp:revision>1</cp:revision>
  <dcterms:created xsi:type="dcterms:W3CDTF">2026-05-02T23:09:15.466Z</dcterms:created>
  <dcterms:modified xsi:type="dcterms:W3CDTF">2026-05-02T23:09:15.466Z</dcterms:modified>
</cp:coreProperties>
</file>

<file path=docProps/custom.xml><?xml version="1.0" encoding="utf-8"?>
<Properties xmlns="http://schemas.openxmlformats.org/officeDocument/2006/custom-properties" xmlns:vt="http://schemas.openxmlformats.org/officeDocument/2006/docPropsVTypes"/>
</file>