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color w:val="auto"/>
          <w:rFonts w:ascii="Times New Roman" w:hAnsi="Times New Roman" w:cs="Times New Roman"/>
        </w:rPr>
        <w:t>PHASE 11 - DEVOPS, DEPLOYMENT, CI/CD &amp; PRODUCTION INFRASTRUCTURE</w:t>
      </w:r>
    </w:p>
    <w:p>
      <w:pPr>
        <w:pStyle w:val="Subtitle"/>
      </w:pPr>
    </w:p>
    <w:p>
      <w:pPr>
        <w:pStyle w:val="Subtitle"/>
      </w:pPr>
      <w:r>
        <w:rPr>
          <w:color w:val="auto"/>
          <w:rFonts w:ascii="Times New Roman" w:hAnsi="Times New Roman" w:cs="Times New Roman"/>
        </w:rPr>
        <w:t>Enterprise AI Coding Master Prompt</w:t>
      </w:r>
    </w:p>
    <w:p>
      <w:pPr>
        <w:pStyle w:val="Heading2"/>
      </w:pPr>
      <w:r>
        <w:rPr>
          <w:color w:val="auto"/>
          <w:rFonts w:ascii="Times New Roman" w:hAnsi="Times New Roman" w:cs="Times New Roman"/>
        </w:rPr>
        <w:t>Smart Sportz - Production Infrastructure Blueprint</w:t>
      </w:r>
    </w:p>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Document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Phase 11 DevOps, Deployment, CI/CD and Production Infrastructure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Project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Smart Sportz</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Focus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Environment strategy, Git workflow, CI/CD, Docker, Nginx, SSL, secrets, database operations, Redis, file storage, monitoring, logging, alerting, disaster recovery, scalability, security operations, release management, and maintenance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Reference Style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Same compact spacing, alignment, borders, margins, and black document treatment as the approved Phase documents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Date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July 5, 2026</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Version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1.0</w:t>
            </w:r>
          </w:p>
        </w:tc>
      </w:tr>
    </w:tbl>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Phase 11 Intent</w:t>
            </w:r>
          </w:p>
          <w:p>
            <w:pPr>
              <w:spacing w:after="60"/>
            </w:pPr>
            <w:r>
              <w:rPr>
                <w:color w:val="auto"/>
                <w:rFonts w:ascii="Times New Roman" w:hAnsi="Times New Roman" w:cs="Times New Roman"/>
              </w:rPr>
              <w:t>This document converts the infrastructure prompt into a production-grade DevOps blueprint for Smart Sportz.</w:t>
            </w:r>
          </w:p>
          <w:p>
            <w:pPr>
              <w:spacing w:after="60"/>
            </w:pPr>
            <w:r>
              <w:rPr>
                <w:color w:val="auto"/>
                <w:rFonts w:ascii="Times New Roman" w:hAnsi="Times New Roman" w:cs="Times New Roman"/>
              </w:rPr>
              <w:t>The platform must support automated deployments, zero-downtime releases, horizontal scaling, high availability, secure secrets, CI/CD, monitoring, alerting, backups, disaster recovery, and separated development, testing, staging, and production environments.</w:t>
            </w:r>
          </w:p>
        </w:tc>
      </w:tr>
    </w:tbl>
    <w:p>
      <w:pPr>
        <w:pStyle w:val="Heading1"/>
      </w:pPr>
      <w:r>
        <w:rPr>
          <w:color w:val="auto"/>
          <w:rFonts w:ascii="Times New Roman" w:hAnsi="Times New Roman" w:cs="Times New Roman"/>
        </w:rPr>
        <w:t>1. Module Objective</w:t>
      </w:r>
    </w:p>
    <w:p>
      <w:r>
        <w:rPr>
          <w:color w:val="auto"/>
          <w:rFonts w:ascii="Times New Roman" w:hAnsi="Times New Roman" w:cs="Times New Roman"/>
        </w:rPr>
        <w:t>Design a production infrastructure that supports reliable tournament operations, live scoring, payment flows, public traffic, admin workflows, and management workflows across development, testing, staging, and production.</w:t>
      </w:r>
    </w:p>
    <w:p>
      <w:pPr>
        <w:numPr>
          <w:ilvl w:val="0"/>
          <w:numId w:val="1"/>
        </w:numPr>
      </w:pPr>
      <w:r>
        <w:rPr>
          <w:color w:val="auto"/>
          <w:rFonts w:ascii="Times New Roman" w:hAnsi="Times New Roman" w:cs="Times New Roman"/>
        </w:rPr>
        <w:t>Automate deployments while keeping production releases controlled and rollback-ready.</w:t>
      </w:r>
    </w:p>
    <w:p>
      <w:pPr>
        <w:numPr>
          <w:ilvl w:val="0"/>
          <w:numId w:val="1"/>
        </w:numPr>
      </w:pPr>
      <w:r>
        <w:rPr>
          <w:color w:val="auto"/>
          <w:rFonts w:ascii="Times New Roman" w:hAnsi="Times New Roman" w:cs="Times New Roman"/>
        </w:rPr>
        <w:t>Use horizontal scaling and stateless service design wherever possible.</w:t>
      </w:r>
    </w:p>
    <w:p>
      <w:pPr>
        <w:numPr>
          <w:ilvl w:val="0"/>
          <w:numId w:val="1"/>
        </w:numPr>
      </w:pPr>
      <w:r>
        <w:rPr>
          <w:color w:val="auto"/>
          <w:rFonts w:ascii="Times New Roman" w:hAnsi="Times New Roman" w:cs="Times New Roman"/>
        </w:rPr>
        <w:t>Protect secrets, credentials, payment keys, database access, and production configuration.</w:t>
      </w:r>
    </w:p>
    <w:p>
      <w:pPr>
        <w:numPr>
          <w:ilvl w:val="0"/>
          <w:numId w:val="1"/>
        </w:numPr>
      </w:pPr>
      <w:r>
        <w:rPr>
          <w:color w:val="auto"/>
          <w:rFonts w:ascii="Times New Roman" w:hAnsi="Times New Roman" w:cs="Times New Roman"/>
        </w:rPr>
        <w:t>Monitor health, performance, errors, logs, backups, SSL, queues, webhooks, and real-time connections.</w:t>
      </w:r>
    </w:p>
    <w:p>
      <w:pPr>
        <w:pStyle w:val="Heading1"/>
      </w:pPr>
      <w:r>
        <w:rPr>
          <w:color w:val="auto"/>
          <w:rFonts w:ascii="Times New Roman" w:hAnsi="Times New Roman" w:cs="Times New Roman"/>
        </w:rPr>
        <w:t>2. Environment Strategy</w:t>
      </w:r>
    </w:p>
    <w:p>
      <w:r>
        <w:rPr>
          <w:color w:val="auto"/>
          <w:rFonts w:ascii="Times New Roman" w:hAnsi="Times New Roman" w:cs="Times New Roman"/>
        </w:rPr>
        <w:t>Maintain independent environments with separate configuration, database, storage bucket, API keys, credentials, and logging. Production credentials must never be shared with non-production environments.</w:t>
      </w:r>
    </w:p>
    <w:p>
      <w:pPr>
        <w:jc w:val="center"/>
        <w:spacing w:after="60"/>
      </w:pPr>
      <w:r>
        <w:drawing>
          <wp:inline distT="0" distB="0" distL="0" distR="0">
            <wp:extent cx="6217920" cy="3186684"/>
            <wp:effectExtent l="0" t="0" r="0" b="0"/>
            <wp:docPr id="1" name="Environment Strategy and Promotion Flow" descr="Environment strategy and promotion flow diagram"/>
            <wp:cNvGraphicFramePr>
              <a:graphicFrameLocks noChangeAspect="1"/>
            </wp:cNvGraphicFramePr>
            <a:graphic>
              <a:graphicData uri="http://schemas.openxmlformats.org/drawingml/2006/picture">
                <pic:pic>
                  <pic:nvPicPr>
                    <pic:cNvPr id="1" name="Environment Strategy and Promotion Flow"/>
                    <pic:cNvPicPr/>
                  </pic:nvPicPr>
                  <pic:blipFill>
                    <a:blip r:embed="rIdImage1"/>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Environment</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Purpose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Development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Local and shared development with isolated test credentials and sample data.</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Testing</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Automated CI validation, disposable data, repeatable test execution.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Staging</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Production-like deployment for release verification and smoke tests.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Production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Live environment with protected secrets, backups, monitoring, alerts, and strict access control.</w:t>
            </w:r>
          </w:p>
        </w:tc>
      </w:tr>
    </w:tbl>
    <w:p>
      <w:pPr>
        <w:pStyle w:val="Heading1"/>
      </w:pPr>
      <w:r>
        <w:rPr>
          <w:color w:val="auto"/>
          <w:rFonts w:ascii="Times New Roman" w:hAnsi="Times New Roman" w:cs="Times New Roman"/>
        </w:rPr>
        <w:t>3. Repository Strategy</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Branch</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Purpose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main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Protected production-ready branch.</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release/*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Release stabilization branches.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develop</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Integration branch for upcoming work where the workflow requires it.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feature/*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Feature development branches.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hotfix/* and bugfix/*</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Urgent production fixes and normal defect work.</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Rules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Pull requests required, code reviews mandatory, branch protection on main, conventional commit messages.</w:t>
            </w:r>
          </w:p>
        </w:tc>
      </w:tr>
    </w:tbl>
    <w:p>
      <w:pPr>
        <w:pStyle w:val="Heading1"/>
      </w:pPr>
      <w:r>
        <w:rPr>
          <w:color w:val="auto"/>
          <w:rFonts w:ascii="Times New Roman" w:hAnsi="Times New Roman" w:cs="Times New Roman"/>
        </w:rPr>
        <w:t>4. CI/CD Pipeline</w:t>
      </w:r>
    </w:p>
    <w:p>
      <w:r>
        <w:rPr>
          <w:color w:val="auto"/>
          <w:rFonts w:ascii="Times New Roman" w:hAnsi="Times New Roman" w:cs="Times New Roman"/>
        </w:rPr>
        <w:t>The pipeline should fail fast on errors and promote artifacts through quality gates, staging verification, manual production approval, and production deployment.</w:t>
      </w:r>
    </w:p>
    <w:p>
      <w:pPr>
        <w:jc w:val="center"/>
        <w:spacing w:after="60"/>
      </w:pPr>
      <w:r>
        <w:drawing>
          <wp:inline distT="0" distB="0" distL="0" distR="0">
            <wp:extent cx="6217920" cy="3186684"/>
            <wp:effectExtent l="0" t="0" r="0" b="0"/>
            <wp:docPr id="2" name="CI/CD Pipeline and Release Gates" descr="CI CD pipeline and release gates diagram"/>
            <wp:cNvGraphicFramePr>
              <a:graphicFrameLocks noChangeAspect="1"/>
            </wp:cNvGraphicFramePr>
            <a:graphic>
              <a:graphicData uri="http://schemas.openxmlformats.org/drawingml/2006/picture">
                <pic:pic>
                  <pic:nvPicPr>
                    <pic:cNvPr id="2" name="CI/CD Pipeline and Release Gates"/>
                    <pic:cNvPicPr/>
                  </pic:nvPicPr>
                  <pic:blipFill>
                    <a:blip r:embed="rIdImage2"/>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Pipeline Stage</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Requirement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Install and Validate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Install dependencies, lint, type check, unit tests.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Test and Build</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Integration tests, build frontend, build backend.</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Security and Package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Security scan, package Docker images, tag artifacts.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Staging</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Deploy to staging and run smoke tests.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Production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Manual approval, deploy to production, verify health, keep rollback plan ready.</w:t>
            </w:r>
          </w:p>
        </w:tc>
      </w:tr>
    </w:tbl>
    <w:p>
      <w:pPr>
        <w:pStyle w:val="Heading1"/>
      </w:pPr>
      <w:r>
        <w:rPr>
          <w:color w:val="auto"/>
          <w:rFonts w:ascii="Times New Roman" w:hAnsi="Times New Roman" w:cs="Times New Roman"/>
        </w:rPr>
        <w:t>5. Dockerization</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Artifact</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Requirement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Frontend Dockerfile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Minimal production-ready image or static artifact build.</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Backend Dockerfile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Minimal Node.js runtime image with health checks and production dependencies.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Docker Compose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Local development services for frontend, backend, PostgreSQL, Redis, and Nginx.</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Image Quality</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Small images, deterministic builds, non-root runtime where practical, environment-driven configuration.</w:t>
            </w:r>
          </w:p>
        </w:tc>
      </w:tr>
    </w:tbl>
    <w:p>
      <w:pPr>
        <w:pStyle w:val="Heading1"/>
      </w:pPr>
      <w:r>
        <w:rPr>
          <w:color w:val="auto"/>
          <w:rFonts w:ascii="Times New Roman" w:hAnsi="Times New Roman" w:cs="Times New Roman"/>
        </w:rPr>
        <w:t>6. Production Infrastructure Topology</w:t>
      </w:r>
    </w:p>
    <w:p>
      <w:r>
        <w:rPr>
          <w:color w:val="auto"/>
          <w:rFonts w:ascii="Times New Roman" w:hAnsi="Times New Roman" w:cs="Times New Roman"/>
        </w:rPr>
        <w:t>The production topology should place Nginx in front of the application services, support HTTPS, REST API routing, WebSocket proxying, Dockerized services, PostgreSQL, Redis, cloud storage, and CDN delivery for public assets.</w:t>
      </w:r>
    </w:p>
    <w:p>
      <w:pPr>
        <w:jc w:val="center"/>
        <w:spacing w:after="60"/>
      </w:pPr>
      <w:r>
        <w:drawing>
          <wp:inline distT="0" distB="0" distL="0" distR="0">
            <wp:extent cx="6217920" cy="3186684"/>
            <wp:effectExtent l="0" t="0" r="0" b="0"/>
            <wp:docPr id="3" name="Production Infrastructure Topology" descr="Production infrastructure topology diagram"/>
            <wp:cNvGraphicFramePr>
              <a:graphicFrameLocks noChangeAspect="1"/>
            </wp:cNvGraphicFramePr>
            <a:graphic>
              <a:graphicData uri="http://schemas.openxmlformats.org/drawingml/2006/picture">
                <pic:pic>
                  <pic:nvPicPr>
                    <pic:cNvPr id="3" name="Production Infrastructure Topology"/>
                    <pic:cNvPicPr/>
                  </pic:nvPicPr>
                  <pic:blipFill>
                    <a:blip r:embed="rIdImage3"/>
                    <a:stretch>
                      <a:fillRect/>
                    </a:stretch>
                  </pic:blipFill>
                  <pic:spPr>
                    <a:xfrm>
                      <a:off x="0" y="0"/>
                      <a:ext cx="6217920" cy="3186684"/>
                    </a:xfrm>
                    <a:prstGeom prst="rect">
                      <a:avLst/>
                    </a:prstGeom>
                  </pic:spPr>
                </pic:pic>
              </a:graphicData>
            </a:graphic>
          </wp:inline>
        </w:drawing>
      </w:r>
    </w:p>
    <w:p>
      <w:pPr>
        <w:pStyle w:val="Heading1"/>
      </w:pPr>
      <w:r>
        <w:rPr>
          <w:color w:val="auto"/>
          <w:rFonts w:ascii="Times New Roman" w:hAnsi="Times New Roman" w:cs="Times New Roman"/>
        </w:rPr>
        <w:t>7. Reverse Proxy</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Nginx Responsibility</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Requirement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Traffic</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HTTPS termination, HTTP to HTTPS redirects, HTTP/2 support.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Routing</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Static asset serving, API routing, WebSocket proxying for Socket.IO.</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Performance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Compression and caching where appropriate.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Protection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Security headers and rate limiting.</w:t>
            </w:r>
          </w:p>
        </w:tc>
      </w:tr>
    </w:tbl>
    <w:p>
      <w:pPr>
        <w:pStyle w:val="Heading1"/>
      </w:pPr>
      <w:r>
        <w:rPr>
          <w:color w:val="auto"/>
          <w:rFonts w:ascii="Times New Roman" w:hAnsi="Times New Roman" w:cs="Times New Roman"/>
        </w:rPr>
        <w:t>8. SSL and Domain Management</w:t>
      </w:r>
    </w:p>
    <w:p>
      <w:pPr>
        <w:numPr>
          <w:ilvl w:val="0"/>
          <w:numId w:val="1"/>
        </w:numPr>
      </w:pPr>
      <w:r>
        <w:rPr>
          <w:color w:val="auto"/>
          <w:rFonts w:ascii="Times New Roman" w:hAnsi="Times New Roman" w:cs="Times New Roman"/>
        </w:rPr>
        <w:t>Use HTTPS only and redirect all HTTP traffic to HTTPS.</w:t>
      </w:r>
    </w:p>
    <w:p>
      <w:pPr>
        <w:numPr>
          <w:ilvl w:val="0"/>
          <w:numId w:val="1"/>
        </w:numPr>
      </w:pPr>
      <w:r>
        <w:rPr>
          <w:color w:val="auto"/>
          <w:rFonts w:ascii="Times New Roman" w:hAnsi="Times New Roman" w:cs="Times New Roman"/>
        </w:rPr>
        <w:t>Enable automatic certificate renewal and monitor SSL certificate expiry.</w:t>
      </w:r>
    </w:p>
    <w:p>
      <w:pPr>
        <w:numPr>
          <w:ilvl w:val="0"/>
          <w:numId w:val="1"/>
        </w:numPr>
      </w:pPr>
      <w:r>
        <w:rPr>
          <w:color w:val="auto"/>
          <w:rFonts w:ascii="Times New Roman" w:hAnsi="Times New Roman" w:cs="Times New Roman"/>
        </w:rPr>
        <w:t>Enable HSTS where appropriate.</w:t>
      </w:r>
    </w:p>
    <w:p>
      <w:pPr>
        <w:numPr>
          <w:ilvl w:val="0"/>
          <w:numId w:val="1"/>
        </w:numPr>
      </w:pPr>
      <w:r>
        <w:rPr>
          <w:color w:val="auto"/>
          <w:rFonts w:ascii="Times New Roman" w:hAnsi="Times New Roman" w:cs="Times New Roman"/>
        </w:rPr>
        <w:t>Support multiple domains and subdomains for public, admin, API, and environment-specific access.</w:t>
      </w:r>
    </w:p>
    <w:p>
      <w:pPr>
        <w:pStyle w:val="Heading1"/>
      </w:pPr>
      <w:r>
        <w:rPr>
          <w:color w:val="auto"/>
          <w:rFonts w:ascii="Times New Roman" w:hAnsi="Times New Roman" w:cs="Times New Roman"/>
        </w:rPr>
        <w:t>9. Secret Management</w:t>
      </w:r>
    </w:p>
    <w:p>
      <w:r>
        <w:rPr>
          <w:color w:val="auto"/>
          <w:rFonts w:ascii="Times New Roman" w:hAnsi="Times New Roman" w:cs="Times New Roman"/>
        </w:rPr>
        <w:t>Never hard-code secrets. Store database credentials, JWT secrets, Razorpay keys, SMTP credentials, storage credentials, and API tokens in secure environment-specific secret stores. Rotate secrets periodically and document ownership.</w:t>
      </w:r>
    </w:p>
    <w:p>
      <w:pPr>
        <w:pStyle w:val="Heading1"/>
      </w:pPr>
      <w:r>
        <w:rPr>
          <w:color w:val="auto"/>
          <w:rFonts w:ascii="Times New Roman" w:hAnsi="Times New Roman" w:cs="Times New Roman"/>
        </w:rPr>
        <w:t>10. Database Operations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Operation</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Requirement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Backups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Daily automated backups with verification.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Recovery</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Point-in-time recovery where supported.</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Migrations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Validate migrations before deployment and document rollback approach.</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Growth</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Monitor storage growth, connection usage, and slow queries.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Future Scale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Prepare for read replicas and partitioning where required.</w:t>
            </w:r>
          </w:p>
        </w:tc>
      </w:tr>
    </w:tbl>
    <w:p>
      <w:pPr>
        <w:pStyle w:val="Heading1"/>
      </w:pPr>
      <w:r>
        <w:rPr>
          <w:color w:val="auto"/>
          <w:rFonts w:ascii="Times New Roman" w:hAnsi="Times New Roman" w:cs="Times New Roman"/>
        </w:rPr>
        <w:t>11. Redis Operations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Usage</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Requirement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Live Match State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Low-latency live match state for real-time views.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Sessions and Cache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Session data if required, application cache, and temporary values.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Queues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Background job queues where applicable.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Operations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Memory limits, eviction policy, persistence if appropriate, and health checks.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Scaling</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Socket.IO shared adapter strategy for multiple backend instances.</w:t>
            </w:r>
          </w:p>
        </w:tc>
      </w:tr>
    </w:tbl>
    <w:p>
      <w:pPr>
        <w:pStyle w:val="Heading1"/>
      </w:pPr>
      <w:r>
        <w:rPr>
          <w:color w:val="auto"/>
          <w:rFonts w:ascii="Times New Roman" w:hAnsi="Times New Roman" w:cs="Times New Roman"/>
        </w:rPr>
        <w:t>12. File Storage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Asset Category</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Examples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Images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Team logos, player photos, tournament banners, gallery assets.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Generated Files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Certificates, invoices, receipts, exports, reports.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Documents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Verification documents and private uploaded files.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Policies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Access control, signed URLs for private assets, optional versioning, lifecycle rules.</w:t>
            </w:r>
          </w:p>
        </w:tc>
      </w:tr>
    </w:tbl>
    <w:p>
      <w:pPr>
        <w:pStyle w:val="Heading1"/>
      </w:pPr>
      <w:r>
        <w:rPr>
          <w:color w:val="auto"/>
          <w:rFonts w:ascii="Times New Roman" w:hAnsi="Times New Roman" w:cs="Times New Roman"/>
        </w:rPr>
        <w:t>13. Monitoring</w:t>
      </w:r>
    </w:p>
    <w:p>
      <w:pPr>
        <w:numPr>
          <w:ilvl w:val="0"/>
          <w:numId w:val="1"/>
        </w:numPr>
      </w:pPr>
      <w:r>
        <w:rPr>
          <w:color w:val="auto"/>
          <w:rFonts w:ascii="Times New Roman" w:hAnsi="Times New Roman" w:cs="Times New Roman"/>
        </w:rPr>
        <w:t>Monitor API latency, error rates, CPU, memory, disk usage, database connections, Redis health, Socket.IO connections, and queue length.</w:t>
      </w:r>
    </w:p>
    <w:p>
      <w:pPr>
        <w:numPr>
          <w:ilvl w:val="0"/>
          <w:numId w:val="1"/>
        </w:numPr>
      </w:pPr>
      <w:r>
        <w:rPr>
          <w:color w:val="auto"/>
          <w:rFonts w:ascii="Times New Roman" w:hAnsi="Times New Roman" w:cs="Times New Roman"/>
        </w:rPr>
        <w:t>Expose health endpoints for infrastructure monitoring.</w:t>
      </w:r>
    </w:p>
    <w:p>
      <w:pPr>
        <w:numPr>
          <w:ilvl w:val="0"/>
          <w:numId w:val="1"/>
        </w:numPr>
      </w:pPr>
      <w:r>
        <w:rPr>
          <w:color w:val="auto"/>
          <w:rFonts w:ascii="Times New Roman" w:hAnsi="Times New Roman" w:cs="Times New Roman"/>
        </w:rPr>
        <w:t>Track release health immediately after staging and production deployments.</w:t>
      </w:r>
    </w:p>
    <w:p>
      <w:pPr>
        <w:pStyle w:val="Heading1"/>
      </w:pPr>
      <w:r>
        <w:rPr>
          <w:color w:val="auto"/>
          <w:rFonts w:ascii="Times New Roman" w:hAnsi="Times New Roman" w:cs="Times New Roman"/>
        </w:rPr>
        <w:t>14. Logging</w:t>
      </w:r>
    </w:p>
    <w:p>
      <w:r>
        <w:rPr>
          <w:color w:val="auto"/>
          <w:rFonts w:ascii="Times New Roman" w:hAnsi="Times New Roman" w:cs="Times New Roman"/>
        </w:rPr>
        <w:t>Implement centralized structured logging for application logs, access logs, error logs, authentication events, payment events, live score updates, and background job execution. Use correlation IDs to trace requests across services.</w:t>
      </w:r>
    </w:p>
    <w:p>
      <w:pPr>
        <w:pStyle w:val="Heading1"/>
      </w:pPr>
      <w:r>
        <w:rPr>
          <w:color w:val="auto"/>
          <w:rFonts w:ascii="Times New Roman" w:hAnsi="Times New Roman" w:cs="Times New Roman"/>
        </w:rPr>
        <w:t>15. Alerting and Disaster Recovery</w:t>
      </w:r>
    </w:p>
    <w:p>
      <w:r>
        <w:rPr>
          <w:color w:val="auto"/>
          <w:rFonts w:ascii="Times New Roman" w:hAnsi="Times New Roman" w:cs="Times New Roman"/>
        </w:rPr>
        <w:t>Alerting and recovery plans should protect live tournament operations, payment webhooks, score updates, databases, storage, and production availability.</w:t>
      </w:r>
    </w:p>
    <w:p>
      <w:pPr>
        <w:jc w:val="center"/>
        <w:spacing w:after="60"/>
      </w:pPr>
      <w:r>
        <w:drawing>
          <wp:inline distT="0" distB="0" distL="0" distR="0">
            <wp:extent cx="6217920" cy="3186684"/>
            <wp:effectExtent l="0" t="0" r="0" b="0"/>
            <wp:docPr id="4" name="Observability, Alerting, and Recovery Model" descr="Observability alerting and recovery model diagram"/>
            <wp:cNvGraphicFramePr>
              <a:graphicFrameLocks noChangeAspect="1"/>
            </wp:cNvGraphicFramePr>
            <a:graphic>
              <a:graphicData uri="http://schemas.openxmlformats.org/drawingml/2006/picture">
                <pic:pic>
                  <pic:nvPicPr>
                    <pic:cNvPr id="4" name="Observability, Alerting, and Recovery Model"/>
                    <pic:cNvPicPr/>
                  </pic:nvPicPr>
                  <pic:blipFill>
                    <a:blip r:embed="rIdImage4"/>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Area</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Requirement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Alerting</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High error rate, failed deployments, database issues, payment webhook failures, Redis failures, disk thresholds, SSL expiry, backup failures.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Disaster Recovery</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Prepare for database failure, storage outage, server failure, network interruption, and accidental deletion.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Recovery Targets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Document Recovery Point Objective and Recovery Time Objective.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Testing</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Regularly test restore, rollback, and recovery procedures.</w:t>
            </w:r>
          </w:p>
        </w:tc>
      </w:tr>
    </w:tbl>
    <w:p>
      <w:pPr>
        <w:pStyle w:val="Heading1"/>
      </w:pPr>
      <w:r>
        <w:rPr>
          <w:color w:val="auto"/>
          <w:rFonts w:ascii="Times New Roman" w:hAnsi="Times New Roman" w:cs="Times New Roman"/>
        </w:rPr>
        <w:t>16. Scalability</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Layer</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Scaling Strategy</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Frontend</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Serve static assets through CDN.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Backend</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Use stateless application servers behind a load balancer.</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Socket.IO</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Use a shared adapter strategy such as Redis adapter for multiple instances.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Database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Prepare for read replicas, indexing, partitioning, and storage growth.</w:t>
            </w:r>
          </w:p>
        </w:tc>
      </w:tr>
    </w:tbl>
    <w:p>
      <w:pPr>
        <w:pStyle w:val="Heading1"/>
      </w:pPr>
      <w:r>
        <w:rPr>
          <w:color w:val="auto"/>
          <w:rFonts w:ascii="Times New Roman" w:hAnsi="Times New Roman" w:cs="Times New Roman"/>
        </w:rPr>
        <w:t>17. Security Operations</w:t>
      </w:r>
    </w:p>
    <w:p>
      <w:pPr>
        <w:numPr>
          <w:ilvl w:val="0"/>
          <w:numId w:val="1"/>
        </w:numPr>
      </w:pPr>
      <w:r>
        <w:rPr>
          <w:color w:val="auto"/>
          <w:rFonts w:ascii="Times New Roman" w:hAnsi="Times New Roman" w:cs="Times New Roman"/>
        </w:rPr>
        <w:t>Run dependency vulnerability scanning and container image scanning.</w:t>
      </w:r>
    </w:p>
    <w:p>
      <w:pPr>
        <w:numPr>
          <w:ilvl w:val="0"/>
          <w:numId w:val="1"/>
        </w:numPr>
      </w:pPr>
      <w:r>
        <w:rPr>
          <w:color w:val="auto"/>
          <w:rFonts w:ascii="Times New Roman" w:hAnsi="Times New Roman" w:cs="Times New Roman"/>
        </w:rPr>
        <w:t>Use rate limiting, IP allow/block lists, and security headers.</w:t>
      </w:r>
    </w:p>
    <w:p>
      <w:pPr>
        <w:numPr>
          <w:ilvl w:val="0"/>
          <w:numId w:val="1"/>
        </w:numPr>
      </w:pPr>
      <w:r>
        <w:rPr>
          <w:color w:val="auto"/>
          <w:rFonts w:ascii="Times New Roman" w:hAnsi="Times New Roman" w:cs="Times New Roman"/>
        </w:rPr>
        <w:t>Rotate credentials periodically.</w:t>
      </w:r>
    </w:p>
    <w:p>
      <w:pPr>
        <w:numPr>
          <w:ilvl w:val="0"/>
          <w:numId w:val="1"/>
        </w:numPr>
      </w:pPr>
      <w:r>
        <w:rPr>
          <w:color w:val="auto"/>
          <w:rFonts w:ascii="Times New Roman" w:hAnsi="Times New Roman" w:cs="Times New Roman"/>
        </w:rPr>
        <w:t>Review audit logs and third-party dependencies regularly.</w:t>
      </w:r>
    </w:p>
    <w:p>
      <w:pPr>
        <w:pStyle w:val="Heading1"/>
      </w:pPr>
      <w:r>
        <w:rPr>
          <w:color w:val="auto"/>
          <w:rFonts w:ascii="Times New Roman" w:hAnsi="Times New Roman" w:cs="Times New Roman"/>
        </w:rPr>
        <w:t>18. Release Management</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Release Asset</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Requirement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Version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Every release must have a version number.</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Changelog</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Summarize features, fixes, operations changes, and known risks.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Database Notes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Document migrations and compatibility expectations.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Rollback</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Provide rollback plan and deployment checklist.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Deployment Style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Support rolling or blue/green deployments where possible.</w:t>
            </w:r>
          </w:p>
        </w:tc>
      </w:tr>
    </w:tbl>
    <w:p>
      <w:pPr>
        <w:pStyle w:val="Heading1"/>
      </w:pPr>
      <w:r>
        <w:rPr>
          <w:color w:val="auto"/>
          <w:rFonts w:ascii="Times New Roman" w:hAnsi="Times New Roman" w:cs="Times New Roman"/>
        </w:rPr>
        <w:t>19. Maintenance Operations</w:t>
      </w:r>
    </w:p>
    <w:p>
      <w:pPr>
        <w:numPr>
          <w:ilvl w:val="0"/>
          <w:numId w:val="1"/>
        </w:numPr>
      </w:pPr>
      <w:r>
        <w:rPr>
          <w:color w:val="auto"/>
          <w:rFonts w:ascii="Times New Roman" w:hAnsi="Times New Roman" w:cs="Times New Roman"/>
        </w:rPr>
        <w:t>Support scheduled maintenance windows and clear user notifications.</w:t>
      </w:r>
    </w:p>
    <w:p>
      <w:pPr>
        <w:numPr>
          <w:ilvl w:val="0"/>
          <w:numId w:val="1"/>
        </w:numPr>
      </w:pPr>
      <w:r>
        <w:rPr>
          <w:color w:val="auto"/>
          <w:rFonts w:ascii="Times New Roman" w:hAnsi="Times New Roman" w:cs="Times New Roman"/>
        </w:rPr>
        <w:t>Prepare future read-only mode for maintenance-safe access.</w:t>
      </w:r>
    </w:p>
    <w:p>
      <w:pPr>
        <w:numPr>
          <w:ilvl w:val="0"/>
          <w:numId w:val="1"/>
        </w:numPr>
      </w:pPr>
      <w:r>
        <w:rPr>
          <w:color w:val="auto"/>
          <w:rFonts w:ascii="Times New Roman" w:hAnsi="Times New Roman" w:cs="Times New Roman"/>
        </w:rPr>
        <w:t>Run background migration tasks safely.</w:t>
      </w:r>
    </w:p>
    <w:p>
      <w:pPr>
        <w:numPr>
          <w:ilvl w:val="0"/>
          <w:numId w:val="1"/>
        </w:numPr>
      </w:pPr>
      <w:r>
        <w:rPr>
          <w:color w:val="auto"/>
          <w:rFonts w:ascii="Times New Roman" w:hAnsi="Times New Roman" w:cs="Times New Roman"/>
        </w:rPr>
        <w:t>Warm caches after deployment and drain queues before shutdown.</w:t>
      </w:r>
    </w:p>
    <w:p>
      <w:pPr>
        <w:pStyle w:val="Heading1"/>
      </w:pPr>
      <w:r>
        <w:rPr>
          <w:color w:val="auto"/>
          <w:rFonts w:ascii="Times New Roman" w:hAnsi="Times New Roman" w:cs="Times New Roman"/>
        </w:rPr>
        <w:t>20. AI Coding Instructions</w:t>
      </w:r>
    </w:p>
    <w:p>
      <w:pPr>
        <w:numPr>
          <w:ilvl w:val="0"/>
          <w:numId w:val="1"/>
        </w:numPr>
      </w:pPr>
      <w:r>
        <w:rPr>
          <w:color w:val="auto"/>
          <w:rFonts w:ascii="Times New Roman" w:hAnsi="Times New Roman" w:cs="Times New Roman"/>
        </w:rPr>
        <w:t>Produce Dockerfiles for frontend and backend.</w:t>
      </w:r>
    </w:p>
    <w:p>
      <w:pPr>
        <w:numPr>
          <w:ilvl w:val="0"/>
          <w:numId w:val="1"/>
        </w:numPr>
      </w:pPr>
      <w:r>
        <w:rPr>
          <w:color w:val="auto"/>
          <w:rFonts w:ascii="Times New Roman" w:hAnsi="Times New Roman" w:cs="Times New Roman"/>
        </w:rPr>
        <w:t>Create Docker Compose configuration for local development.</w:t>
      </w:r>
    </w:p>
    <w:p>
      <w:pPr>
        <w:numPr>
          <w:ilvl w:val="0"/>
          <w:numId w:val="1"/>
        </w:numPr>
      </w:pPr>
      <w:r>
        <w:rPr>
          <w:color w:val="auto"/>
          <w:rFonts w:ascii="Times New Roman" w:hAnsi="Times New Roman" w:cs="Times New Roman"/>
        </w:rPr>
        <w:t>Include Nginx configuration supporting REST APIs and Socket.IO.</w:t>
      </w:r>
    </w:p>
    <w:p>
      <w:pPr>
        <w:numPr>
          <w:ilvl w:val="0"/>
          <w:numId w:val="1"/>
        </w:numPr>
      </w:pPr>
      <w:r>
        <w:rPr>
          <w:color w:val="auto"/>
          <w:rFonts w:ascii="Times New Roman" w:hAnsi="Times New Roman" w:cs="Times New Roman"/>
        </w:rPr>
        <w:t>Generate CI/CD workflow definitions for automated testing and deployment.</w:t>
      </w:r>
    </w:p>
    <w:p>
      <w:pPr>
        <w:numPr>
          <w:ilvl w:val="0"/>
          <w:numId w:val="1"/>
        </w:numPr>
      </w:pPr>
      <w:r>
        <w:rPr>
          <w:color w:val="auto"/>
          <w:rFonts w:ascii="Times New Roman" w:hAnsi="Times New Roman" w:cs="Times New Roman"/>
        </w:rPr>
        <w:t>Organize environment variables by environment with clear documentation.</w:t>
      </w:r>
    </w:p>
    <w:p>
      <w:pPr>
        <w:numPr>
          <w:ilvl w:val="0"/>
          <w:numId w:val="1"/>
        </w:numPr>
      </w:pPr>
      <w:r>
        <w:rPr>
          <w:color w:val="auto"/>
          <w:rFonts w:ascii="Times New Roman" w:hAnsi="Times New Roman" w:cs="Times New Roman"/>
        </w:rPr>
        <w:t>Add health check endpoints for all services.</w:t>
      </w:r>
    </w:p>
    <w:p>
      <w:pPr>
        <w:numPr>
          <w:ilvl w:val="0"/>
          <w:numId w:val="1"/>
        </w:numPr>
      </w:pPr>
      <w:r>
        <w:rPr>
          <w:color w:val="auto"/>
          <w:rFonts w:ascii="Times New Roman" w:hAnsi="Times New Roman" w:cs="Times New Roman"/>
        </w:rPr>
        <w:t>Ensure horizontal scaling without changing business logic.</w:t>
      </w:r>
    </w:p>
    <w:p>
      <w:pPr>
        <w:numPr>
          <w:ilvl w:val="0"/>
          <w:numId w:val="1"/>
        </w:numPr>
      </w:pPr>
      <w:r>
        <w:rPr>
          <w:color w:val="auto"/>
          <w:rFonts w:ascii="Times New Roman" w:hAnsi="Times New Roman" w:cs="Times New Roman"/>
        </w:rPr>
        <w:t>Implement structured logging and monitoring hooks.</w:t>
      </w:r>
    </w:p>
    <w:p>
      <w:pPr>
        <w:numPr>
          <w:ilvl w:val="0"/>
          <w:numId w:val="1"/>
        </w:numPr>
      </w:pPr>
      <w:r>
        <w:rPr>
          <w:color w:val="auto"/>
          <w:rFonts w:ascii="Times New Roman" w:hAnsi="Times New Roman" w:cs="Times New Roman"/>
        </w:rPr>
        <w:t>Design deployment artifacts so staging mirrors production as closely as possible.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Phase 11 Completion Criteria</w:t>
            </w:r>
          </w:p>
          <w:p>
            <w:pPr>
              <w:spacing w:after="60"/>
            </w:pPr>
            <w:r>
              <w:rPr>
                <w:color w:val="auto"/>
                <w:rFonts w:ascii="Times New Roman" w:hAnsi="Times New Roman" w:cs="Times New Roman"/>
              </w:rPr>
              <w:t>Phase 11 is complete when the environment strategy, repository workflow, CI/CD pipeline, Docker setup, Nginx responsibilities, SSL and domain policy, secret management, database and Redis operations, file storage policy, monitoring, logging, alerting, disaster recovery, scalability, security operations, release management, maintenance operations, and coding rules are ready for implementation planning.</w:t>
            </w:r>
          </w:p>
        </w:tc>
      </w:tr>
    </w:tbl>
    <w:sectPr>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w="http://schemas.openxmlformats.org/wordprocessingml/2006/main">
  <w:font w:name="Times New Roman">
    <w:family w:val="roman"/>
    <w:pitch w:val="variable"/>
  </w:font>
  <w:font w:name="Symbol">
    <w:family w:val="roman"/>
    <w:pitch w:val="variable"/>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spacing w:after="0" w:line="240" w:lineRule="auto"/>
      </w:pPr>
      <w:rPr>
        <w:rFonts w:ascii="Symbol" w:hAnsi="Symbol"/>
      </w:rPr>
    </w:lvl>
  </w:abstractNum>
  <w:num w:numId="1">
    <w:abstractNumId w:val="1"/>
  </w:num>
</w:numbering>
</file>

<file path=word/settings.xml><?xml version="1.0" encoding="utf-8"?>
<w:settings xmlns:w="http://schemas.openxmlformats.org/wordprocessingml/2006/main">
  <w:updateFields w:val="true"/>
  <w:defaultTabStop w:val="720"/>
  <w:compat/>
</w:settings>
</file>

<file path=word/styles.xml><?xml version="1.0" encoding="utf-8"?>
<w:styles xmlns:w="http://schemas.openxmlformats.org/wordprocessingml/2006/main">
  <w:docDefaults>
    <w:rPrDefault>
      <w:rPr>
        <w:rFonts w:ascii="Times New Roman" w:hAnsi="Times New Roman" w:cs="Times New Roman"/>
        <w:sz w:val="24"/>
        <w:szCs w:val="24"/>
        <w:color w:val="auto"/>
      </w:rPr>
    </w:rPrDefault>
    <w:pPrDefault>
      <w:pPr>
        <w:spacing w:after="0" w:line="240" w:lineRule="auto"/>
      </w:pPr>
    </w:pPrDefault>
  </w:docDefaults>
  <w:style w:type="paragraph" w:default="1" w:styleId="Normal">
    <w:name w:val="Normal"/>
    <w:qFormat/>
    <w:pPr>
      <w:spacing w:after="0" w:line="240" w:lineRule="auto"/>
    </w:pPr>
    <w:rPr>
      <w:rFonts w:ascii="Times New Roman" w:hAnsi="Times New Roman" w:cs="Times New Roman"/>
      <w:sz w:val="24"/>
      <w:szCs w:val="24"/>
      <w:color w:val="auto"/>
    </w:rPr>
  </w:style>
  <w:style w:type="paragraph" w:styleId="Title">
    <w:name w:val="Title"/>
    <w:basedOn w:val="Normal"/>
    <w:qFormat/>
    <w:pPr>
      <w:spacing w:before="0" w:after="0" w:line="240" w:lineRule="auto"/>
      <w:jc w:val="center"/>
    </w:pPr>
    <w:rPr>
      <w:rFonts w:ascii="Times New Roman" w:hAnsi="Times New Roman" w:cs="Times New Roman"/>
      <w:b/>
      <w:sz w:val="52"/>
      <w:szCs w:val="52"/>
      <w:color w:val="auto"/>
    </w:rPr>
  </w:style>
  <w:style w:type="paragraph" w:styleId="Subtitle">
    <w:name w:val="Subtitle"/>
    <w:basedOn w:val="Normal"/>
    <w:qFormat/>
    <w:pPr>
      <w:spacing w:after="0" w:line="240" w:lineRule="auto"/>
    </w:pPr>
    <w:rPr>
      <w:rFonts w:ascii="Times New Roman" w:hAnsi="Times New Roman" w:cs="Times New Roman"/>
      <w:sz w:val="24"/>
      <w:szCs w:val="24"/>
      <w:color w:val="auto"/>
    </w:rPr>
  </w:style>
  <w:style w:type="paragraph" w:styleId="Heading1">
    <w:name w:val="heading 1"/>
    <w:basedOn w:val="Normal"/>
    <w:next w:val="Normal"/>
    <w:qFormat/>
    <w:pPr>
      <w:keepNext/>
      <w:spacing w:before="240" w:after="0" w:line="240" w:lineRule="auto"/>
    </w:pPr>
    <w:rPr>
      <w:rFonts w:ascii="Times New Roman" w:hAnsi="Times New Roman" w:cs="Times New Roman"/>
      <w:b/>
      <w:sz w:val="32"/>
      <w:szCs w:val="32"/>
      <w:color w:val="auto"/>
    </w:rPr>
  </w:style>
  <w:style w:type="paragraph" w:styleId="Heading2">
    <w:name w:val="heading 2"/>
    <w:basedOn w:val="Normal"/>
    <w:next w:val="Normal"/>
    <w:qFormat/>
    <w:pPr>
      <w:keepNext/>
      <w:spacing w:before="240" w:after="0" w:line="240" w:lineRule="auto"/>
    </w:pPr>
    <w:rPr>
      <w:rFonts w:ascii="Times New Roman" w:hAnsi="Times New Roman" w:cs="Times New Roman"/>
      <w:b/>
      <w:sz w:val="26"/>
      <w:szCs w:val="26"/>
      <w:color w:val="auto"/>
    </w:rPr>
  </w:style>
  <w:style w:type="paragraph" w:styleId="Heading3">
    <w:name w:val="heading 3"/>
    <w:basedOn w:val="Normal"/>
    <w:next w:val="Normal"/>
    <w:qFormat/>
    <w:pPr>
      <w:keepNext/>
      <w:spacing w:before="160" w:after="0" w:line="240" w:lineRule="auto"/>
    </w:pPr>
    <w:rPr>
      <w:rFonts w:ascii="Times New Roman" w:hAnsi="Times New Roman" w:cs="Times New Roman"/>
      <w:b/>
      <w:sz w:val="24"/>
      <w:szCs w:val="24"/>
      <w:color w:val="auto"/>
    </w:rPr>
  </w:style>
  <w:style w:type="paragraph" w:styleId="SmallMuted">
    <w:name w:val="Small Muted"/>
    <w:basedOn w:val="Normal"/>
    <w:pPr>
      <w:spacing w:after="0" w:line="240" w:lineRule="auto"/>
    </w:pPr>
    <w:rPr>
      <w:rFonts w:ascii="Times New Roman" w:hAnsi="Times New Roman" w:cs="Times New Roman"/>
      <w:sz w:val="20"/>
      <w:szCs w:val="20"/>
      <w:color w:val="auto"/>
    </w:rPr>
  </w:style>
  <w:style w:type="paragraph" w:styleId="CodeBlock">
    <w:name w:val="Code Block"/>
    <w:basedOn w:val="Normal"/>
    <w:pPr>
      <w:spacing w:before="0" w:after="0" w:line="240" w:lineRule="auto"/>
    </w:pPr>
    <w:rPr>
      <w:rFonts w:ascii="Times New Roman" w:hAnsi="Times New Roman" w:cs="Times New Roman"/>
      <w:sz w:val="24"/>
      <w:szCs w:val="24"/>
      <w:color w:val="auto"/>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FontTable" Type="http://schemas.openxmlformats.org/officeDocument/2006/relationships/fontTable" Target="fontTable.xml"/>
  <Relationship Id="rIdImage1" Type="http://schemas.openxmlformats.org/officeDocument/2006/relationships/image" Target="media/phase11_environment_strategy.png"/>
  <Relationship Id="rIdImage2" Type="http://schemas.openxmlformats.org/officeDocument/2006/relationships/image" Target="media/phase11_cicd_pipeline.png"/>
  <Relationship Id="rIdImage3" Type="http://schemas.openxmlformats.org/officeDocument/2006/relationships/image" Target="media/phase11_production_infrastructure.png"/>
  <Relationship Id="rIdImage4" Type="http://schemas.openxmlformats.org/officeDocument/2006/relationships/image" Target="media/phase11_observability_dr.png"/>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Brillaris</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Sportz - Phase 11 DevOps, Deployment, CI/CD and Production Infrastructure</dc:title>
  <dc:subject>Production infrastructure blueprint covering environments, CI/CD, Docker, Nginx, SSL, secrets, database operations, Redis, storage, monitoring, logging, alerting, recovery, scalability, security, releases, and maintenance</dc:subject>
  <dc:creator>OpenAI Codex</dc:creator>
  <cp:lastModifiedBy>OpenAI Codex</cp:lastModifiedBy>
  <dcterms:created xsi:type="dcterms:W3CDTF">2026-07-05T14:23:54Z</dcterms:created>
  <dcterms:modified xsi:type="dcterms:W3CDTF">2026-07-05T14:23:54Z</dcterms:modified>
</cp:coreProperties>
</file>