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sz w:val="26"/>
        </w:rPr>
        <w:t>Caught Up AI</w:t>
      </w:r>
    </w:p>
    <w:p>
      <w:pPr>
        <w:spacing w:after="40"/>
      </w:pPr>
      <w:r>
        <w:rPr>
          <w:rFonts w:ascii="Calibri" w:hAnsi="Calibri"/>
          <w:color w:val="666666"/>
          <w:sz w:val="17"/>
        </w:rPr>
        <w:t>The daily AP English Language Opener   .   Saturday, June 6, 2026   .   TEST RUN (sample)</w:t>
      </w:r>
    </w:p>
    <w:p>
      <w:pPr>
        <w:pStyle w:val="Title"/>
      </w:pPr>
      <w:r>
        <w:t>The Books We Don't Read</w:t>
      </w:r>
    </w:p>
    <w:p>
      <w:pPr>
        <w:spacing w:after="160"/>
      </w:pPr>
      <w:r>
        <w:rPr>
          <w:rFonts w:ascii="Calibri" w:hAnsi="Calibri"/>
          <w:i/>
          <w:color w:val="666666"/>
          <w:sz w:val="18"/>
        </w:rPr>
        <w:t>Register: The Long Think (a mind reasoning to an earned turn; no biography)</w:t>
      </w:r>
    </w:p>
    <w:p>
      <w:pPr>
        <w:pStyle w:val="Heading1"/>
      </w:pPr>
      <w:r>
        <w:t>Student copy</w:t>
      </w:r>
    </w:p>
    <w:p>
      <w:pPr>
        <w:spacing w:after="160"/>
      </w:pPr>
      <w:r>
        <w:rPr>
          <w:rFonts w:ascii="Times New Roman" w:hAnsi="Times New Roman"/>
          <w:i/>
          <w:color w:val="666666"/>
          <w:sz w:val="20"/>
        </w:rPr>
        <w:t>Read the passage, then answer the questions.</w:t>
      </w:r>
    </w:p>
    <w:p>
      <w:pPr>
        <w:spacing w:after="140"/>
      </w:pPr>
      <w:r>
        <w:rPr>
          <w:rFonts w:ascii="Times New Roman" w:hAnsi="Times New Roman"/>
          <w:b/>
          <w:sz w:val="22"/>
        </w:rPr>
        <w:t xml:space="preserve">1  </w:t>
      </w:r>
      <w:r>
        <w:rPr>
          <w:rFonts w:ascii="Times New Roman" w:hAnsi="Times New Roman"/>
          <w:sz w:val="22"/>
        </w:rPr>
        <w:t>Almost everyone who buys books owns more of them than they will ever read. The unread ones gather on the shelf in a faint atmosphere of reproach, and most of us have made our peace with a low and manageable guilt about them: the history begun and abandoned, the novel everyone discussed that we never opened, the serious book bought in a serious mood and shelved in a lighter one. The guilt assumes that a book does its job only while it is being read, and that an unread book is a small standing failure.</w:t>
      </w:r>
    </w:p>
    <w:p>
      <w:pPr>
        <w:spacing w:after="140"/>
      </w:pPr>
      <w:r>
        <w:rPr>
          <w:rFonts w:ascii="Times New Roman" w:hAnsi="Times New Roman"/>
          <w:b/>
          <w:sz w:val="22"/>
        </w:rPr>
        <w:t xml:space="preserve">2  </w:t>
      </w:r>
      <w:r>
        <w:rPr>
          <w:rFonts w:ascii="Times New Roman" w:hAnsi="Times New Roman"/>
          <w:sz w:val="22"/>
        </w:rPr>
        <w:t>There is something to that. A book you keep meaning to read can be a quiet lie you tell about yourself, a picture of the person you would be if you had the evenings. Shelves fill with intentions that were never quite serious. If you have never finished a single book you own, then owning a thousand of them proves nothing except that you can buy things.</w:t>
      </w:r>
    </w:p>
    <w:p>
      <w:pPr>
        <w:spacing w:after="140"/>
      </w:pPr>
      <w:r>
        <w:rPr>
          <w:rFonts w:ascii="Times New Roman" w:hAnsi="Times New Roman"/>
          <w:b/>
          <w:sz w:val="22"/>
        </w:rPr>
        <w:t xml:space="preserve">3  </w:t>
      </w:r>
      <w:r>
        <w:rPr>
          <w:rFonts w:ascii="Times New Roman" w:hAnsi="Times New Roman"/>
          <w:sz w:val="22"/>
        </w:rPr>
        <w:t>But the guilt mistakes what the shelf is for. The writer Nassim Nicholas Taleb gave the unread shelf a name, the antilibrary, after the enormous unread collection of Umberto Eco, and made a small durable case for it: the books you have already read are the least useful part of a library. What you have read has done its work and become, at best, a part of you, and at worst a thing you half remember. It is the unread spines that keep the more valuable knowledge in front of you, which is the knowledge of how much there is that you do not know.</w:t>
      </w:r>
    </w:p>
    <w:p>
      <w:pPr>
        <w:spacing w:after="140"/>
      </w:pPr>
      <w:r>
        <w:rPr>
          <w:rFonts w:ascii="Times New Roman" w:hAnsi="Times New Roman"/>
          <w:b/>
          <w:sz w:val="22"/>
        </w:rPr>
        <w:t xml:space="preserve">4  </w:t>
      </w:r>
      <w:r>
        <w:rPr>
          <w:rFonts w:ascii="Times New Roman" w:hAnsi="Times New Roman"/>
          <w:sz w:val="22"/>
        </w:rPr>
        <w:t>Read that way, the unread shelf turns from an accusation into an instrument. A shelf of finished books is a record of where you have been; a shelf of unfinished ones is the part that keeps you honest. It is a map of a country you have not visited and now at least know is there. The aim is not to read more, though you might. The aim is to keep the size of your own ignorance somewhere you can see it.</w:t>
      </w:r>
    </w:p>
    <w:p>
      <w:pPr>
        <w:spacing w:after="140"/>
      </w:pPr>
      <w:r>
        <w:rPr>
          <w:rFonts w:ascii="Times New Roman" w:hAnsi="Times New Roman"/>
          <w:b/>
          <w:sz w:val="22"/>
        </w:rPr>
        <w:t xml:space="preserve">5  </w:t>
      </w:r>
      <w:r>
        <w:rPr>
          <w:rFonts w:ascii="Times New Roman" w:hAnsi="Times New Roman"/>
          <w:sz w:val="22"/>
        </w:rPr>
        <w:t>None of this makes the guilt entirely wrong, only early. A few of the books really are pure pretension, and you will probably never read those either. But the rest are not waiting to shame you. They are holding your place in a conversation much larger than you are, the one you wandered into when you started buying books you were not ready for, and have not finished wandering through.</w:t>
      </w:r>
    </w:p>
    <w:p>
      <w:pPr>
        <w:pStyle w:val="Heading2"/>
      </w:pPr>
      <w:r>
        <w:t>Multiple choice</w:t>
      </w:r>
    </w:p>
    <w:p>
      <w:pPr>
        <w:spacing w:after="40"/>
      </w:pPr>
      <w:r>
        <w:rPr>
          <w:rFonts w:ascii="Times New Roman" w:hAnsi="Times New Roman"/>
          <w:sz w:val="22"/>
        </w:rPr>
        <w:t>1.  In the second paragraph, which of the following best characterizes the writer's position on the guilt readers feel about unread books?</w:t>
      </w:r>
    </w:p>
    <w:p>
      <w:pPr>
        <w:spacing w:after="20"/>
        <w:ind w:left="432"/>
      </w:pPr>
      <w:r>
        <w:rPr>
          <w:rFonts w:ascii="Times New Roman" w:hAnsi="Times New Roman"/>
          <w:sz w:val="22"/>
        </w:rPr>
        <w:t>A)  It is partly warranted, because some unread books reflect intentions that were never serious</w:t>
      </w:r>
    </w:p>
    <w:p>
      <w:pPr>
        <w:spacing w:after="20"/>
        <w:ind w:left="432"/>
      </w:pPr>
      <w:r>
        <w:rPr>
          <w:rFonts w:ascii="Times New Roman" w:hAnsi="Times New Roman"/>
          <w:sz w:val="22"/>
        </w:rPr>
        <w:t>B)  It is entirely unwarranted and ought to be dismissed at once</w:t>
      </w:r>
    </w:p>
    <w:p>
      <w:pPr>
        <w:spacing w:after="20"/>
        <w:ind w:left="432"/>
      </w:pPr>
      <w:r>
        <w:rPr>
          <w:rFonts w:ascii="Times New Roman" w:hAnsi="Times New Roman"/>
          <w:sz w:val="22"/>
        </w:rPr>
        <w:t>C)  It proves that buying books is a waste of money</w:t>
      </w:r>
    </w:p>
    <w:p>
      <w:pPr>
        <w:spacing w:after="20"/>
        <w:ind w:left="432"/>
      </w:pPr>
      <w:r>
        <w:rPr>
          <w:rFonts w:ascii="Times New Roman" w:hAnsi="Times New Roman"/>
          <w:sz w:val="22"/>
        </w:rPr>
        <w:t>D)  It explains why people tend to read less as they grow older</w:t>
      </w:r>
    </w:p>
    <w:p>
      <w:pPr>
        <w:spacing w:after="40"/>
      </w:pPr>
    </w:p>
    <w:p>
      <w:pPr>
        <w:spacing w:after="40"/>
      </w:pPr>
      <w:r>
        <w:rPr>
          <w:rFonts w:ascii="Times New Roman" w:hAnsi="Times New Roman"/>
          <w:sz w:val="22"/>
        </w:rPr>
        <w:t>2.  The relationship between the second and third paragraphs is best described as one in which the writer first</w:t>
      </w:r>
    </w:p>
    <w:p>
      <w:pPr>
        <w:spacing w:after="20"/>
        <w:ind w:left="432"/>
      </w:pPr>
      <w:r>
        <w:rPr>
          <w:rFonts w:ascii="Times New Roman" w:hAnsi="Times New Roman"/>
          <w:sz w:val="22"/>
        </w:rPr>
        <w:t>A)  grants the guilt real force and then argues that it misreads the shelf's purpose</w:t>
      </w:r>
    </w:p>
    <w:p>
      <w:pPr>
        <w:spacing w:after="20"/>
        <w:ind w:left="432"/>
      </w:pPr>
      <w:r>
        <w:rPr>
          <w:rFonts w:ascii="Times New Roman" w:hAnsi="Times New Roman"/>
          <w:sz w:val="22"/>
        </w:rPr>
        <w:t>B)  defines a key term and then illustrates that term with an example</w:t>
      </w:r>
    </w:p>
    <w:p>
      <w:pPr>
        <w:spacing w:after="20"/>
        <w:ind w:left="432"/>
      </w:pPr>
      <w:r>
        <w:rPr>
          <w:rFonts w:ascii="Times New Roman" w:hAnsi="Times New Roman"/>
          <w:sz w:val="22"/>
        </w:rPr>
        <w:t>C)  recalls a personal memory and then draws a general lesson from it</w:t>
      </w:r>
    </w:p>
    <w:p>
      <w:pPr>
        <w:spacing w:after="20"/>
        <w:ind w:left="432"/>
      </w:pPr>
      <w:r>
        <w:rPr>
          <w:rFonts w:ascii="Times New Roman" w:hAnsi="Times New Roman"/>
          <w:sz w:val="22"/>
        </w:rPr>
        <w:t>D)  raises an objection and then concedes that the objection is correct</w:t>
      </w:r>
    </w:p>
    <w:p>
      <w:pPr>
        <w:spacing w:after="40"/>
      </w:pPr>
    </w:p>
    <w:p>
      <w:pPr>
        <w:pStyle w:val="Heading2"/>
      </w:pPr>
      <w:r>
        <w:t>Discussion</w:t>
      </w:r>
    </w:p>
    <w:p>
      <w:pPr>
        <w:spacing w:after="60"/>
      </w:pPr>
      <w:r>
        <w:rPr>
          <w:rFonts w:ascii="Times New Roman" w:hAnsi="Times New Roman"/>
          <w:sz w:val="22"/>
        </w:rPr>
        <w:t>1.  The writer spends a paragraph agreeing that the guilt over unread books is partly deserved before turning against it. How does granting that ground change the way the later claim lands?</w:t>
      </w:r>
    </w:p>
    <w:p>
      <w:pPr>
        <w:spacing w:after="60"/>
      </w:pPr>
      <w:r>
        <w:rPr>
          <w:rFonts w:ascii="Times New Roman" w:hAnsi="Times New Roman"/>
          <w:sz w:val="22"/>
        </w:rPr>
        <w:t>2.  The essay redefines a shelf of unread books as "a map of a country you have not visited." What does that metaphor let you see that the plain word "unread" does not?</w:t>
      </w:r>
    </w:p>
    <w:p>
      <w:pPr>
        <w:pStyle w:val="Heading2"/>
      </w:pPr>
      <w:r>
        <w:t>Writing prompt (homework or extended in-class, Q3 argument)</w:t>
      </w:r>
    </w:p>
    <w:p>
      <w:pPr>
        <w:spacing w:after="120"/>
      </w:pPr>
      <w:r>
        <w:rPr>
          <w:rFonts w:ascii="Times New Roman" w:hAnsi="Times New Roman"/>
          <w:i w:val="0"/>
          <w:sz w:val="22"/>
        </w:rPr>
        <w:t>The writer claims that what you have not yet read can be more valuable to keep in view than what you have. Defend, challenge, or qualify the claim that an awareness of our own ignorance is worth preserving. Use your own knowledge, observation, or reading.</w:t>
      </w:r>
    </w:p>
    <w:p>
      <w:r>
        <w:br w:type="page"/>
      </w:r>
    </w:p>
    <w:p>
      <w:pPr>
        <w:pStyle w:val="Heading1"/>
      </w:pPr>
      <w:r>
        <w:t>Teacher copy</w:t>
      </w:r>
    </w:p>
    <w:p>
      <w:pPr>
        <w:spacing w:after="160"/>
      </w:pPr>
      <w:r>
        <w:rPr>
          <w:rFonts w:ascii="Times New Roman" w:hAnsi="Times New Roman"/>
          <w:i/>
          <w:color w:val="666666"/>
          <w:sz w:val="20"/>
        </w:rPr>
        <w:t>Everything in the student copy, plus the marked article, answers, and teaching notes.</w:t>
      </w:r>
    </w:p>
    <w:p>
      <w:pPr>
        <w:pStyle w:val="Heading2"/>
      </w:pPr>
      <w:r>
        <w:t>The article, marked for rhetorical devices (one color throughout)</w:t>
      </w:r>
    </w:p>
    <w:p>
      <w:pPr>
        <w:spacing w:after="140"/>
      </w:pPr>
      <w:r>
        <w:rPr>
          <w:rFonts w:ascii="Times New Roman" w:hAnsi="Times New Roman"/>
          <w:b/>
          <w:sz w:val="22"/>
        </w:rPr>
        <w:t xml:space="preserve">1  </w:t>
      </w:r>
      <w:r>
        <w:rPr>
          <w:rFonts w:ascii="Times New Roman" w:hAnsi="Times New Roman"/>
          <w:sz w:val="22"/>
        </w:rPr>
        <w:t xml:space="preserve">Almost everyone who buys books owns more of them than they will ever read. </w:t>
      </w:r>
      <w:r>
        <w:rPr>
          <w:rFonts w:ascii="Times New Roman" w:hAnsi="Times New Roman"/>
          <w:sz w:val="22"/>
          <w:highlight w:val="yellow"/>
        </w:rPr>
        <w:t>The unread ones gather on the shelf in a faint atmosphere of reproach, and most of us have made our peace with a low and manageable guilt about them: the history begun and abandoned, the novel everyone discussed that we never opened, the serious book bought in a serious mood and shelved in a lighter one.</w:t>
      </w:r>
      <w:r>
        <w:rPr>
          <w:rFonts w:ascii="Calibri" w:hAnsi="Calibri"/>
          <w:b/>
          <w:color w:val="1F4E79"/>
          <w:sz w:val="16"/>
        </w:rPr>
        <w:t xml:space="preserve"> [Cumulative and periodic sentences]</w:t>
      </w:r>
      <w:r>
        <w:rPr>
          <w:rFonts w:ascii="Times New Roman" w:hAnsi="Times New Roman"/>
          <w:sz w:val="22"/>
        </w:rPr>
        <w:t xml:space="preserve"> The guilt assumes that a book does its job only while it is being read, and that an unread book is a small standing failure.</w:t>
      </w:r>
    </w:p>
    <w:p>
      <w:pPr>
        <w:spacing w:after="140"/>
      </w:pPr>
      <w:r>
        <w:rPr>
          <w:rFonts w:ascii="Times New Roman" w:hAnsi="Times New Roman"/>
          <w:b/>
          <w:sz w:val="22"/>
        </w:rPr>
        <w:t xml:space="preserve">2  </w:t>
      </w:r>
      <w:r>
        <w:rPr>
          <w:rFonts w:ascii="Times New Roman" w:hAnsi="Times New Roman"/>
          <w:sz w:val="22"/>
        </w:rPr>
        <w:t xml:space="preserve">There is something to that. </w:t>
      </w:r>
      <w:r>
        <w:rPr>
          <w:rFonts w:ascii="Times New Roman" w:hAnsi="Times New Roman"/>
          <w:sz w:val="22"/>
          <w:highlight w:val="yellow"/>
        </w:rPr>
        <w:t>A book you keep meaning to read can be a quiet lie you tell about yourself, a picture of the person you would be if you had the evenings.</w:t>
      </w:r>
      <w:r>
        <w:rPr>
          <w:rFonts w:ascii="Calibri" w:hAnsi="Calibri"/>
          <w:b/>
          <w:color w:val="1F4E79"/>
          <w:sz w:val="16"/>
        </w:rPr>
        <w:t xml:space="preserve"> [Concession]</w:t>
      </w:r>
      <w:r>
        <w:rPr>
          <w:rFonts w:ascii="Times New Roman" w:hAnsi="Times New Roman"/>
          <w:sz w:val="22"/>
        </w:rPr>
        <w:t xml:space="preserve"> Shelves fill with intentions that were never quite serious. If you have never finished a single book you own, then owning a thousand of them proves nothing except that you can buy things.</w:t>
      </w:r>
    </w:p>
    <w:p>
      <w:pPr>
        <w:spacing w:after="140"/>
      </w:pPr>
      <w:r>
        <w:rPr>
          <w:rFonts w:ascii="Times New Roman" w:hAnsi="Times New Roman"/>
          <w:b/>
          <w:sz w:val="22"/>
        </w:rPr>
        <w:t xml:space="preserve">3  </w:t>
      </w:r>
      <w:r>
        <w:rPr>
          <w:rFonts w:ascii="Times New Roman" w:hAnsi="Times New Roman"/>
          <w:sz w:val="22"/>
          <w:highlight w:val="yellow"/>
        </w:rPr>
        <w:t>But the guilt mistakes what the shelf is for.</w:t>
      </w:r>
      <w:r>
        <w:rPr>
          <w:rFonts w:ascii="Calibri" w:hAnsi="Calibri"/>
          <w:b/>
          <w:color w:val="1F4E79"/>
          <w:sz w:val="16"/>
        </w:rPr>
        <w:t xml:space="preserve"> [Shift / volta]</w:t>
      </w:r>
      <w:r>
        <w:rPr>
          <w:rFonts w:ascii="Times New Roman" w:hAnsi="Times New Roman"/>
          <w:sz w:val="22"/>
        </w:rPr>
        <w:t xml:space="preserve"> The writer Nassim Nicholas Taleb gave the unread shelf a name, the antilibrary, after the enormous unread collection of Umberto Eco, and made a small durable case for it: the books you have already read are the least useful part of a library. What you have read has done its work and become, at best, a part of you, and at worst a thing you half remember. It is the unread spines that keep the more valuable knowledge in front of you, which is the knowledge of how much there is that you do not know.</w:t>
      </w:r>
    </w:p>
    <w:p>
      <w:pPr>
        <w:spacing w:after="140"/>
      </w:pPr>
      <w:r>
        <w:rPr>
          <w:rFonts w:ascii="Times New Roman" w:hAnsi="Times New Roman"/>
          <w:b/>
          <w:sz w:val="22"/>
        </w:rPr>
        <w:t xml:space="preserve">4  </w:t>
      </w:r>
      <w:r>
        <w:rPr>
          <w:rFonts w:ascii="Times New Roman" w:hAnsi="Times New Roman"/>
          <w:sz w:val="22"/>
        </w:rPr>
        <w:t xml:space="preserve">Read that way, the unread shelf turns from an accusation into an instrument. </w:t>
      </w:r>
      <w:r>
        <w:rPr>
          <w:rFonts w:ascii="Times New Roman" w:hAnsi="Times New Roman"/>
          <w:sz w:val="22"/>
          <w:highlight w:val="yellow"/>
        </w:rPr>
        <w:t>A shelf of finished books is a record of where you have been; a shelf of unfinished ones is the part that keeps you honest.</w:t>
      </w:r>
      <w:r>
        <w:rPr>
          <w:rFonts w:ascii="Calibri" w:hAnsi="Calibri"/>
          <w:b/>
          <w:color w:val="1F4E79"/>
          <w:sz w:val="16"/>
        </w:rPr>
        <w:t xml:space="preserve"> [Parallelism]</w:t>
      </w:r>
      <w:r>
        <w:rPr>
          <w:rFonts w:ascii="Times New Roman" w:hAnsi="Times New Roman"/>
          <w:sz w:val="22"/>
        </w:rPr>
        <w:t xml:space="preserve"> It is </w:t>
      </w:r>
      <w:r>
        <w:rPr>
          <w:rFonts w:ascii="Times New Roman" w:hAnsi="Times New Roman"/>
          <w:sz w:val="22"/>
          <w:highlight w:val="yellow"/>
        </w:rPr>
        <w:t>a map of a country you have not visited and now at least know is there</w:t>
      </w:r>
      <w:r>
        <w:rPr>
          <w:rFonts w:ascii="Calibri" w:hAnsi="Calibri"/>
          <w:b/>
          <w:color w:val="1F4E79"/>
          <w:sz w:val="16"/>
        </w:rPr>
        <w:t xml:space="preserve"> [Metaphor]</w:t>
      </w:r>
      <w:r>
        <w:rPr>
          <w:rFonts w:ascii="Times New Roman" w:hAnsi="Times New Roman"/>
          <w:sz w:val="22"/>
        </w:rPr>
        <w:t>. The aim is not to read more, though you might. The aim is to keep the size of your own ignorance somewhere you can see it.</w:t>
      </w:r>
    </w:p>
    <w:p>
      <w:pPr>
        <w:spacing w:after="140"/>
      </w:pPr>
      <w:r>
        <w:rPr>
          <w:rFonts w:ascii="Times New Roman" w:hAnsi="Times New Roman"/>
          <w:b/>
          <w:sz w:val="22"/>
        </w:rPr>
        <w:t xml:space="preserve">5  </w:t>
      </w:r>
      <w:r>
        <w:rPr>
          <w:rFonts w:ascii="Times New Roman" w:hAnsi="Times New Roman"/>
          <w:sz w:val="22"/>
        </w:rPr>
        <w:t>None of this makes the guilt entirely wrong, only early. A few of the books really are pure pretension, and you will probably never read those either. But the rest are not waiting to shame you. They are holding your place in a conversation much larger than you are, the one you wandered into when you started buying books you were not ready for, and have not finished wandering through.</w:t>
      </w:r>
    </w:p>
    <w:p>
      <w:pPr>
        <w:pStyle w:val="Heading2"/>
      </w:pPr>
      <w:r>
        <w:t>Devices, and why they are here</w:t>
      </w:r>
    </w:p>
    <w:p>
      <w:pPr>
        <w:spacing w:after="100"/>
        <w:ind w:left="288"/>
      </w:pPr>
      <w:r>
        <w:rPr>
          <w:rFonts w:ascii="Times New Roman" w:hAnsi="Times New Roman"/>
          <w:b/>
          <w:color w:val="1F4E79"/>
          <w:sz w:val="22"/>
        </w:rPr>
        <w:t>Cumulative and periodic sentences</w:t>
      </w:r>
      <w:r>
        <w:rPr>
          <w:rFonts w:ascii="Times New Roman" w:hAnsi="Times New Roman"/>
          <w:sz w:val="22"/>
        </w:rPr>
        <w:t xml:space="preserve"> (paragraph 1): "The unread ones gather on the shelf in a faint atmosphere of reproach, and most of us have made our peace with a low and manageable guilt about them: the history begun and abandoned, the novel everyone discussed that we never opened, the serious book bought in a serious mood and shelved in a lighter one."</w:t>
      </w:r>
    </w:p>
    <w:p>
      <w:pPr>
        <w:spacing w:after="140"/>
        <w:ind w:left="288"/>
      </w:pPr>
      <w:r>
        <w:rPr>
          <w:rFonts w:ascii="Times New Roman" w:hAnsi="Times New Roman"/>
          <w:sz w:val="22"/>
        </w:rPr>
        <w:t>The sentence accumulates examples under one frame (the history, the novel, the serious book), so the shape of the prose performs the way unread books themselves pile up. The colon turns a general claim into a concrete catalogue the reader recognizes from a real shelf.</w:t>
      </w:r>
    </w:p>
    <w:p>
      <w:pPr>
        <w:spacing w:after="100"/>
        <w:ind w:left="288"/>
      </w:pPr>
      <w:r>
        <w:rPr>
          <w:rFonts w:ascii="Times New Roman" w:hAnsi="Times New Roman"/>
          <w:b/>
          <w:color w:val="1F4E79"/>
          <w:sz w:val="22"/>
        </w:rPr>
        <w:t>Concession</w:t>
      </w:r>
      <w:r>
        <w:rPr>
          <w:rFonts w:ascii="Times New Roman" w:hAnsi="Times New Roman"/>
          <w:sz w:val="22"/>
        </w:rPr>
        <w:t xml:space="preserve"> (paragraph 2): "A book you keep meaning to read can be a quiet lie you tell about yourself, a picture of the person you would be if you had the evenings."</w:t>
      </w:r>
    </w:p>
    <w:p>
      <w:pPr>
        <w:spacing w:after="140"/>
        <w:ind w:left="288"/>
      </w:pPr>
      <w:r>
        <w:rPr>
          <w:rFonts w:ascii="Times New Roman" w:hAnsi="Times New Roman"/>
          <w:sz w:val="22"/>
        </w:rPr>
        <w:t>Before turning, the writer grants the guilt its real force: some unread books really are small vanities. Conceding this in good faith is what earns the right to overturn the guilt a paragraph later. Without the concession, the reversal would read as easy reassurance.</w:t>
      </w:r>
    </w:p>
    <w:p>
      <w:pPr>
        <w:spacing w:after="100"/>
        <w:ind w:left="288"/>
      </w:pPr>
      <w:r>
        <w:rPr>
          <w:rFonts w:ascii="Times New Roman" w:hAnsi="Times New Roman"/>
          <w:b/>
          <w:color w:val="1F4E79"/>
          <w:sz w:val="22"/>
        </w:rPr>
        <w:t>Shift / volta</w:t>
      </w:r>
      <w:r>
        <w:rPr>
          <w:rFonts w:ascii="Times New Roman" w:hAnsi="Times New Roman"/>
          <w:sz w:val="22"/>
        </w:rPr>
        <w:t xml:space="preserve"> (paragraph 3): "But the guilt mistakes what the shelf is for."</w:t>
      </w:r>
    </w:p>
    <w:p>
      <w:pPr>
        <w:spacing w:after="140"/>
        <w:ind w:left="288"/>
      </w:pPr>
      <w:r>
        <w:rPr>
          <w:rFonts w:ascii="Times New Roman" w:hAnsi="Times New Roman"/>
          <w:sz w:val="22"/>
        </w:rPr>
        <w:t>The turn is this whole clause, not the word "But" that opens it. It pivots the essay from agreeing with the reader's guilt to redefining what the shelf is for, and every sentence after it argues from this new footing.</w:t>
      </w:r>
    </w:p>
    <w:p>
      <w:pPr>
        <w:spacing w:after="100"/>
        <w:ind w:left="288"/>
      </w:pPr>
      <w:r>
        <w:rPr>
          <w:rFonts w:ascii="Times New Roman" w:hAnsi="Times New Roman"/>
          <w:b/>
          <w:color w:val="1F4E79"/>
          <w:sz w:val="22"/>
        </w:rPr>
        <w:t>Parallelism</w:t>
      </w:r>
      <w:r>
        <w:rPr>
          <w:rFonts w:ascii="Times New Roman" w:hAnsi="Times New Roman"/>
          <w:sz w:val="22"/>
        </w:rPr>
        <w:t xml:space="preserve"> (paragraph 4): "A shelf of finished books is a record of where you have been; a shelf of unfinished ones is the part that keeps you honest."</w:t>
      </w:r>
    </w:p>
    <w:p>
      <w:pPr>
        <w:spacing w:after="140"/>
        <w:ind w:left="288"/>
      </w:pPr>
      <w:r>
        <w:rPr>
          <w:rFonts w:ascii="Times New Roman" w:hAnsi="Times New Roman"/>
          <w:sz w:val="22"/>
        </w:rPr>
        <w:t>Two clauses in the same grammatical shape set the finished shelf against the unfinished one, so the reader weighs them as a matched pair. The balance makes the surprising claim, that the unfinished shelf is the honest one, land as if it were obvious.</w:t>
      </w:r>
    </w:p>
    <w:p>
      <w:pPr>
        <w:spacing w:after="100"/>
        <w:ind w:left="288"/>
      </w:pPr>
      <w:r>
        <w:rPr>
          <w:rFonts w:ascii="Times New Roman" w:hAnsi="Times New Roman"/>
          <w:b/>
          <w:color w:val="1F4E79"/>
          <w:sz w:val="22"/>
        </w:rPr>
        <w:t>Metaphor</w:t>
      </w:r>
      <w:r>
        <w:rPr>
          <w:rFonts w:ascii="Times New Roman" w:hAnsi="Times New Roman"/>
          <w:sz w:val="22"/>
        </w:rPr>
        <w:t xml:space="preserve"> (paragraph 4): "a map of a country you have not visited and now at least know is there"</w:t>
      </w:r>
    </w:p>
    <w:p>
      <w:pPr>
        <w:spacing w:after="140"/>
        <w:ind w:left="288"/>
      </w:pPr>
      <w:r>
        <w:rPr>
          <w:rFonts w:ascii="Times New Roman" w:hAnsi="Times New Roman"/>
          <w:sz w:val="22"/>
        </w:rPr>
        <w:t>Recasting the unread shelf as a map of an unvisited country turns a private guilt into a usable picture: the unread books mark the edges of what you know. Held back until the turn is complete, the metaphor is what makes the argument stick.</w:t>
      </w:r>
    </w:p>
    <w:p>
      <w:pPr>
        <w:pStyle w:val="Heading2"/>
      </w:pPr>
      <w:r>
        <w:t>Multiple choice</w:t>
      </w:r>
    </w:p>
    <w:p>
      <w:pPr>
        <w:spacing w:after="40"/>
      </w:pPr>
      <w:r>
        <w:rPr>
          <w:rFonts w:ascii="Times New Roman" w:hAnsi="Times New Roman"/>
          <w:sz w:val="22"/>
        </w:rPr>
        <w:t>1.  In the second paragraph, which of the following best characterizes the writer's position on the guilt readers feel about unread books?</w:t>
      </w:r>
    </w:p>
    <w:p>
      <w:pPr>
        <w:spacing w:after="20"/>
        <w:ind w:left="432"/>
      </w:pPr>
      <w:r>
        <w:rPr>
          <w:rFonts w:ascii="Times New Roman" w:hAnsi="Times New Roman"/>
          <w:sz w:val="22"/>
        </w:rPr>
        <w:t>A)  It is partly warranted, because some unread books reflect intentions that were never serious</w:t>
      </w:r>
    </w:p>
    <w:p>
      <w:pPr>
        <w:spacing w:after="20"/>
        <w:ind w:left="432"/>
      </w:pPr>
      <w:r>
        <w:rPr>
          <w:rFonts w:ascii="Times New Roman" w:hAnsi="Times New Roman"/>
          <w:sz w:val="22"/>
        </w:rPr>
        <w:t>B)  It is entirely unwarranted and ought to be dismissed at once</w:t>
      </w:r>
    </w:p>
    <w:p>
      <w:pPr>
        <w:spacing w:after="20"/>
        <w:ind w:left="432"/>
      </w:pPr>
      <w:r>
        <w:rPr>
          <w:rFonts w:ascii="Times New Roman" w:hAnsi="Times New Roman"/>
          <w:sz w:val="22"/>
        </w:rPr>
        <w:t>C)  It proves that buying books is a waste of money</w:t>
      </w:r>
    </w:p>
    <w:p>
      <w:pPr>
        <w:spacing w:after="20"/>
        <w:ind w:left="432"/>
      </w:pPr>
      <w:r>
        <w:rPr>
          <w:rFonts w:ascii="Times New Roman" w:hAnsi="Times New Roman"/>
          <w:sz w:val="22"/>
        </w:rPr>
        <w:t>D)  It explains why people tend to read less as they grow older</w:t>
      </w:r>
    </w:p>
    <w:p>
      <w:pPr>
        <w:spacing w:after="40"/>
      </w:pPr>
    </w:p>
    <w:p>
      <w:pPr>
        <w:spacing w:after="40"/>
      </w:pPr>
      <w:r>
        <w:rPr>
          <w:rFonts w:ascii="Times New Roman" w:hAnsi="Times New Roman"/>
          <w:sz w:val="22"/>
        </w:rPr>
        <w:t>2.  The relationship between the second and third paragraphs is best described as one in which the writer first</w:t>
      </w:r>
    </w:p>
    <w:p>
      <w:pPr>
        <w:spacing w:after="20"/>
        <w:ind w:left="432"/>
      </w:pPr>
      <w:r>
        <w:rPr>
          <w:rFonts w:ascii="Times New Roman" w:hAnsi="Times New Roman"/>
          <w:sz w:val="22"/>
        </w:rPr>
        <w:t>A)  grants the guilt real force and then argues that it misreads the shelf's purpose</w:t>
      </w:r>
    </w:p>
    <w:p>
      <w:pPr>
        <w:spacing w:after="20"/>
        <w:ind w:left="432"/>
      </w:pPr>
      <w:r>
        <w:rPr>
          <w:rFonts w:ascii="Times New Roman" w:hAnsi="Times New Roman"/>
          <w:sz w:val="22"/>
        </w:rPr>
        <w:t>B)  defines a key term and then illustrates that term with an example</w:t>
      </w:r>
    </w:p>
    <w:p>
      <w:pPr>
        <w:spacing w:after="20"/>
        <w:ind w:left="432"/>
      </w:pPr>
      <w:r>
        <w:rPr>
          <w:rFonts w:ascii="Times New Roman" w:hAnsi="Times New Roman"/>
          <w:sz w:val="22"/>
        </w:rPr>
        <w:t>C)  recalls a personal memory and then draws a general lesson from it</w:t>
      </w:r>
    </w:p>
    <w:p>
      <w:pPr>
        <w:spacing w:after="20"/>
        <w:ind w:left="432"/>
      </w:pPr>
      <w:r>
        <w:rPr>
          <w:rFonts w:ascii="Times New Roman" w:hAnsi="Times New Roman"/>
          <w:sz w:val="22"/>
        </w:rPr>
        <w:t>D)  raises an objection and then concedes that the objection is correct</w:t>
      </w:r>
    </w:p>
    <w:p>
      <w:pPr>
        <w:spacing w:after="40"/>
      </w:pPr>
    </w:p>
    <w:p>
      <w:pPr>
        <w:pStyle w:val="Heading2"/>
      </w:pPr>
      <w:r>
        <w:t>Multiple choice answer key</w:t>
      </w:r>
    </w:p>
    <w:p>
      <w:pPr>
        <w:spacing w:after="80"/>
      </w:pPr>
      <w:r>
        <w:rPr>
          <w:rFonts w:ascii="Times New Roman" w:hAnsi="Times New Roman"/>
          <w:b/>
          <w:sz w:val="22"/>
        </w:rPr>
        <w:t xml:space="preserve">1. Answer A.  </w:t>
      </w:r>
      <w:r>
        <w:rPr>
          <w:rFonts w:ascii="Times New Roman" w:hAnsi="Times New Roman"/>
          <w:sz w:val="22"/>
        </w:rPr>
        <w:t>The paragraph grants the guilt real ground ("There is something to that") while limiting it, which is a partial endorsement. B overstates by making the guilt entirely baseless, the opposite of "there is something to that." C reads one line too literally and inflates it into a sweeping claim the writer does not make. D imports an outside explanation the passage never raises.</w:t>
      </w:r>
    </w:p>
    <w:p>
      <w:pPr>
        <w:spacing w:after="80"/>
      </w:pPr>
      <w:r>
        <w:rPr>
          <w:rFonts w:ascii="Times New Roman" w:hAnsi="Times New Roman"/>
          <w:b/>
          <w:sz w:val="22"/>
        </w:rPr>
        <w:t xml:space="preserve">2. Answer A.  </w:t>
      </w:r>
      <w:r>
        <w:rPr>
          <w:rFonts w:ascii="Times New Roman" w:hAnsi="Times New Roman"/>
          <w:sz w:val="22"/>
        </w:rPr>
        <w:t>Paragraph two concedes the guilt; paragraph three turns with "But the guilt mistakes what the shelf is for" and reframes the shelf. B mislabels the structure: paragraph two is a concession, not a definition. C is the tempting trap, but this register carries no autobiography, so there is no personal memory. D inverts the move, reversing concession and turn.</w:t>
      </w:r>
    </w:p>
    <w:p>
      <w:pPr>
        <w:pStyle w:val="Heading2"/>
      </w:pPr>
      <w:r>
        <w:t>Discussion</w:t>
      </w:r>
    </w:p>
    <w:p>
      <w:pPr>
        <w:spacing w:after="60"/>
      </w:pPr>
      <w:r>
        <w:rPr>
          <w:rFonts w:ascii="Times New Roman" w:hAnsi="Times New Roman"/>
          <w:sz w:val="22"/>
        </w:rPr>
        <w:t>1.  The writer spends a paragraph agreeing that the guilt over unread books is partly deserved before turning against it. How does granting that ground change the way the later claim lands?</w:t>
      </w:r>
    </w:p>
    <w:p>
      <w:pPr>
        <w:spacing w:after="60"/>
      </w:pPr>
      <w:r>
        <w:rPr>
          <w:rFonts w:ascii="Times New Roman" w:hAnsi="Times New Roman"/>
          <w:sz w:val="22"/>
        </w:rPr>
        <w:t>2.  The essay redefines a shelf of unread books as "a map of a country you have not visited." What does that metaphor let you see that the plain word "unread" does not?</w:t>
      </w:r>
    </w:p>
    <w:p>
      <w:pPr>
        <w:pStyle w:val="Heading2"/>
      </w:pPr>
      <w:r>
        <w:t>Sample strong discussion responses</w:t>
      </w:r>
    </w:p>
    <w:p>
      <w:pPr>
        <w:spacing w:after="100"/>
      </w:pPr>
      <w:r>
        <w:rPr>
          <w:rFonts w:ascii="Times New Roman" w:hAnsi="Times New Roman"/>
          <w:sz w:val="22"/>
        </w:rPr>
        <w:t>1.  A strong answer sees the concession as strategic. By admitting that some unread books are vanities, the writer removes the easy objection that this is just comfort for people who buy too much. Having been fair to the guilt, the later claim that the unread shelf is the useful one reads as an earned reversal rather than a rationalization.</w:t>
      </w:r>
    </w:p>
    <w:p>
      <w:pPr>
        <w:spacing w:after="100"/>
      </w:pPr>
      <w:r>
        <w:rPr>
          <w:rFonts w:ascii="Times New Roman" w:hAnsi="Times New Roman"/>
          <w:sz w:val="22"/>
        </w:rPr>
        <w:t>2.  Calling the shelf a map turns a feeling (guilt over what is unread) into a tool (a picture of what you do not yet know). "Unread" measures only failure against an intention; "a map of a country you have not visited" makes the same books point outward, toward the size of one's ignorance, which is the writer's actual point.</w:t>
      </w:r>
    </w:p>
    <w:p>
      <w:pPr>
        <w:pStyle w:val="Heading2"/>
      </w:pPr>
      <w:r>
        <w:t>Writing prompt (homework or extended in-class, Q3 argument)</w:t>
      </w:r>
    </w:p>
    <w:p>
      <w:pPr>
        <w:spacing w:after="120"/>
      </w:pPr>
      <w:r>
        <w:rPr>
          <w:rFonts w:ascii="Times New Roman" w:hAnsi="Times New Roman"/>
          <w:i w:val="0"/>
          <w:sz w:val="22"/>
        </w:rPr>
        <w:t>The writer claims that what you have not yet read can be more valuable to keep in view than what you have. Defend, challenge, or qualify the claim that an awareness of our own ignorance is worth preserving. Use your own knowledge, observation, or reading.</w:t>
      </w:r>
    </w:p>
    <w:p>
      <w:pPr>
        <w:pStyle w:val="Heading2"/>
      </w:pPr>
      <w:r>
        <w:t>Common misconceptions to watch for</w:t>
      </w:r>
    </w:p>
    <w:p>
      <w:pPr>
        <w:pStyle w:val="ListBullet"/>
        <w:spacing w:after="60"/>
      </w:pPr>
      <w:r>
        <w:rPr>
          <w:rFonts w:ascii="Times New Roman" w:hAnsi="Times New Roman"/>
          <w:sz w:val="22"/>
        </w:rPr>
        <w:t>Students may read "a map of a country you have not visited" as a simile. There is no "like" or "as"; it is a metaphor.</w:t>
      </w:r>
    </w:p>
    <w:p>
      <w:pPr>
        <w:pStyle w:val="ListBullet"/>
        <w:spacing w:after="60"/>
      </w:pPr>
      <w:r>
        <w:rPr>
          <w:rFonts w:ascii="Times New Roman" w:hAnsi="Times New Roman"/>
          <w:sz w:val="22"/>
        </w:rPr>
        <w:t>Students may take the concession in the second paragraph as the writer's settled view. It is granted on purpose, in order to turn; the writer's real position arrives only after the volta.</w:t>
      </w:r>
    </w:p>
    <w:p>
      <w:pPr>
        <w:pStyle w:val="ListBullet"/>
        <w:spacing w:after="60"/>
      </w:pPr>
      <w:r>
        <w:rPr>
          <w:rFonts w:ascii="Times New Roman" w:hAnsi="Times New Roman"/>
          <w:sz w:val="22"/>
        </w:rPr>
        <w:t>Students may call "But the guilt mistakes what the shelf is for" a simple transition. It is the volta, the hinge of the whole piece; the connective "But" only signals the turn, while the turn itself is the claim that follows.</w:t>
      </w:r>
    </w:p>
    <w:p>
      <w:pPr>
        <w:pStyle w:val="ListBullet"/>
        <w:spacing w:after="60"/>
      </w:pPr>
      <w:r>
        <w:rPr>
          <w:rFonts w:ascii="Times New Roman" w:hAnsi="Times New Roman"/>
          <w:sz w:val="22"/>
        </w:rPr>
        <w:t>Students may hunt for the writer's personal story. This register reasons without autobiography, so there is no "I remember" scene to find; the evidence is the reasoning, not a life.</w:t>
      </w:r>
    </w:p>
    <w:p>
      <w:pPr>
        <w:pStyle w:val="Heading2"/>
      </w:pPr>
      <w:r>
        <w:t>AP exam alignment</w:t>
      </w:r>
    </w:p>
    <w:p>
      <w:pPr>
        <w:spacing w:after="120"/>
      </w:pPr>
      <w:r>
        <w:rPr>
          <w:rFonts w:ascii="Times New Roman" w:hAnsi="Times New Roman"/>
          <w:i w:val="0"/>
          <w:sz w:val="22"/>
        </w:rPr>
        <w:t>Q3 argument and Q2 analysis value: a clean model of concession-then-turn, a single load-bearing metaphor held back until the turn, the parallelism that frames the central reversal, and the withheld-turn architecture. Useful for teaching students to locate a volta as a claim rather than a signal word, and to notice an argument that reasons rather than confesses.</w:t>
      </w:r>
    </w:p>
    <w:p>
      <w:pPr>
        <w:pStyle w:val="Heading2"/>
      </w:pPr>
      <w:r>
        <w:t>Test-run sourcing note</w:t>
      </w:r>
    </w:p>
    <w:p>
      <w:pPr>
        <w:spacing w:after="120"/>
      </w:pPr>
      <w:r>
        <w:rPr>
          <w:rFonts w:ascii="Times New Roman" w:hAnsi="Times New Roman"/>
          <w:i/>
          <w:color w:val="666666"/>
          <w:sz w:val="20"/>
        </w:rPr>
        <w:t>Test-run sourcing note: the one external attribution is the "antilibrary," a term from Nassim Nicholas Taleb's The Black Swan (2007), describing the large unread collection of Umberto Eco. Confirm the attribution and wording before any publication. The remainder is reflection on a durable theme, not reported current-events fact.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