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FC1" w:rsidRDefault="00200159">
      <w:pPr>
        <w:pStyle w:val="Standard"/>
        <w:tabs>
          <w:tab w:val="left" w:pos="6885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 (Data Science)</w:t>
      </w:r>
    </w:p>
    <w:p w:rsidR="009C7FC1" w:rsidRDefault="009C7FC1">
      <w:pPr>
        <w:pStyle w:val="Standard"/>
        <w:tabs>
          <w:tab w:val="left" w:pos="688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C7FC1" w:rsidRDefault="00200159">
      <w:pPr>
        <w:pStyle w:val="Standard"/>
        <w:tabs>
          <w:tab w:val="left" w:pos="6885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S.Y.B.Tech.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Sem: IV   </w:t>
      </w:r>
    </w:p>
    <w:p w:rsidR="009C7FC1" w:rsidRDefault="00200159">
      <w:pPr>
        <w:pStyle w:val="Standard"/>
        <w:tabs>
          <w:tab w:val="left" w:pos="6885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Computational Methods and Pricing Models Laboratory</w:t>
      </w:r>
    </w:p>
    <w:p w:rsidR="009C7FC1" w:rsidRDefault="00200159">
      <w:pPr>
        <w:pStyle w:val="Standard"/>
        <w:tabs>
          <w:tab w:val="left" w:pos="6885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Experiment 0</w:t>
      </w:r>
    </w:p>
    <w:p w:rsidR="009C7FC1" w:rsidRDefault="00200159">
      <w:pPr>
        <w:pStyle w:val="Standard"/>
        <w:tabs>
          <w:tab w:val="left" w:pos="6885"/>
        </w:tabs>
        <w:spacing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Stutee Mehta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SAP ID: 60009230142</w:t>
      </w:r>
    </w:p>
    <w:tbl>
      <w:tblPr>
        <w:tblW w:w="9016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4"/>
        <w:gridCol w:w="7332"/>
      </w:tblGrid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Title: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Value of Money Calculations</w:t>
            </w: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compute and analyse various time value of money concepts including compound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interest, present value, annuities, and perpetuities.</w:t>
            </w: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on Google Colab, Calculator and Microsoft Excel</w:t>
            </w: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value of money (TVM)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fundamental concept in finance that states a dollar today is worth more than a dollar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future due to its earning potential. This experiment covers:</w:t>
            </w:r>
          </w:p>
          <w:p w:rsidR="009C7FC1" w:rsidRDefault="00200159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Interest - Interest earned on both initial investment and accumulated interest.</w:t>
            </w:r>
          </w:p>
          <w:p w:rsidR="009C7FC1" w:rsidRDefault="0020015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Value - The value of future money in today's terms.</w:t>
            </w:r>
          </w:p>
          <w:p w:rsidR="009C7FC1" w:rsidRDefault="0020015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Annuities - A series of equal payments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made at regular intervals.</w:t>
            </w:r>
          </w:p>
          <w:p w:rsidR="009C7FC1" w:rsidRDefault="00200159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Perpetuities - A type of annuity that continues indefinitely.</w:t>
            </w:r>
          </w:p>
          <w:p w:rsidR="009C7FC1" w:rsidRDefault="009C7FC1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FC1" w:rsidRDefault="00200159">
            <w:pPr>
              <w:pStyle w:val="NormalWeb"/>
              <w:spacing w:before="0" w:after="0"/>
            </w:pPr>
            <w:r>
              <w:t>Excel provides built-in financial functions to calculate the time value of money.</w:t>
            </w:r>
          </w:p>
          <w:p w:rsidR="009C7FC1" w:rsidRDefault="00200159">
            <w:pPr>
              <w:pStyle w:val="Heading4"/>
              <w:numPr>
                <w:ilvl w:val="0"/>
                <w:numId w:val="36"/>
              </w:numPr>
              <w:spacing w:before="0" w:after="0"/>
            </w:pPr>
            <w:r>
              <w:rPr>
                <w:rStyle w:val="StrongEmphasis"/>
                <w:b/>
                <w:bCs/>
              </w:rPr>
              <w:t>FV (Future Value) Function</w:t>
            </w:r>
          </w:p>
          <w:p w:rsidR="009C7FC1" w:rsidRDefault="00200159">
            <w:pPr>
              <w:pStyle w:val="Heading4"/>
              <w:spacing w:before="0" w:after="0"/>
              <w:ind w:left="720"/>
            </w:pPr>
            <w:r>
              <w:t xml:space="preserve">The </w:t>
            </w:r>
            <w:r>
              <w:rPr>
                <w:rStyle w:val="StrongEmphasis"/>
              </w:rPr>
              <w:t>FV function</w:t>
            </w:r>
            <w:r>
              <w:t xml:space="preserve"> calculates the future value of an investment based on periodic, constant payments and a fixed interest rate.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=FV(rate, nper, pmt, [pv], [type])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 – Interest rate per period.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nper – Total number of periods.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pmt – Payment made each period (use 0 for a 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 sum investment).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pv – Present value (initial investment).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– 0 (end of the period) or 1 (beginning of the period).</w:t>
            </w:r>
          </w:p>
          <w:p w:rsidR="009C7FC1" w:rsidRDefault="00200159">
            <w:pPr>
              <w:pStyle w:val="Heading4"/>
              <w:numPr>
                <w:ilvl w:val="0"/>
                <w:numId w:val="33"/>
              </w:numPr>
              <w:spacing w:before="0" w:after="0"/>
            </w:pPr>
            <w:r>
              <w:rPr>
                <w:rStyle w:val="StrongEmphasis"/>
                <w:b/>
                <w:bCs/>
              </w:rPr>
              <w:t>PV (Present Value) Function</w:t>
            </w:r>
          </w:p>
          <w:p w:rsidR="009C7FC1" w:rsidRDefault="00200159">
            <w:pPr>
              <w:pStyle w:val="NormalWeb"/>
              <w:spacing w:before="0" w:after="0"/>
              <w:ind w:left="720"/>
            </w:pPr>
            <w:r>
              <w:t>The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  <w:b w:val="0"/>
                <w:bCs w:val="0"/>
              </w:rPr>
              <w:t>PV function</w:t>
            </w:r>
            <w:r>
              <w:t xml:space="preserve"> calculates the present value of a future sum of money or an annuity.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=PV(rate, nper, pmt, [fv], [type])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 – Interest rate per period.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nper – Total number of periods.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pmt – Payment made each period (use 0 if not applicable).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fv – Future valu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of the investment.</w:t>
            </w:r>
          </w:p>
          <w:p w:rsidR="009C7FC1" w:rsidRDefault="00200159">
            <w:pPr>
              <w:pStyle w:val="Standard"/>
              <w:spacing w:after="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– 0 (end of period) or 1 (beginning of period).</w:t>
            </w:r>
          </w:p>
          <w:p w:rsidR="009C7FC1" w:rsidRDefault="009C7FC1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C7FC1" w:rsidRDefault="00200159">
            <w:pPr>
              <w:pStyle w:val="Heading4"/>
              <w:numPr>
                <w:ilvl w:val="0"/>
                <w:numId w:val="33"/>
              </w:numPr>
              <w:spacing w:before="0" w:after="0"/>
            </w:pPr>
            <w:r>
              <w:rPr>
                <w:rStyle w:val="StrongEmphasis"/>
                <w:b/>
                <w:bCs/>
              </w:rPr>
              <w:t>FV for Annuities</w:t>
            </w:r>
          </w:p>
          <w:p w:rsidR="009C7FC1" w:rsidRDefault="00200159">
            <w:pPr>
              <w:pStyle w:val="Heading4"/>
              <w:spacing w:before="0" w:after="0"/>
              <w:ind w:left="720"/>
            </w:pPr>
            <w:r>
              <w:rPr>
                <w:b w:val="0"/>
                <w:bCs w:val="0"/>
              </w:rPr>
              <w:t xml:space="preserve">For annuities where you deposit </w:t>
            </w:r>
            <w:r>
              <w:rPr>
                <w:rStyle w:val="StrongEmphasis"/>
              </w:rPr>
              <w:t>$2,000 annually</w:t>
            </w:r>
            <w:r>
              <w:rPr>
                <w:b w:val="0"/>
                <w:bCs w:val="0"/>
              </w:rPr>
              <w:t xml:space="preserve"> at </w:t>
            </w:r>
            <w:r>
              <w:rPr>
                <w:rStyle w:val="StrongEmphasis"/>
              </w:rPr>
              <w:t>8% interest</w:t>
            </w:r>
            <w:r>
              <w:rPr>
                <w:b w:val="0"/>
                <w:bCs w:val="0"/>
              </w:rPr>
              <w:t xml:space="preserve"> for </w:t>
            </w:r>
            <w:r>
              <w:rPr>
                <w:rStyle w:val="StrongEmphasis"/>
              </w:rPr>
              <w:t>10 years</w:t>
            </w:r>
            <w:r>
              <w:rPr>
                <w:b w:val="0"/>
                <w:bCs w:val="0"/>
              </w:rPr>
              <w:t>, the FV function is: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=FV(8%, 10, -2000, 0, 0)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payments are made </w:t>
            </w:r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>at the beginning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year (</w:t>
            </w:r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>annuity due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use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instead of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C7FC1" w:rsidRDefault="00200159">
            <w:pPr>
              <w:pStyle w:val="Heading4"/>
              <w:numPr>
                <w:ilvl w:val="0"/>
                <w:numId w:val="33"/>
              </w:numPr>
              <w:spacing w:before="0" w:after="0"/>
            </w:pPr>
            <w:r>
              <w:rPr>
                <w:rStyle w:val="StrongEmphasis"/>
                <w:b/>
                <w:bCs/>
              </w:rPr>
              <w:t>PV for Perpetuity</w:t>
            </w:r>
          </w:p>
          <w:p w:rsidR="009C7FC1" w:rsidRDefault="00200159">
            <w:pPr>
              <w:pStyle w:val="NormalWeb"/>
              <w:spacing w:before="0" w:after="0"/>
              <w:ind w:left="360"/>
            </w:pPr>
            <w:r>
              <w:t>Perpetuities continue indefinitely, so we use the formula:</w:t>
            </w:r>
          </w:p>
          <w:p w:rsidR="009C7FC1" w:rsidRDefault="00200159">
            <w:pPr>
              <w:pStyle w:val="Standard"/>
              <w:spacing w:after="0" w:line="240" w:lineRule="auto"/>
              <w:ind w:left="360"/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</w:rPr>
              <w:t>PV=P/r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=PV(6%, 9999, -4000, 0, 0)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(Using </w:t>
            </w:r>
            <w:r>
              <w:rPr>
                <w:rStyle w:val="StrongEmphasis"/>
                <w:rFonts w:ascii="Times New Roman" w:hAnsi="Times New Roman" w:cs="Times New Roman"/>
                <w:sz w:val="24"/>
                <w:szCs w:val="24"/>
              </w:rPr>
              <w:t xml:space="preserve">9999 as </w:t>
            </w:r>
            <w:r>
              <w:rPr>
                <w:rStyle w:val="HTMLCode"/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simulates an infinite period.)</w:t>
            </w: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Heading3"/>
              <w:spacing w:before="0" w:line="240" w:lineRule="auto"/>
            </w:pPr>
            <w:r>
              <w:rPr>
                <w:rFonts w:ascii="Times New Roman" w:hAnsi="Times New Roman"/>
                <w:b/>
                <w:bCs/>
              </w:rPr>
              <w:t>Task 1</w:t>
            </w:r>
            <w:r>
              <w:rPr>
                <w:rFonts w:ascii="Times New Roman" w:hAnsi="Times New Roman"/>
              </w:rPr>
              <w:t>: Future Value using Compound Interest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Consider an investment of $5,000 at an annual interest rate of 6%, compounded quarterly. Consider t as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Manually calculate the future value using the compound interest formula: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FV = P × (1 + r/n)^(n × t)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Verify the result using Excel’s FV function.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495647" cy="1800362"/>
                  <wp:effectExtent l="0" t="0" r="153" b="9388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r="70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647" cy="1800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14758" cy="325800"/>
                  <wp:effectExtent l="0" t="0" r="92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758" cy="3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9C7FC1">
            <w:pPr>
              <w:pStyle w:val="Heading3"/>
              <w:spacing w:before="0" w:line="240" w:lineRule="auto"/>
              <w:rPr>
                <w:rFonts w:ascii="Times New Roman" w:hAnsi="Times New Roman"/>
                <w:b/>
                <w:bCs/>
              </w:rPr>
            </w:pP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rFonts w:ascii="Times New Roman" w:hAnsi="Times New Roman"/>
                <w:b/>
                <w:bCs/>
              </w:rPr>
              <w:t>Task 2</w:t>
            </w:r>
            <w:r>
              <w:rPr>
                <w:rFonts w:ascii="Times New Roman" w:hAnsi="Times New Roman"/>
              </w:rPr>
              <w:t>: Present Value of an Investment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You are offered an investment that will pay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$10,000 after 8 years, with a required return of 7% per annum.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Compute the present value manually using the formula: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PV = FV / (1 + r)^t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Confirm the result using Excel’s PV function.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Explain whether the investment is worth accepting based on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computed present value.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03602" cy="1581089"/>
                  <wp:effectExtent l="0" t="0" r="0" b="61"/>
                  <wp:docPr id="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 r="18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602" cy="158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04700" cy="281178"/>
                  <wp:effectExtent l="0" t="0" r="0" b="4572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00" cy="28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9C7FC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rFonts w:ascii="Times New Roman" w:hAnsi="Times New Roman"/>
                <w:b/>
                <w:bCs/>
              </w:rPr>
              <w:t>Task 3</w:t>
            </w:r>
            <w:r>
              <w:rPr>
                <w:rFonts w:ascii="Times New Roman" w:hAnsi="Times New Roman"/>
              </w:rPr>
              <w:t>: Future Value of an Annuity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You plan to save for retirement by investing $2,000 at the end of each year in an account earning 8% annual interest, compounded annually. Consider t as 25.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Compute the future value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his annuity using the formula: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FV = P × [(1 + r)^t - 1] / r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Verify the result using Excel’s FV function.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18690" cy="1581089"/>
                  <wp:effectExtent l="0" t="0" r="0" b="61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 r="20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90" cy="158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19787" cy="268559"/>
                  <wp:effectExtent l="0" t="0" r="0" b="0"/>
                  <wp:docPr id="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787" cy="268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9C7FC1">
            <w:pPr>
              <w:pStyle w:val="Standard"/>
              <w:spacing w:after="0"/>
            </w:pP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rFonts w:ascii="Times New Roman" w:hAnsi="Times New Roman"/>
                <w:b/>
                <w:bCs/>
              </w:rPr>
              <w:t>Task 4</w:t>
            </w:r>
            <w:r>
              <w:rPr>
                <w:rFonts w:ascii="Times New Roman" w:hAnsi="Times New Roman"/>
              </w:rPr>
              <w:t>: Present Value of a Perpetuity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You are offered an investment that will pay $4,000 per year forever, starting one year from today.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required rate of return is 6% per annum, determine the present value using the formula: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PV = P / r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33869" cy="1419148"/>
                  <wp:effectExtent l="0" t="0" r="31" b="0"/>
                  <wp:docPr id="8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 r="20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869" cy="1419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35241" cy="270022"/>
                  <wp:effectExtent l="0" t="0" r="0" b="0"/>
                  <wp:docPr id="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241" cy="27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9C7FC1">
            <w:pPr>
              <w:pStyle w:val="Heading3"/>
              <w:spacing w:before="0" w:line="240" w:lineRule="auto"/>
              <w:rPr>
                <w:rFonts w:ascii="Times New Roman" w:hAnsi="Times New Roman"/>
                <w:b/>
                <w:bCs/>
              </w:rPr>
            </w:pPr>
          </w:p>
          <w:p w:rsidR="009C7FC1" w:rsidRDefault="00200159">
            <w:pPr>
              <w:pStyle w:val="Heading3"/>
              <w:spacing w:before="0" w:line="240" w:lineRule="auto"/>
            </w:pPr>
            <w:r>
              <w:rPr>
                <w:rFonts w:ascii="Times New Roman" w:hAnsi="Times New Roman"/>
                <w:b/>
                <w:bCs/>
              </w:rPr>
              <w:t>Task 5</w:t>
            </w:r>
            <w:r>
              <w:rPr>
                <w:rFonts w:ascii="Times New Roman" w:hAnsi="Times New Roman"/>
              </w:rPr>
              <w:t>: Future Value of an Annuity Due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You decide to invest $3,000 at the beginning of each year in an account that earns 5% annual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interest, compounded annually. consider t as 5 years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Compute the future value using the formula for annuity due: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FV_due = P × [(1 + r)^t - 1] / r × (1 + r)</w:t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Compare with the regular annuity calculation and analyze the benefits of annuity due.</w:t>
            </w:r>
          </w:p>
          <w:p w:rsidR="009C7FC1" w:rsidRDefault="00200159">
            <w:pPr>
              <w:pStyle w:val="Standard"/>
              <w:spacing w:after="280" w:line="240" w:lineRule="auto"/>
            </w:pPr>
            <w:r>
              <w:rPr>
                <w:noProof/>
              </w:rPr>
              <w:drawing>
                <wp:inline distT="0" distB="0" distL="0" distR="0">
                  <wp:extent cx="4535241" cy="1676552"/>
                  <wp:effectExtent l="0" t="0" r="0" b="0"/>
                  <wp:docPr id="10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 r="14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241" cy="1676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FC1" w:rsidRDefault="00200159">
            <w:pPr>
              <w:pStyle w:val="Standard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535241" cy="262067"/>
                  <wp:effectExtent l="0" t="0" r="0" b="4633"/>
                  <wp:docPr id="11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241" cy="26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nclusion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2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experiment explored the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Time Value of Money (TVM)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concepts, including compound interest, present value, annuities, and perpetuities. Using Python, Excel, and manual calculations, various financial scenarios were analyzed. Key findings included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impact of compounding on future value, the role of discounting in investment decisions, and the benefits of annuities and perpetuities. Additionally, the comparison between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regular annuities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annuities due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highlighted how payment timing affects fut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ure value. These calculations reinforced the importance of TVM in financial decision-making.</w:t>
            </w:r>
          </w:p>
          <w:p w:rsidR="009C7FC1" w:rsidRDefault="009C7FC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FC1">
        <w:tblPrEx>
          <w:tblCellMar>
            <w:top w:w="0" w:type="dxa"/>
            <w:bottom w:w="0" w:type="dxa"/>
          </w:tblCellMar>
        </w:tblPrEx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tabs>
                <w:tab w:val="left" w:pos="2760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Colab Link</w:t>
            </w:r>
          </w:p>
        </w:tc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FC1" w:rsidRDefault="0020015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https://colab.research.google.com/github/SmayanKulkarni/AI-and-ML-Course/blob/master/D100%20CMPM/exp-0.ipynb</w:t>
            </w:r>
          </w:p>
        </w:tc>
      </w:tr>
    </w:tbl>
    <w:p w:rsidR="009C7FC1" w:rsidRDefault="009C7FC1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FC1" w:rsidRDefault="00200159">
      <w:pPr>
        <w:pStyle w:val="Standard"/>
        <w:tabs>
          <w:tab w:val="left" w:pos="2760"/>
        </w:tabs>
        <w:spacing w:line="240" w:lineRule="auto"/>
        <w:ind w:hanging="709"/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C7FC1" w:rsidRDefault="009C7FC1">
      <w:pPr>
        <w:pStyle w:val="Standard"/>
        <w:tabs>
          <w:tab w:val="left" w:pos="2760"/>
        </w:tabs>
        <w:spacing w:line="240" w:lineRule="auto"/>
        <w:ind w:hanging="142"/>
        <w:rPr>
          <w:rFonts w:ascii="Times New Roman" w:hAnsi="Times New Roman" w:cs="Times New Roman"/>
          <w:sz w:val="24"/>
          <w:szCs w:val="24"/>
        </w:rPr>
      </w:pPr>
    </w:p>
    <w:sectPr w:rsidR="009C7FC1">
      <w:headerReference w:type="default" r:id="rId17"/>
      <w:pgSz w:w="11906" w:h="16838"/>
      <w:pgMar w:top="1440" w:right="1440" w:bottom="1440" w:left="1440" w:header="1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00159">
      <w:r>
        <w:separator/>
      </w:r>
    </w:p>
  </w:endnote>
  <w:endnote w:type="continuationSeparator" w:id="0">
    <w:p w:rsidR="00000000" w:rsidRDefault="0020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00159">
      <w:r>
        <w:rPr>
          <w:color w:val="000000"/>
        </w:rPr>
        <w:separator/>
      </w:r>
    </w:p>
  </w:footnote>
  <w:footnote w:type="continuationSeparator" w:id="0">
    <w:p w:rsidR="00000000" w:rsidRDefault="00200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491" w:rsidRDefault="00200159">
    <w:pPr>
      <w:pStyle w:val="Header"/>
    </w:pPr>
    <w:r>
      <w:rPr>
        <w:noProof/>
      </w:rPr>
      <w:drawing>
        <wp:inline distT="0" distB="0" distL="0" distR="0">
          <wp:extent cx="5729081" cy="685800"/>
          <wp:effectExtent l="0" t="0" r="4969" b="0"/>
          <wp:docPr id="1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081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981491" w:rsidRDefault="00200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131"/>
    <w:multiLevelType w:val="multilevel"/>
    <w:tmpl w:val="736ED34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AD6"/>
    <w:multiLevelType w:val="multilevel"/>
    <w:tmpl w:val="B9A6A14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5DBB"/>
    <w:multiLevelType w:val="multilevel"/>
    <w:tmpl w:val="5394BBE0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0B5E4295"/>
    <w:multiLevelType w:val="multilevel"/>
    <w:tmpl w:val="2E98ED28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0C252B06"/>
    <w:multiLevelType w:val="multilevel"/>
    <w:tmpl w:val="A5A2B7D0"/>
    <w:styleLink w:val="WWNum11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97AF9"/>
    <w:multiLevelType w:val="multilevel"/>
    <w:tmpl w:val="E8A80DE2"/>
    <w:styleLink w:val="WWNum31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bullet"/>
      <w:lvlText w:val=""/>
      <w:lvlJc w:val="left"/>
      <w:pPr>
        <w:ind w:left="180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7180F"/>
    <w:multiLevelType w:val="multilevel"/>
    <w:tmpl w:val="57EC4FEC"/>
    <w:styleLink w:val="WWNum2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243F4FFA"/>
    <w:multiLevelType w:val="multilevel"/>
    <w:tmpl w:val="D78A47E8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24A620F5"/>
    <w:multiLevelType w:val="multilevel"/>
    <w:tmpl w:val="390613DA"/>
    <w:styleLink w:val="WWNum1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28904649"/>
    <w:multiLevelType w:val="multilevel"/>
    <w:tmpl w:val="42BA678A"/>
    <w:styleLink w:val="WWNum2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291B2A1F"/>
    <w:multiLevelType w:val="multilevel"/>
    <w:tmpl w:val="3ED85F08"/>
    <w:styleLink w:val="WWNum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824E0"/>
    <w:multiLevelType w:val="multilevel"/>
    <w:tmpl w:val="9928FB3A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3D6D43CD"/>
    <w:multiLevelType w:val="multilevel"/>
    <w:tmpl w:val="AA7E417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E131A0B"/>
    <w:multiLevelType w:val="multilevel"/>
    <w:tmpl w:val="9372F8CA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416449D1"/>
    <w:multiLevelType w:val="multilevel"/>
    <w:tmpl w:val="3310584C"/>
    <w:styleLink w:val="WWNum2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434B5DD8"/>
    <w:multiLevelType w:val="multilevel"/>
    <w:tmpl w:val="DD0468FE"/>
    <w:styleLink w:val="WWNum2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43BD7083"/>
    <w:multiLevelType w:val="multilevel"/>
    <w:tmpl w:val="51603BBC"/>
    <w:styleLink w:val="WWNum2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44123521"/>
    <w:multiLevelType w:val="multilevel"/>
    <w:tmpl w:val="C7A6D29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E0AF8"/>
    <w:multiLevelType w:val="multilevel"/>
    <w:tmpl w:val="D76E41E2"/>
    <w:styleLink w:val="WWNum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AE5700"/>
    <w:multiLevelType w:val="multilevel"/>
    <w:tmpl w:val="EB8A8F2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C5C28"/>
    <w:multiLevelType w:val="multilevel"/>
    <w:tmpl w:val="5AA2748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FB81069"/>
    <w:multiLevelType w:val="multilevel"/>
    <w:tmpl w:val="9B6E73F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229D8"/>
    <w:multiLevelType w:val="multilevel"/>
    <w:tmpl w:val="00B8D9D8"/>
    <w:styleLink w:val="WWNum9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901AA0"/>
    <w:multiLevelType w:val="multilevel"/>
    <w:tmpl w:val="53F2CBB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D73613E"/>
    <w:multiLevelType w:val="multilevel"/>
    <w:tmpl w:val="91120012"/>
    <w:styleLink w:val="WWNum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738A6"/>
    <w:multiLevelType w:val="multilevel"/>
    <w:tmpl w:val="D8A25152"/>
    <w:styleLink w:val="WWNum24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F93587"/>
    <w:multiLevelType w:val="multilevel"/>
    <w:tmpl w:val="70DC434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FE7"/>
    <w:multiLevelType w:val="multilevel"/>
    <w:tmpl w:val="D902ADEE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236E9"/>
    <w:multiLevelType w:val="multilevel"/>
    <w:tmpl w:val="685C2D68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50D46D4"/>
    <w:multiLevelType w:val="multilevel"/>
    <w:tmpl w:val="FA9245A6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0" w15:restartNumberingAfterBreak="0">
    <w:nsid w:val="78116FB7"/>
    <w:multiLevelType w:val="multilevel"/>
    <w:tmpl w:val="2B20DE4C"/>
    <w:styleLink w:val="WWNum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29169A"/>
    <w:multiLevelType w:val="multilevel"/>
    <w:tmpl w:val="A5FA15EC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7BF36803"/>
    <w:multiLevelType w:val="multilevel"/>
    <w:tmpl w:val="1038AB5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3" w15:restartNumberingAfterBreak="0">
    <w:nsid w:val="7DCD784C"/>
    <w:multiLevelType w:val="multilevel"/>
    <w:tmpl w:val="A6EC20F0"/>
    <w:styleLink w:val="WWNum3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num w:numId="1">
    <w:abstractNumId w:val="23"/>
  </w:num>
  <w:num w:numId="2">
    <w:abstractNumId w:val="19"/>
  </w:num>
  <w:num w:numId="3">
    <w:abstractNumId w:val="0"/>
  </w:num>
  <w:num w:numId="4">
    <w:abstractNumId w:val="26"/>
  </w:num>
  <w:num w:numId="5">
    <w:abstractNumId w:val="21"/>
  </w:num>
  <w:num w:numId="6">
    <w:abstractNumId w:val="1"/>
  </w:num>
  <w:num w:numId="7">
    <w:abstractNumId w:val="17"/>
  </w:num>
  <w:num w:numId="8">
    <w:abstractNumId w:val="18"/>
  </w:num>
  <w:num w:numId="9">
    <w:abstractNumId w:val="30"/>
  </w:num>
  <w:num w:numId="10">
    <w:abstractNumId w:val="22"/>
  </w:num>
  <w:num w:numId="11">
    <w:abstractNumId w:val="24"/>
  </w:num>
  <w:num w:numId="12">
    <w:abstractNumId w:val="4"/>
  </w:num>
  <w:num w:numId="13">
    <w:abstractNumId w:val="7"/>
  </w:num>
  <w:num w:numId="14">
    <w:abstractNumId w:val="2"/>
  </w:num>
  <w:num w:numId="15">
    <w:abstractNumId w:val="32"/>
  </w:num>
  <w:num w:numId="16">
    <w:abstractNumId w:val="13"/>
  </w:num>
  <w:num w:numId="17">
    <w:abstractNumId w:val="29"/>
  </w:num>
  <w:num w:numId="18">
    <w:abstractNumId w:val="11"/>
  </w:num>
  <w:num w:numId="19">
    <w:abstractNumId w:val="20"/>
  </w:num>
  <w:num w:numId="20">
    <w:abstractNumId w:val="8"/>
  </w:num>
  <w:num w:numId="21">
    <w:abstractNumId w:val="28"/>
  </w:num>
  <w:num w:numId="22">
    <w:abstractNumId w:val="12"/>
  </w:num>
  <w:num w:numId="23">
    <w:abstractNumId w:val="16"/>
  </w:num>
  <w:num w:numId="24">
    <w:abstractNumId w:val="3"/>
  </w:num>
  <w:num w:numId="25">
    <w:abstractNumId w:val="25"/>
  </w:num>
  <w:num w:numId="26">
    <w:abstractNumId w:val="6"/>
  </w:num>
  <w:num w:numId="27">
    <w:abstractNumId w:val="15"/>
  </w:num>
  <w:num w:numId="28">
    <w:abstractNumId w:val="9"/>
  </w:num>
  <w:num w:numId="29">
    <w:abstractNumId w:val="14"/>
  </w:num>
  <w:num w:numId="30">
    <w:abstractNumId w:val="31"/>
  </w:num>
  <w:num w:numId="31">
    <w:abstractNumId w:val="10"/>
  </w:num>
  <w:num w:numId="32">
    <w:abstractNumId w:val="5"/>
  </w:num>
  <w:num w:numId="33">
    <w:abstractNumId w:val="27"/>
  </w:num>
  <w:num w:numId="34">
    <w:abstractNumId w:val="33"/>
  </w:num>
  <w:num w:numId="35">
    <w:abstractNumId w:val="5"/>
    <w:lvlOverride w:ilvl="0">
      <w:startOverride w:val="1"/>
    </w:lvlOverride>
  </w:num>
  <w:num w:numId="36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7FC1"/>
    <w:rsid w:val="00200159"/>
    <w:rsid w:val="009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57EE6-8D4A-4BA3-AFFF-10FEBAC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Standard"/>
    <w:next w:val="Stand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Heading4">
    <w:name w:val="heading 4"/>
    <w:basedOn w:val="Standard"/>
    <w:uiPriority w:val="9"/>
    <w:unhideWhenUsed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rel">
    <w:name w:val="mrel"/>
    <w:basedOn w:val="DefaultParagraphFont"/>
  </w:style>
  <w:style w:type="character" w:customStyle="1" w:styleId="mopen">
    <w:name w:val="mopen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Yu Gothic Light" w:hAnsi="Calibri Light" w:cs="Times New Roman"/>
      <w:color w:val="1F3763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</w:style>
  <w:style w:type="character" w:customStyle="1" w:styleId="ListLabel173">
    <w:name w:val="ListLabel 173"/>
    <w:rPr>
      <w:sz w:val="20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sz w:val="20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  <w:rPr>
      <w:sz w:val="20"/>
    </w:rPr>
  </w:style>
  <w:style w:type="character" w:customStyle="1" w:styleId="ListLabel191">
    <w:name w:val="ListLabel 191"/>
    <w:rPr>
      <w:sz w:val="20"/>
    </w:rPr>
  </w:style>
  <w:style w:type="character" w:customStyle="1" w:styleId="ListLabel192">
    <w:name w:val="ListLabel 192"/>
    <w:rPr>
      <w:sz w:val="20"/>
    </w:rPr>
  </w:style>
  <w:style w:type="character" w:customStyle="1" w:styleId="ListLabel193">
    <w:name w:val="ListLabel 193"/>
    <w:rPr>
      <w:sz w:val="20"/>
    </w:rPr>
  </w:style>
  <w:style w:type="character" w:customStyle="1" w:styleId="ListLabel194">
    <w:name w:val="ListLabel 194"/>
    <w:rPr>
      <w:sz w:val="20"/>
    </w:rPr>
  </w:style>
  <w:style w:type="character" w:customStyle="1" w:styleId="ListLabel195">
    <w:name w:val="ListLabel 195"/>
    <w:rPr>
      <w:sz w:val="20"/>
    </w:rPr>
  </w:style>
  <w:style w:type="character" w:customStyle="1" w:styleId="ListLabel196">
    <w:name w:val="ListLabel 196"/>
    <w:rPr>
      <w:sz w:val="20"/>
    </w:rPr>
  </w:style>
  <w:style w:type="character" w:customStyle="1" w:styleId="ListLabel197">
    <w:name w:val="ListLabel 197"/>
    <w:rPr>
      <w:sz w:val="20"/>
    </w:rPr>
  </w:style>
  <w:style w:type="character" w:customStyle="1" w:styleId="ListLabel198">
    <w:name w:val="ListLabel 198"/>
    <w:rPr>
      <w:sz w:val="20"/>
    </w:rPr>
  </w:style>
  <w:style w:type="character" w:customStyle="1" w:styleId="ListLabel199">
    <w:name w:val="ListLabel 199"/>
    <w:rPr>
      <w:sz w:val="20"/>
    </w:rPr>
  </w:style>
  <w:style w:type="character" w:customStyle="1" w:styleId="ListLabel200">
    <w:name w:val="ListLabel 200"/>
    <w:rPr>
      <w:sz w:val="20"/>
    </w:rPr>
  </w:style>
  <w:style w:type="character" w:customStyle="1" w:styleId="ListLabel201">
    <w:name w:val="ListLabel 201"/>
    <w:rPr>
      <w:sz w:val="20"/>
    </w:rPr>
  </w:style>
  <w:style w:type="character" w:customStyle="1" w:styleId="ListLabel202">
    <w:name w:val="ListLabel 202"/>
    <w:rPr>
      <w:sz w:val="20"/>
    </w:rPr>
  </w:style>
  <w:style w:type="character" w:customStyle="1" w:styleId="ListLabel203">
    <w:name w:val="ListLabel 203"/>
    <w:rPr>
      <w:sz w:val="20"/>
    </w:rPr>
  </w:style>
  <w:style w:type="character" w:customStyle="1" w:styleId="ListLabel204">
    <w:name w:val="ListLabel 204"/>
    <w:rPr>
      <w:sz w:val="20"/>
    </w:rPr>
  </w:style>
  <w:style w:type="character" w:customStyle="1" w:styleId="ListLabel205">
    <w:name w:val="ListLabel 205"/>
    <w:rPr>
      <w:sz w:val="20"/>
    </w:rPr>
  </w:style>
  <w:style w:type="character" w:customStyle="1" w:styleId="ListLabel206">
    <w:name w:val="ListLabel 206"/>
    <w:rPr>
      <w:sz w:val="20"/>
    </w:rPr>
  </w:style>
  <w:style w:type="character" w:customStyle="1" w:styleId="ListLabel207">
    <w:name w:val="ListLabel 207"/>
    <w:rPr>
      <w:sz w:val="20"/>
    </w:rPr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  <w:rPr>
      <w:sz w:val="20"/>
    </w:rPr>
  </w:style>
  <w:style w:type="character" w:customStyle="1" w:styleId="ListLabel218">
    <w:name w:val="ListLabel 218"/>
    <w:rPr>
      <w:sz w:val="20"/>
    </w:rPr>
  </w:style>
  <w:style w:type="character" w:customStyle="1" w:styleId="ListLabel219">
    <w:name w:val="ListLabel 219"/>
    <w:rPr>
      <w:sz w:val="20"/>
    </w:rPr>
  </w:style>
  <w:style w:type="character" w:customStyle="1" w:styleId="ListLabel220">
    <w:name w:val="ListLabel 220"/>
    <w:rPr>
      <w:sz w:val="20"/>
    </w:rPr>
  </w:style>
  <w:style w:type="character" w:customStyle="1" w:styleId="ListLabel221">
    <w:name w:val="ListLabel 221"/>
    <w:rPr>
      <w:sz w:val="20"/>
    </w:rPr>
  </w:style>
  <w:style w:type="character" w:customStyle="1" w:styleId="ListLabel222">
    <w:name w:val="ListLabel 222"/>
    <w:rPr>
      <w:sz w:val="20"/>
    </w:rPr>
  </w:style>
  <w:style w:type="character" w:customStyle="1" w:styleId="ListLabel223">
    <w:name w:val="ListLabel 223"/>
    <w:rPr>
      <w:sz w:val="20"/>
    </w:rPr>
  </w:style>
  <w:style w:type="character" w:customStyle="1" w:styleId="ListLabel224">
    <w:name w:val="ListLabel 224"/>
    <w:rPr>
      <w:sz w:val="20"/>
    </w:rPr>
  </w:style>
  <w:style w:type="character" w:customStyle="1" w:styleId="ListLabel225">
    <w:name w:val="ListLabel 225"/>
    <w:rPr>
      <w:sz w:val="20"/>
    </w:rPr>
  </w:style>
  <w:style w:type="character" w:customStyle="1" w:styleId="ListLabel226">
    <w:name w:val="ListLabel 226"/>
    <w:rPr>
      <w:sz w:val="20"/>
    </w:rPr>
  </w:style>
  <w:style w:type="character" w:customStyle="1" w:styleId="ListLabel227">
    <w:name w:val="ListLabel 227"/>
    <w:rPr>
      <w:sz w:val="20"/>
    </w:rPr>
  </w:style>
  <w:style w:type="character" w:customStyle="1" w:styleId="ListLabel228">
    <w:name w:val="ListLabel 228"/>
    <w:rPr>
      <w:sz w:val="20"/>
    </w:rPr>
  </w:style>
  <w:style w:type="character" w:customStyle="1" w:styleId="ListLabel229">
    <w:name w:val="ListLabel 229"/>
    <w:rPr>
      <w:sz w:val="20"/>
    </w:rPr>
  </w:style>
  <w:style w:type="character" w:customStyle="1" w:styleId="ListLabel230">
    <w:name w:val="ListLabel 230"/>
    <w:rPr>
      <w:sz w:val="20"/>
    </w:rPr>
  </w:style>
  <w:style w:type="character" w:customStyle="1" w:styleId="ListLabel231">
    <w:name w:val="ListLabel 231"/>
    <w:rPr>
      <w:sz w:val="20"/>
    </w:rPr>
  </w:style>
  <w:style w:type="character" w:customStyle="1" w:styleId="ListLabel232">
    <w:name w:val="ListLabel 232"/>
    <w:rPr>
      <w:sz w:val="20"/>
    </w:rPr>
  </w:style>
  <w:style w:type="character" w:customStyle="1" w:styleId="ListLabel233">
    <w:name w:val="ListLabel 233"/>
    <w:rPr>
      <w:sz w:val="20"/>
    </w:rPr>
  </w:style>
  <w:style w:type="character" w:customStyle="1" w:styleId="ListLabel234">
    <w:name w:val="ListLabel 234"/>
    <w:rPr>
      <w:sz w:val="20"/>
    </w:rPr>
  </w:style>
  <w:style w:type="character" w:customStyle="1" w:styleId="ListLabel235">
    <w:name w:val="ListLabel 235"/>
    <w:rPr>
      <w:sz w:val="20"/>
    </w:rPr>
  </w:style>
  <w:style w:type="character" w:customStyle="1" w:styleId="ListLabel236">
    <w:name w:val="ListLabel 236"/>
    <w:rPr>
      <w:sz w:val="20"/>
    </w:rPr>
  </w:style>
  <w:style w:type="character" w:customStyle="1" w:styleId="ListLabel237">
    <w:name w:val="ListLabel 237"/>
    <w:rPr>
      <w:sz w:val="20"/>
    </w:rPr>
  </w:style>
  <w:style w:type="character" w:customStyle="1" w:styleId="ListLabel238">
    <w:name w:val="ListLabel 238"/>
    <w:rPr>
      <w:sz w:val="20"/>
    </w:rPr>
  </w:style>
  <w:style w:type="character" w:customStyle="1" w:styleId="ListLabel239">
    <w:name w:val="ListLabel 239"/>
    <w:rPr>
      <w:sz w:val="20"/>
    </w:rPr>
  </w:style>
  <w:style w:type="character" w:customStyle="1" w:styleId="ListLabel240">
    <w:name w:val="ListLabel 240"/>
    <w:rPr>
      <w:sz w:val="20"/>
    </w:rPr>
  </w:style>
  <w:style w:type="character" w:customStyle="1" w:styleId="ListLabel241">
    <w:name w:val="ListLabel 241"/>
    <w:rPr>
      <w:sz w:val="20"/>
    </w:rPr>
  </w:style>
  <w:style w:type="character" w:customStyle="1" w:styleId="ListLabel242">
    <w:name w:val="ListLabel 242"/>
    <w:rPr>
      <w:sz w:val="20"/>
    </w:rPr>
  </w:style>
  <w:style w:type="character" w:customStyle="1" w:styleId="ListLabel243">
    <w:name w:val="ListLabel 243"/>
    <w:rPr>
      <w:sz w:val="20"/>
    </w:rPr>
  </w:style>
  <w:style w:type="character" w:customStyle="1" w:styleId="ListLabel244">
    <w:name w:val="ListLabel 244"/>
    <w:rPr>
      <w:sz w:val="20"/>
    </w:rPr>
  </w:style>
  <w:style w:type="character" w:customStyle="1" w:styleId="ListLabel245">
    <w:name w:val="ListLabel 245"/>
    <w:rPr>
      <w:sz w:val="20"/>
    </w:rPr>
  </w:style>
  <w:style w:type="character" w:customStyle="1" w:styleId="ListLabel246">
    <w:name w:val="ListLabel 246"/>
    <w:rPr>
      <w:sz w:val="20"/>
    </w:rPr>
  </w:style>
  <w:style w:type="character" w:customStyle="1" w:styleId="ListLabel247">
    <w:name w:val="ListLabel 247"/>
    <w:rPr>
      <w:sz w:val="20"/>
    </w:rPr>
  </w:style>
  <w:style w:type="character" w:customStyle="1" w:styleId="ListLabel248">
    <w:name w:val="ListLabel 248"/>
    <w:rPr>
      <w:sz w:val="20"/>
    </w:rPr>
  </w:style>
  <w:style w:type="character" w:customStyle="1" w:styleId="ListLabel249">
    <w:name w:val="ListLabel 249"/>
    <w:rPr>
      <w:sz w:val="20"/>
    </w:rPr>
  </w:style>
  <w:style w:type="character" w:customStyle="1" w:styleId="ListLabel250">
    <w:name w:val="ListLabel 250"/>
    <w:rPr>
      <w:sz w:val="20"/>
    </w:rPr>
  </w:style>
  <w:style w:type="character" w:customStyle="1" w:styleId="ListLabel251">
    <w:name w:val="ListLabel 251"/>
    <w:rPr>
      <w:sz w:val="20"/>
    </w:rPr>
  </w:style>
  <w:style w:type="character" w:customStyle="1" w:styleId="ListLabel252">
    <w:name w:val="ListLabel 252"/>
    <w:rPr>
      <w:sz w:val="20"/>
    </w:rPr>
  </w:style>
  <w:style w:type="character" w:customStyle="1" w:styleId="ListLabel253">
    <w:name w:val="ListLabel 253"/>
  </w:style>
  <w:style w:type="character" w:customStyle="1" w:styleId="ListLabel254">
    <w:name w:val="ListLabel 254"/>
    <w:rPr>
      <w:rFonts w:cs="Courier New"/>
    </w:rPr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  <w:rPr>
      <w:rFonts w:eastAsia="Times New Roman" w:cs="Times New Roman"/>
    </w:rPr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Tarjini Mehta</dc:creator>
  <cp:lastModifiedBy>cloudconvert_6</cp:lastModifiedBy>
  <cp:revision>1</cp:revision>
  <dcterms:created xsi:type="dcterms:W3CDTF">2025-01-29T08:54:00Z</dcterms:created>
  <dcterms:modified xsi:type="dcterms:W3CDTF">2025-02-09T09:25:00Z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0x01010083D98E1DADC0DB498BCC1FD0C529144A</vt:lpwstr>
  </property>
</Properties>
</file>