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1590"/>
        <w:gridCol w:w="3270"/>
        <w:gridCol w:w="3600"/>
        <w:tblGridChange w:id="0">
          <w:tblGrid>
            <w:gridCol w:w="555"/>
            <w:gridCol w:w="1590"/>
            <w:gridCol w:w="3270"/>
            <w:gridCol w:w="3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Capital Market Line (CML)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Security Market Line (SML)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Shows risk–return relationship for efficient portfolios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Shows risk–return relationship for individual securities and portfolios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Based on Modern Portfolio Theory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Based on Capital Asset Pricing Model (CAPM)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Risk considered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Total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Systematic risk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Risk measure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Standard deviation (σ)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Beta (β)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Applicability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Only efficient portfolios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All securities (efficient or inefficient)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Type of assets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Portfolios formed with risk-free asset and market portfolio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Individual securities and portfolios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Slope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Gungsuh" w:cs="Gungsuh" w:eastAsia="Gungsuh" w:hAnsi="Gungsuh"/>
                <w:sz w:val="30"/>
                <w:szCs w:val="30"/>
                <w:rtl w:val="0"/>
              </w:rPr>
              <w:t xml:space="preserve">(Rm−Rf)/σm​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Gungsuh" w:cs="Gungsuh" w:eastAsia="Gungsuh" w:hAnsi="Gungsuh"/>
                <w:sz w:val="30"/>
                <w:szCs w:val="30"/>
                <w:rtl w:val="0"/>
              </w:rPr>
              <w:t xml:space="preserve">(Rm−Rf)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Graph axes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X-axis: σ, Y-axis: Expected return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X-axis: β, Y-axis: Expected return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Usefulness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Helps in portfolio 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Helps in security valuation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6119173" cy="34051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73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9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614084-FB82-46D1-8CF3-622F05C4AD0D}"/>
</file>

<file path=customXml/itemProps2.xml><?xml version="1.0" encoding="utf-8"?>
<ds:datastoreItem xmlns:ds="http://schemas.openxmlformats.org/officeDocument/2006/customXml" ds:itemID="{AB99D31D-EB10-4835-A558-384AC9CBD89D}"/>
</file>

<file path=customXml/itemProps3.xml><?xml version="1.0" encoding="utf-8"?>
<ds:datastoreItem xmlns:ds="http://schemas.openxmlformats.org/officeDocument/2006/customXml" ds:itemID="{94F173C0-0E24-4AA9-9952-ADD006302FB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